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20</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开发区政策法规研究室</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二〇二一年八月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开发区政策法规研究室</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w:t>
      </w:r>
      <w:r>
        <w:rPr>
          <w:rFonts w:ascii="黑体" w:hAnsi="黑体" w:eastAsia="黑体" w:cs="黑体"/>
          <w:sz w:val="32"/>
          <w:szCs w:val="32"/>
        </w:rPr>
        <w:t>20</w:t>
      </w:r>
      <w:r>
        <w:rPr>
          <w:rFonts w:hint="eastAsia" w:ascii="黑体" w:hAnsi="黑体" w:eastAsia="黑体" w:cs="黑体"/>
          <w:sz w:val="32"/>
          <w:szCs w:val="32"/>
        </w:rPr>
        <w:t>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2020</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val="en-US" w:eastAsia="zh-CN"/>
        </w:rPr>
        <w:t>开发区政策法规研究室</w:t>
      </w: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（一）根据</w:t>
      </w:r>
      <w:r>
        <w:rPr>
          <w:rFonts w:hint="eastAsia" w:ascii="仿宋_GB2312" w:hAnsi="宋体" w:eastAsia="仿宋_GB2312" w:cs="宋体"/>
          <w:kern w:val="0"/>
          <w:sz w:val="32"/>
          <w:szCs w:val="32"/>
          <w:lang w:eastAsia="zh-CN"/>
        </w:rPr>
        <w:t>开发区党工委管委会</w:t>
      </w:r>
      <w:r>
        <w:rPr>
          <w:rFonts w:hint="eastAsia" w:ascii="仿宋_GB2312" w:hAnsi="宋体" w:eastAsia="仿宋_GB2312" w:cs="宋体"/>
          <w:kern w:val="0"/>
          <w:sz w:val="32"/>
          <w:szCs w:val="32"/>
        </w:rPr>
        <w:t>部署，负责组织或者参与起草、修改</w:t>
      </w:r>
      <w:r>
        <w:rPr>
          <w:rFonts w:hint="eastAsia" w:ascii="仿宋_GB2312" w:hAnsi="宋体" w:eastAsia="仿宋_GB2312" w:cs="宋体"/>
          <w:kern w:val="0"/>
          <w:sz w:val="32"/>
          <w:szCs w:val="32"/>
          <w:lang w:eastAsia="zh-CN"/>
        </w:rPr>
        <w:t>开发区党工委管委会</w:t>
      </w:r>
      <w:r>
        <w:rPr>
          <w:rFonts w:hint="eastAsia" w:ascii="仿宋_GB2312" w:hAnsi="宋体" w:eastAsia="仿宋_GB2312" w:cs="宋体"/>
          <w:kern w:val="0"/>
          <w:sz w:val="32"/>
          <w:szCs w:val="32"/>
        </w:rPr>
        <w:t>有关重要文件、重要综合性文稿。参与有关政务活动。</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（二）负责组织或者参与对全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经济社会发展重大问题的调查研究和决策咨询。对</w:t>
      </w:r>
      <w:r>
        <w:rPr>
          <w:rFonts w:hint="eastAsia" w:ascii="仿宋_GB2312" w:hAnsi="宋体" w:eastAsia="仿宋_GB2312" w:cs="宋体"/>
          <w:kern w:val="0"/>
          <w:sz w:val="32"/>
          <w:szCs w:val="32"/>
          <w:lang w:eastAsia="zh-CN"/>
        </w:rPr>
        <w:t>开发区党工委管委会</w:t>
      </w:r>
      <w:r>
        <w:rPr>
          <w:rFonts w:hint="eastAsia" w:ascii="仿宋_GB2312" w:hAnsi="宋体" w:eastAsia="仿宋_GB2312" w:cs="宋体"/>
          <w:kern w:val="0"/>
          <w:sz w:val="32"/>
          <w:szCs w:val="32"/>
        </w:rPr>
        <w:t>重大战略实施、重大决策落实情况进行跟踪调研。</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（三）组织、协调全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调查研究工作，组织社会力量开展调查研究，负责有关课题管理、服务工作。对全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调研工作进行业务指导、检查调度和考核评价。</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（四）负责全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重点调研项目购买社会服务的组织与实施。负责全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重点调研基地、联系点建设工作。</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（五）负责组织全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智库建设工作。组织全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重大行政决策事项的专家咨询论证工作，承担全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重大行政决策专家咨询委员会（以下简称咨询委）的日常工作。</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（六）负责收集、分析、整理和报送经济、政治、文化、社会、生态文明和党的建设的重要信息、动态，综合分析研判全</w:t>
      </w:r>
      <w:r>
        <w:rPr>
          <w:rFonts w:hint="eastAsia" w:ascii="仿宋_GB2312" w:hAnsi="宋体" w:eastAsia="仿宋_GB2312" w:cs="宋体"/>
          <w:kern w:val="0"/>
          <w:sz w:val="32"/>
          <w:szCs w:val="32"/>
          <w:lang w:eastAsia="zh-CN"/>
        </w:rPr>
        <w:t>区</w:t>
      </w:r>
      <w:r>
        <w:rPr>
          <w:rFonts w:hint="eastAsia" w:ascii="仿宋_GB2312" w:hAnsi="宋体" w:eastAsia="仿宋_GB2312" w:cs="宋体"/>
          <w:kern w:val="0"/>
          <w:sz w:val="32"/>
          <w:szCs w:val="32"/>
        </w:rPr>
        <w:t>经济社会发展形势，提出意见建议，为</w:t>
      </w:r>
      <w:r>
        <w:rPr>
          <w:rFonts w:hint="eastAsia" w:ascii="仿宋_GB2312" w:hAnsi="宋体" w:eastAsia="仿宋_GB2312" w:cs="宋体"/>
          <w:kern w:val="0"/>
          <w:sz w:val="32"/>
          <w:szCs w:val="32"/>
          <w:lang w:eastAsia="zh-CN"/>
        </w:rPr>
        <w:t>开发区党工委管委会</w:t>
      </w:r>
      <w:r>
        <w:rPr>
          <w:rFonts w:hint="eastAsia" w:ascii="仿宋_GB2312" w:hAnsi="宋体" w:eastAsia="仿宋_GB2312" w:cs="宋体"/>
          <w:kern w:val="0"/>
          <w:sz w:val="32"/>
          <w:szCs w:val="32"/>
        </w:rPr>
        <w:t>决策提供参考。</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（七）负责本部门和所属单位党的建设工作。</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（八）完成市委、市政府交办的其他任务。</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区政策法规研究室</w:t>
      </w:r>
      <w:r>
        <w:rPr>
          <w:rFonts w:hint="eastAsia" w:ascii="仿宋_GB2312" w:hAnsi="仿宋_GB2312" w:eastAsia="仿宋_GB2312" w:cs="仿宋_GB2312"/>
          <w:kern w:val="0"/>
          <w:sz w:val="32"/>
          <w:szCs w:val="32"/>
        </w:rPr>
        <w:t>内设机构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kern w:val="0"/>
          <w:sz w:val="32"/>
          <w:szCs w:val="32"/>
          <w:lang w:val="en-US" w:eastAsia="zh-CN"/>
        </w:rPr>
        <w:t>政策法规研究室</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kern w:val="0"/>
          <w:sz w:val="32"/>
          <w:szCs w:val="32"/>
          <w:lang w:val="en-US" w:eastAsia="zh-CN"/>
        </w:rPr>
        <w:t>区政策法规研究室</w:t>
      </w:r>
      <w:r>
        <w:rPr>
          <w:rFonts w:hint="eastAsia" w:ascii="仿宋_GB2312" w:hAnsi="仿宋_GB2312" w:eastAsia="仿宋_GB2312" w:cs="仿宋_GB2312"/>
          <w:kern w:val="0"/>
          <w:sz w:val="32"/>
          <w:szCs w:val="32"/>
        </w:rPr>
        <w:t>决算包括：本级决算。</w:t>
      </w:r>
    </w:p>
    <w:p>
      <w:pPr>
        <w:widowControl/>
        <w:ind w:firstLine="640" w:firstLineChars="200"/>
        <w:jc w:val="left"/>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val="en-US" w:eastAsia="zh-CN"/>
        </w:rPr>
        <w:t>区政策法规研究室</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纳入本部门2020年度部门决算编制范围的单位共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个，其中二级预算单位包括：</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区政策法规研究室</w:t>
      </w:r>
      <w:r>
        <w:rPr>
          <w:rFonts w:hint="eastAsia" w:ascii="仿宋_GB2312" w:hAnsi="仿宋_GB2312" w:eastAsia="仿宋_GB2312" w:cs="仿宋_GB2312"/>
          <w:kern w:val="0"/>
          <w:sz w:val="32"/>
          <w:szCs w:val="32"/>
        </w:rPr>
        <w:t>本级</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w:t>
      </w:r>
      <w:r>
        <w:rPr>
          <w:rFonts w:ascii="黑体" w:hAnsi="黑体" w:eastAsia="黑体" w:cs="黑体"/>
          <w:sz w:val="48"/>
          <w:szCs w:val="48"/>
        </w:rPr>
        <w:t>20</w:t>
      </w:r>
      <w:r>
        <w:rPr>
          <w:rFonts w:hint="eastAsia" w:ascii="黑体" w:hAnsi="黑体" w:eastAsia="黑体" w:cs="黑体"/>
          <w:sz w:val="48"/>
          <w:szCs w:val="48"/>
        </w:rPr>
        <w:t>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3940" w:type="dxa"/>
        <w:tblInd w:w="0" w:type="dxa"/>
        <w:tblLayout w:type="fixed"/>
        <w:tblCellMar>
          <w:top w:w="0" w:type="dxa"/>
          <w:left w:w="0" w:type="dxa"/>
          <w:bottom w:w="0" w:type="dxa"/>
          <w:right w:w="0" w:type="dxa"/>
        </w:tblCellMar>
      </w:tblPr>
      <w:tblGrid>
        <w:gridCol w:w="4262"/>
        <w:gridCol w:w="821"/>
        <w:gridCol w:w="1756"/>
        <w:gridCol w:w="4654"/>
        <w:gridCol w:w="746"/>
        <w:gridCol w:w="1701"/>
      </w:tblGrid>
      <w:tr>
        <w:tblPrEx>
          <w:tblCellMar>
            <w:top w:w="0" w:type="dxa"/>
            <w:left w:w="0" w:type="dxa"/>
            <w:bottom w:w="0" w:type="dxa"/>
            <w:right w:w="0" w:type="dxa"/>
          </w:tblCellMar>
        </w:tblPrEx>
        <w:trPr>
          <w:trHeight w:val="417" w:hRule="atLeast"/>
        </w:trPr>
        <w:tc>
          <w:tcPr>
            <w:tcW w:w="1394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0" w:type="dxa"/>
            <w:bottom w:w="0" w:type="dxa"/>
            <w:right w:w="0" w:type="dxa"/>
          </w:tblCellMar>
        </w:tblPrEx>
        <w:trPr>
          <w:trHeight w:val="218" w:hRule="atLeast"/>
        </w:trPr>
        <w:tc>
          <w:tcPr>
            <w:tcW w:w="426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2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4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0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trHeight w:val="218" w:hRule="atLeast"/>
        </w:trPr>
        <w:tc>
          <w:tcPr>
            <w:tcW w:w="4262"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82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4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0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243" w:hRule="atLeast"/>
        </w:trPr>
        <w:tc>
          <w:tcPr>
            <w:tcW w:w="6839"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101"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0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0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w:t>
            </w:r>
            <w:r>
              <w:rPr>
                <w:rFonts w:ascii="宋体" w:hAnsi="宋体" w:cs="宋体"/>
                <w:color w:val="000000"/>
                <w:kern w:val="0"/>
                <w:sz w:val="20"/>
                <w:szCs w:val="20"/>
                <w:lang w:bidi="ar"/>
              </w:rPr>
              <w:t>预算财政拨款</w:t>
            </w:r>
            <w:r>
              <w:rPr>
                <w:rFonts w:hint="eastAsia" w:ascii="宋体" w:hAnsi="宋体" w:cs="宋体"/>
                <w:color w:val="000000"/>
                <w:kern w:val="0"/>
                <w:sz w:val="20"/>
                <w:szCs w:val="20"/>
                <w:lang w:bidi="ar"/>
              </w:rPr>
              <w:t>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三、国有资本</w:t>
            </w:r>
            <w:r>
              <w:rPr>
                <w:rFonts w:ascii="宋体" w:hAnsi="宋体" w:cs="宋体"/>
                <w:color w:val="000000"/>
                <w:kern w:val="0"/>
                <w:sz w:val="20"/>
                <w:szCs w:val="20"/>
                <w:lang w:bidi="ar"/>
              </w:rPr>
              <w:t>经营预算财政拨款</w:t>
            </w:r>
            <w:r>
              <w:rPr>
                <w:rFonts w:hint="eastAsia" w:ascii="宋体" w:hAnsi="宋体" w:cs="宋体"/>
                <w:color w:val="000000"/>
                <w:kern w:val="0"/>
                <w:sz w:val="20"/>
                <w:szCs w:val="20"/>
                <w:lang w:bidi="ar"/>
              </w:rPr>
              <w:t>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四、上级补助收入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四、公共安全支出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五、事业收入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六、经营收入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八、其他收入</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7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b/>
                <w:color w:val="000000"/>
                <w:sz w:val="20"/>
                <w:szCs w:val="20"/>
                <w:lang w:val="en-US" w:eastAsia="zh-CN"/>
              </w:rPr>
            </w:pPr>
            <w:r>
              <w:rPr>
                <w:rFonts w:hint="eastAsia" w:ascii="宋体" w:hAnsi="宋体" w:cs="宋体"/>
                <w:color w:val="000000"/>
                <w:sz w:val="20"/>
                <w:szCs w:val="20"/>
                <w:lang w:val="en-US" w:eastAsia="zh-CN"/>
              </w:rPr>
              <w:t>1.8</w:t>
            </w: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使用非</w:t>
            </w:r>
            <w:r>
              <w:rPr>
                <w:rFonts w:ascii="宋体" w:hAnsi="宋体" w:cs="宋体"/>
                <w:color w:val="000000"/>
                <w:kern w:val="0"/>
                <w:sz w:val="20"/>
                <w:szCs w:val="20"/>
                <w:lang w:bidi="ar"/>
              </w:rPr>
              <w:t>财政拨款结余</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结余分配</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年初结转和结余</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年末结转和结余</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7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75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54"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701"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30" w:hRule="atLeast"/>
        </w:trPr>
        <w:tc>
          <w:tcPr>
            <w:tcW w:w="4262"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75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4654"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701"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b/>
                <w:color w:val="000000"/>
                <w:sz w:val="20"/>
                <w:szCs w:val="20"/>
                <w:lang w:val="en-US" w:eastAsia="zh-CN"/>
              </w:rPr>
            </w:pPr>
            <w:r>
              <w:rPr>
                <w:rFonts w:hint="eastAsia" w:ascii="宋体" w:hAnsi="宋体" w:cs="宋体"/>
                <w:color w:val="000000"/>
                <w:sz w:val="20"/>
                <w:szCs w:val="20"/>
                <w:lang w:val="en-US" w:eastAsia="zh-CN"/>
              </w:rPr>
              <w:t>1.8</w:t>
            </w:r>
          </w:p>
        </w:tc>
      </w:tr>
      <w:tr>
        <w:tblPrEx>
          <w:tblCellMar>
            <w:top w:w="0" w:type="dxa"/>
            <w:left w:w="0" w:type="dxa"/>
            <w:bottom w:w="0" w:type="dxa"/>
            <w:right w:w="0" w:type="dxa"/>
          </w:tblCellMar>
        </w:tblPrEx>
        <w:trPr>
          <w:trHeight w:val="243" w:hRule="atLeast"/>
        </w:trPr>
        <w:tc>
          <w:tcPr>
            <w:tcW w:w="13940"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trHeight w:val="300"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r>
      <w:tr>
        <w:tblPrEx>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eastAsia="zh-CN"/>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华文中宋" w:hAnsi="华文中宋" w:eastAsia="华文中宋" w:cs="华文中宋"/>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300"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2010301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726"/>
        <w:gridCol w:w="282"/>
        <w:gridCol w:w="406"/>
        <w:gridCol w:w="1957"/>
        <w:gridCol w:w="268"/>
        <w:gridCol w:w="1007"/>
        <w:gridCol w:w="1188"/>
        <w:gridCol w:w="1254"/>
        <w:gridCol w:w="1306"/>
        <w:gridCol w:w="972"/>
        <w:gridCol w:w="554"/>
        <w:gridCol w:w="617"/>
        <w:gridCol w:w="635"/>
        <w:gridCol w:w="612"/>
        <w:gridCol w:w="976"/>
        <w:gridCol w:w="1039"/>
        <w:gridCol w:w="189"/>
      </w:tblGrid>
      <w:tr>
        <w:tblPrEx>
          <w:tblCellMar>
            <w:top w:w="0" w:type="dxa"/>
            <w:left w:w="0" w:type="dxa"/>
            <w:bottom w:w="0" w:type="dxa"/>
            <w:right w:w="0" w:type="dxa"/>
          </w:tblCellMar>
        </w:tblPrEx>
        <w:trPr>
          <w:gridAfter w:val="1"/>
          <w:wAfter w:w="189" w:type="dxa"/>
          <w:trHeight w:val="90" w:hRule="atLeast"/>
        </w:trPr>
        <w:tc>
          <w:tcPr>
            <w:tcW w:w="12760"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财政拨款收入支出决算总表</w:t>
            </w:r>
          </w:p>
        </w:tc>
        <w:tc>
          <w:tcPr>
            <w:tcW w:w="1039"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64"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c>
          <w:tcPr>
            <w:tcW w:w="1039" w:type="dxa"/>
            <w:tcBorders>
              <w:top w:val="nil"/>
              <w:left w:val="nil"/>
              <w:bottom w:val="nil"/>
              <w:right w:val="nil"/>
            </w:tcBorders>
            <w:shd w:val="clear" w:color="auto" w:fill="FFFFFF"/>
            <w:noWrap w:val="0"/>
            <w:vAlign w:val="top"/>
          </w:tcPr>
          <w:p>
            <w:pPr>
              <w:widowControl/>
              <w:jc w:val="righ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127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5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64"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7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c>
          <w:tcPr>
            <w:tcW w:w="1039" w:type="dxa"/>
            <w:tcBorders>
              <w:top w:val="nil"/>
              <w:left w:val="nil"/>
              <w:bottom w:val="nil"/>
              <w:right w:val="nil"/>
            </w:tcBorders>
            <w:shd w:val="clear" w:color="auto" w:fill="FFFFFF"/>
            <w:noWrap w:val="0"/>
            <w:vAlign w:val="top"/>
          </w:tcPr>
          <w:p>
            <w:pPr>
              <w:widowControl/>
              <w:jc w:val="righ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gridAfter w:val="1"/>
          <w:wAfter w:w="189" w:type="dxa"/>
          <w:trHeight w:val="90" w:hRule="atLeast"/>
        </w:trPr>
        <w:tc>
          <w:tcPr>
            <w:tcW w:w="5834" w:type="dxa"/>
            <w:gridSpan w:val="7"/>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965" w:type="dxa"/>
            <w:gridSpan w:val="9"/>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5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2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158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政府性基金预算财政拨款</w:t>
            </w: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sz w:val="20"/>
                <w:szCs w:val="20"/>
              </w:rPr>
              <w:t>国有资本经营预算财政拨款</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5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588"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39"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5</w:t>
            </w: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tabs>
                <w:tab w:val="center" w:pos="671"/>
                <w:tab w:val="right" w:pos="1222"/>
              </w:tabs>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ab/>
              <w:t>1.8</w:t>
            </w:r>
            <w:r>
              <w:rPr>
                <w:rFonts w:hint="eastAsia" w:ascii="宋体" w:hAnsi="宋体" w:cs="宋体"/>
                <w:color w:val="000000"/>
                <w:sz w:val="20"/>
                <w:szCs w:val="20"/>
                <w:lang w:val="en-US" w:eastAsia="zh-CN"/>
              </w:rPr>
              <w:tab/>
            </w: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三、国有资本经营预算财政拨款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55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5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5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5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年初财政拨款结转和结余</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年末财政拨款结转和结余</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5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一般公共预算财政拨款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55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政府性基金预算财政拨款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18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55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18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60"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55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8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39"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3371" w:type="dxa"/>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18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p>
        </w:tc>
        <w:tc>
          <w:tcPr>
            <w:tcW w:w="2560" w:type="dxa"/>
            <w:gridSpan w:val="2"/>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55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252"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1588"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39"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gridAfter w:val="1"/>
          <w:wAfter w:w="189" w:type="dxa"/>
          <w:trHeight w:val="90" w:hRule="atLeast"/>
        </w:trPr>
        <w:tc>
          <w:tcPr>
            <w:tcW w:w="12760" w:type="dxa"/>
            <w:gridSpan w:val="15"/>
            <w:tcBorders>
              <w:top w:val="single" w:color="000000" w:sz="8" w:space="0"/>
              <w:left w:val="nil"/>
              <w:bottom w:val="single" w:color="000000" w:sz="8"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15"/>
                <w:szCs w:val="15"/>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39" w:type="dxa"/>
            <w:tcBorders>
              <w:top w:val="single" w:color="000000" w:sz="8" w:space="0"/>
              <w:left w:val="nil"/>
              <w:bottom w:val="single" w:color="000000" w:sz="8" w:space="0"/>
              <w:right w:val="nil"/>
            </w:tcBorders>
            <w:noWrap w:val="0"/>
            <w:vAlign w:val="top"/>
          </w:tcPr>
          <w:p>
            <w:pPr>
              <w:widowControl/>
              <w:jc w:val="left"/>
              <w:textAlignment w:val="center"/>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600" w:hRule="atLeast"/>
        </w:trPr>
        <w:tc>
          <w:tcPr>
            <w:tcW w:w="13988" w:type="dxa"/>
            <w:gridSpan w:val="1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688"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w:t>
            </w:r>
            <w:r>
              <w:rPr>
                <w:rStyle w:val="15"/>
                <w:rFonts w:hint="default"/>
                <w:lang w:bidi="ar"/>
              </w:rPr>
              <w:t>5表</w:t>
            </w:r>
          </w:p>
        </w:tc>
      </w:tr>
      <w:tr>
        <w:tblPrEx>
          <w:tblCellMar>
            <w:top w:w="0" w:type="dxa"/>
            <w:left w:w="0" w:type="dxa"/>
            <w:bottom w:w="0" w:type="dxa"/>
            <w:right w:w="0" w:type="dxa"/>
          </w:tblCellMar>
        </w:tblPrEx>
        <w:trPr>
          <w:trHeight w:val="300" w:hRule="atLeast"/>
        </w:trPr>
        <w:tc>
          <w:tcPr>
            <w:tcW w:w="100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40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3639" w:type="dxa"/>
            <w:gridSpan w:val="5"/>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项 </w:t>
            </w:r>
            <w:r>
              <w:rPr>
                <w:rStyle w:val="11"/>
                <w:rFonts w:hint="default"/>
                <w:sz w:val="20"/>
                <w:szCs w:val="20"/>
                <w:lang w:bidi="ar"/>
              </w:rPr>
              <w:t xml:space="preserve">   </w:t>
            </w:r>
            <w:r>
              <w:rPr>
                <w:rStyle w:val="14"/>
                <w:rFonts w:hint="default"/>
                <w:sz w:val="20"/>
                <w:szCs w:val="20"/>
                <w:lang w:bidi="ar"/>
              </w:rPr>
              <w:t>目</w:t>
            </w:r>
          </w:p>
        </w:tc>
        <w:tc>
          <w:tcPr>
            <w:tcW w:w="10349" w:type="dxa"/>
            <w:gridSpan w:val="12"/>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r>
      <w:tr>
        <w:tblPrEx>
          <w:tblCellMar>
            <w:top w:w="0" w:type="dxa"/>
            <w:left w:w="0" w:type="dxa"/>
            <w:bottom w:w="0" w:type="dxa"/>
            <w:right w:w="0" w:type="dxa"/>
          </w:tblCellMar>
        </w:tblPrEx>
        <w:trPr>
          <w:trHeight w:val="495" w:hRule="atLeast"/>
        </w:trPr>
        <w:tc>
          <w:tcPr>
            <w:tcW w:w="1414"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22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3449"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3449" w:type="dxa"/>
            <w:gridSpan w:val="4"/>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3451" w:type="dxa"/>
            <w:gridSpan w:val="5"/>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36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4"/>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gridSpan w:val="5"/>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gridSpan w:val="4"/>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gridSpan w:val="5"/>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0" w:type="dxa"/>
            <w:bottom w:w="0" w:type="dxa"/>
            <w:right w:w="0" w:type="dxa"/>
          </w:tblCellMar>
        </w:tblPrEx>
        <w:trPr>
          <w:trHeight w:val="450" w:hRule="atLeast"/>
        </w:trPr>
        <w:tc>
          <w:tcPr>
            <w:tcW w:w="3639"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2010301</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一般公共服务支出</w:t>
            </w: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49"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3451" w:type="dxa"/>
            <w:gridSpan w:val="5"/>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17"/>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bidi="ar"/>
              </w:rPr>
              <w:t>部门</w:t>
            </w:r>
            <w:r>
              <w:rPr>
                <w:rFonts w:ascii="Arial" w:hAnsi="Arial" w:cs="Arial"/>
                <w:color w:val="000000"/>
                <w:kern w:val="0"/>
                <w:sz w:val="20"/>
                <w:szCs w:val="20"/>
                <w:lang w:bidi="ar"/>
              </w:rPr>
              <w:t>：</w:t>
            </w:r>
          </w:p>
        </w:tc>
        <w:tc>
          <w:tcPr>
            <w:tcW w:w="278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color w:val="000000"/>
                <w:sz w:val="20"/>
                <w:szCs w:val="20"/>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w:t>
            </w:r>
            <w:bookmarkStart w:id="0" w:name="_GoBack"/>
            <w:bookmarkEnd w:id="0"/>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注：本表反映部门本年度“三公”经费支出预决算情况。其中，</w:t>
            </w:r>
            <w:r>
              <w:rPr>
                <w:rStyle w:val="17"/>
                <w:rFonts w:hint="default"/>
                <w:sz w:val="20"/>
                <w:szCs w:val="20"/>
                <w:lang w:bidi="ar"/>
              </w:rPr>
              <w:t>预算数为“三公”经费年初预算数，决算数是包括当年一般公共预算财政拨款和以前年度结转资金安排的实际支出。</w:t>
            </w:r>
            <w:r>
              <w:rPr>
                <w:rFonts w:hint="eastAsia" w:ascii="宋体" w:hAnsi="宋体" w:cs="宋体"/>
                <w:color w:val="000000"/>
                <w:kern w:val="0"/>
                <w:sz w:val="20"/>
                <w:szCs w:val="20"/>
                <w:lang w:bidi="ar"/>
              </w:rPr>
              <w:t>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16"/>
        <w:gridCol w:w="20"/>
        <w:gridCol w:w="30"/>
        <w:gridCol w:w="124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112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5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5"/>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5"/>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eastAsia="zh-CN"/>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7"/>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注：本表反映部门本年度政府性基金预算财政拨款收入、支出及结转和结余情况。</w:t>
            </w:r>
          </w:p>
          <w:p>
            <w:pPr>
              <w:widowControl/>
              <w:jc w:val="left"/>
              <w:textAlignment w:val="center"/>
              <w:rPr>
                <w:rFonts w:ascii="宋体" w:hAnsi="宋体" w:cs="宋体"/>
                <w:color w:val="000000"/>
                <w:sz w:val="22"/>
              </w:rPr>
            </w:pPr>
            <w:r>
              <w:rPr>
                <w:rFonts w:hint="eastAsia" w:ascii="宋体" w:hAnsi="宋体" w:cs="宋体"/>
                <w:color w:val="000000"/>
                <w:sz w:val="22"/>
              </w:rPr>
              <w:t>说明：我部门没有政府性基金收入，也没有使用政府性基金安排的支出，故本表无数据。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hint="eastAsia" w:ascii="宋体" w:hAnsi="宋体" w:cs="宋体"/>
                <w:color w:val="000000"/>
                <w:sz w:val="20"/>
                <w:szCs w:val="20"/>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w:t>
      </w:r>
      <w:r>
        <w:rPr>
          <w:rFonts w:ascii="黑体" w:hAnsi="黑体" w:eastAsia="黑体" w:cs="黑体"/>
          <w:sz w:val="48"/>
          <w:szCs w:val="48"/>
        </w:rPr>
        <w:t>20</w:t>
      </w:r>
      <w:r>
        <w:rPr>
          <w:rFonts w:hint="eastAsia" w:ascii="黑体" w:hAnsi="黑体" w:eastAsia="黑体" w:cs="黑体"/>
          <w:sz w:val="48"/>
          <w:szCs w:val="48"/>
        </w:rPr>
        <w:t>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万元，其中：一般公共服务支出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201</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val="en-US" w:eastAsia="zh-CN"/>
        </w:rPr>
        <w:t>03</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万元。其中：公用经费</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szCs w:val="32"/>
          <w:lang w:eastAsia="zh-CN"/>
        </w:rPr>
        <w:t>办公费、印刷费</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万元；公务用车购置及运行费支出决算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pPr>
        <w:widowControl/>
        <w:spacing w:line="59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2020年，我单位纳入预选绩效管理的支出总额为0万元</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（三）以单位为主体开展的重点绩效评价结果。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年度机关运行经费初预算为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widowControl/>
        <w:jc w:val="left"/>
        <w:rPr>
          <w:rFonts w:hint="eastAsia"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8"/>
    <w:rsid w:val="000270E8"/>
    <w:rsid w:val="000335B5"/>
    <w:rsid w:val="00057AFD"/>
    <w:rsid w:val="00076410"/>
    <w:rsid w:val="00081835"/>
    <w:rsid w:val="000C073B"/>
    <w:rsid w:val="001003F8"/>
    <w:rsid w:val="00144159"/>
    <w:rsid w:val="001718A8"/>
    <w:rsid w:val="00182842"/>
    <w:rsid w:val="00184D53"/>
    <w:rsid w:val="001905F2"/>
    <w:rsid w:val="00197592"/>
    <w:rsid w:val="001C32F0"/>
    <w:rsid w:val="001D61B1"/>
    <w:rsid w:val="001F5040"/>
    <w:rsid w:val="002006EB"/>
    <w:rsid w:val="00260D70"/>
    <w:rsid w:val="00282C7F"/>
    <w:rsid w:val="00287811"/>
    <w:rsid w:val="002A6352"/>
    <w:rsid w:val="002B3F94"/>
    <w:rsid w:val="002E6A86"/>
    <w:rsid w:val="00304D04"/>
    <w:rsid w:val="00305B88"/>
    <w:rsid w:val="00315FEB"/>
    <w:rsid w:val="0041489C"/>
    <w:rsid w:val="0042585F"/>
    <w:rsid w:val="00445CAC"/>
    <w:rsid w:val="00472E19"/>
    <w:rsid w:val="00487869"/>
    <w:rsid w:val="004D5275"/>
    <w:rsid w:val="00507364"/>
    <w:rsid w:val="00546F7C"/>
    <w:rsid w:val="005A0C2F"/>
    <w:rsid w:val="005B1AE2"/>
    <w:rsid w:val="005E3397"/>
    <w:rsid w:val="00607D67"/>
    <w:rsid w:val="006228C4"/>
    <w:rsid w:val="006512DD"/>
    <w:rsid w:val="00656BEF"/>
    <w:rsid w:val="00656D75"/>
    <w:rsid w:val="00657E86"/>
    <w:rsid w:val="00673EF7"/>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903F6B"/>
    <w:rsid w:val="009173F9"/>
    <w:rsid w:val="00962F58"/>
    <w:rsid w:val="00975A04"/>
    <w:rsid w:val="009F0FBB"/>
    <w:rsid w:val="009F546E"/>
    <w:rsid w:val="00A079F0"/>
    <w:rsid w:val="00A42F43"/>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710DD"/>
    <w:rsid w:val="00BE5A85"/>
    <w:rsid w:val="00BF4E6A"/>
    <w:rsid w:val="00BF5718"/>
    <w:rsid w:val="00C3106E"/>
    <w:rsid w:val="00C60609"/>
    <w:rsid w:val="00C95CC1"/>
    <w:rsid w:val="00CA3F44"/>
    <w:rsid w:val="00CE212D"/>
    <w:rsid w:val="00CE4B38"/>
    <w:rsid w:val="00D1321A"/>
    <w:rsid w:val="00D30ADF"/>
    <w:rsid w:val="00D6315E"/>
    <w:rsid w:val="00D652C2"/>
    <w:rsid w:val="00D74EE2"/>
    <w:rsid w:val="00D83E19"/>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2E81D2A"/>
    <w:rsid w:val="033646FC"/>
    <w:rsid w:val="03C75F80"/>
    <w:rsid w:val="0478364D"/>
    <w:rsid w:val="053D4C0D"/>
    <w:rsid w:val="0557532E"/>
    <w:rsid w:val="0799329C"/>
    <w:rsid w:val="086F16A7"/>
    <w:rsid w:val="0A0F7225"/>
    <w:rsid w:val="0A2B7D82"/>
    <w:rsid w:val="0ADC40E9"/>
    <w:rsid w:val="0AE607F4"/>
    <w:rsid w:val="0B451598"/>
    <w:rsid w:val="0BEC73F4"/>
    <w:rsid w:val="0C392698"/>
    <w:rsid w:val="10BD36F6"/>
    <w:rsid w:val="11BF0649"/>
    <w:rsid w:val="123E3E08"/>
    <w:rsid w:val="13D22E22"/>
    <w:rsid w:val="161C2DFF"/>
    <w:rsid w:val="16373578"/>
    <w:rsid w:val="16D3336B"/>
    <w:rsid w:val="17806C36"/>
    <w:rsid w:val="17A74F62"/>
    <w:rsid w:val="18A47774"/>
    <w:rsid w:val="1B2E6FD8"/>
    <w:rsid w:val="1B877D21"/>
    <w:rsid w:val="1C4319A9"/>
    <w:rsid w:val="1E443B4B"/>
    <w:rsid w:val="1E994F4A"/>
    <w:rsid w:val="1EAF0224"/>
    <w:rsid w:val="1F2230A4"/>
    <w:rsid w:val="20210932"/>
    <w:rsid w:val="202448E0"/>
    <w:rsid w:val="21302EEA"/>
    <w:rsid w:val="21AA4D07"/>
    <w:rsid w:val="22376FB5"/>
    <w:rsid w:val="23E152D7"/>
    <w:rsid w:val="24575380"/>
    <w:rsid w:val="255D43C8"/>
    <w:rsid w:val="26876BDD"/>
    <w:rsid w:val="2714632A"/>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5993CCC"/>
    <w:rsid w:val="36746FC3"/>
    <w:rsid w:val="368763AE"/>
    <w:rsid w:val="395D59E7"/>
    <w:rsid w:val="399D7243"/>
    <w:rsid w:val="39A93932"/>
    <w:rsid w:val="3A915562"/>
    <w:rsid w:val="3B8D4765"/>
    <w:rsid w:val="3C000DBA"/>
    <w:rsid w:val="3D890ADD"/>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5D214963"/>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 w:val="7F3B6C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8"/>
    <w:unhideWhenUsed/>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font01"/>
    <w:qFormat/>
    <w:uiPriority w:val="0"/>
    <w:rPr>
      <w:rFonts w:hint="eastAsia" w:ascii="宋体" w:hAnsi="宋体" w:eastAsia="宋体" w:cs="宋体"/>
      <w:color w:val="000000"/>
      <w:sz w:val="22"/>
      <w:szCs w:val="22"/>
      <w:u w:val="none"/>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页眉 Char"/>
    <w:link w:val="4"/>
    <w:qFormat/>
    <w:uiPriority w:val="99"/>
    <w:rPr>
      <w:kern w:val="2"/>
      <w:sz w:val="18"/>
      <w:szCs w:val="18"/>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页脚 Char"/>
    <w:link w:val="3"/>
    <w:uiPriority w:val="99"/>
    <w:rPr>
      <w:kern w:val="2"/>
      <w:sz w:val="18"/>
      <w:szCs w:val="18"/>
    </w:rPr>
  </w:style>
  <w:style w:type="character" w:customStyle="1" w:styleId="17">
    <w:name w:val="font41"/>
    <w:uiPriority w:val="0"/>
    <w:rPr>
      <w:rFonts w:hint="eastAsia" w:ascii="宋体" w:hAnsi="宋体" w:eastAsia="宋体" w:cs="宋体"/>
      <w:color w:val="000000"/>
      <w:sz w:val="24"/>
      <w:szCs w:val="24"/>
      <w:u w:val="none"/>
    </w:rPr>
  </w:style>
  <w:style w:type="character" w:customStyle="1" w:styleId="18">
    <w:name w:val="批注框文本 Char"/>
    <w:link w:val="2"/>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1260</Words>
  <Characters>7186</Characters>
  <Lines>59</Lines>
  <Paragraphs>16</Paragraphs>
  <TotalTime>14</TotalTime>
  <ScaleCrop>false</ScaleCrop>
  <LinksUpToDate>false</LinksUpToDate>
  <CharactersWithSpaces>8430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lenovo</cp:lastModifiedBy>
  <cp:lastPrinted>2018-07-24T10:50:00Z</cp:lastPrinted>
  <dcterms:modified xsi:type="dcterms:W3CDTF">2021-09-30T01:23:54Z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31CFFBDA19774BC0A534DFFE17A38F10</vt:lpwstr>
  </property>
</Properties>
</file>