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20</w:t>
      </w:r>
      <w:r>
        <w:rPr>
          <w:rFonts w:hint="eastAsia" w:ascii="黑体" w:hAnsi="黑体" w:eastAsia="黑体" w:cs="黑体"/>
          <w:sz w:val="52"/>
          <w:szCs w:val="52"/>
        </w:rPr>
        <w:t>年度</w:t>
      </w: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濮阳经济技术开发区规划建设局</w:t>
      </w:r>
    </w:p>
    <w:p>
      <w:pPr>
        <w:jc w:val="center"/>
        <w:rPr>
          <w:rFonts w:hint="eastAsia" w:ascii="黑体" w:hAnsi="黑体" w:eastAsia="黑体" w:cs="黑体"/>
          <w:sz w:val="52"/>
          <w:szCs w:val="52"/>
        </w:rPr>
      </w:pP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二〇二一年八月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规划建设局</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w:t>
      </w:r>
      <w:r>
        <w:rPr>
          <w:rFonts w:ascii="黑体" w:hAnsi="黑体" w:eastAsia="黑体" w:cs="黑体"/>
          <w:sz w:val="32"/>
          <w:szCs w:val="32"/>
        </w:rPr>
        <w:t>20</w:t>
      </w:r>
      <w:r>
        <w:rPr>
          <w:rFonts w:hint="eastAsia" w:ascii="黑体" w:hAnsi="黑体" w:eastAsia="黑体" w:cs="黑体"/>
          <w:sz w:val="32"/>
          <w:szCs w:val="32"/>
        </w:rPr>
        <w:t>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2020</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val="en-US" w:eastAsia="zh-CN"/>
        </w:rPr>
        <w:t>规划建设局</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spacing w:line="560" w:lineRule="exact"/>
        <w:ind w:firstLine="640" w:firstLineChars="200"/>
        <w:jc w:val="left"/>
        <w:rPr>
          <w:rFonts w:hint="eastAsia" w:ascii="仿宋_GB2312" w:hAnsi="黑体" w:eastAsia="仿宋_GB2312" w:cs="黑体"/>
          <w:kern w:val="0"/>
          <w:sz w:val="32"/>
          <w:szCs w:val="32"/>
        </w:rPr>
      </w:pPr>
      <w:r>
        <w:rPr>
          <w:rFonts w:hint="eastAsia" w:ascii="仿宋_GB2312" w:hAnsi="宋体" w:eastAsia="仿宋_GB2312"/>
          <w:sz w:val="32"/>
          <w:szCs w:val="32"/>
        </w:rPr>
        <w:t>（一）负责承办产业集聚区范围内基础设施建设规划设计方案及市政基础设施建设管理工作。</w:t>
      </w:r>
    </w:p>
    <w:p>
      <w:pPr>
        <w:widowControl/>
        <w:spacing w:line="560" w:lineRule="exact"/>
        <w:ind w:firstLine="640" w:firstLineChars="200"/>
        <w:jc w:val="left"/>
        <w:rPr>
          <w:rFonts w:hint="eastAsia" w:ascii="仿宋_GB2312" w:hAnsi="黑体" w:eastAsia="仿宋_GB2312" w:cs="黑体"/>
          <w:kern w:val="0"/>
          <w:sz w:val="32"/>
          <w:szCs w:val="32"/>
        </w:rPr>
      </w:pPr>
      <w:r>
        <w:rPr>
          <w:rFonts w:hint="eastAsia" w:ascii="仿宋_GB2312" w:hAnsi="宋体" w:eastAsia="仿宋_GB2312"/>
          <w:sz w:val="32"/>
          <w:szCs w:val="32"/>
        </w:rPr>
        <w:t>（二）负责监督管理建筑市场</w:t>
      </w:r>
      <w:r>
        <w:rPr>
          <w:rFonts w:hint="eastAsia" w:ascii="仿宋_GB2312" w:hAnsi="Arial" w:eastAsia="仿宋_GB2312"/>
          <w:sz w:val="32"/>
          <w:szCs w:val="32"/>
        </w:rPr>
        <w:t>,</w:t>
      </w:r>
      <w:r>
        <w:rPr>
          <w:rFonts w:hint="eastAsia" w:ascii="仿宋_GB2312" w:hAnsi="宋体" w:eastAsia="仿宋_GB2312"/>
          <w:sz w:val="32"/>
          <w:szCs w:val="32"/>
        </w:rPr>
        <w:t>规范市场各方主体行为。负责建设工程报建和核发《建筑工程施工许可证》，加强建筑市场信用体系建设；负责有形建筑市场的监督管理，拟订规范建筑市场各方主体行为的规章制度并监督执行。</w:t>
      </w:r>
    </w:p>
    <w:p>
      <w:pPr>
        <w:widowControl/>
        <w:spacing w:line="560" w:lineRule="exact"/>
        <w:ind w:firstLine="640" w:firstLineChars="200"/>
        <w:jc w:val="left"/>
        <w:rPr>
          <w:rFonts w:hint="eastAsia" w:ascii="仿宋_GB2312" w:hAnsi="黑体" w:eastAsia="仿宋_GB2312" w:cs="黑体"/>
          <w:kern w:val="0"/>
          <w:sz w:val="32"/>
          <w:szCs w:val="32"/>
        </w:rPr>
      </w:pPr>
      <w:r>
        <w:rPr>
          <w:rFonts w:hint="eastAsia" w:ascii="仿宋_GB2312" w:hAnsi="宋体" w:eastAsia="仿宋_GB2312"/>
          <w:sz w:val="32"/>
          <w:szCs w:val="32"/>
        </w:rPr>
        <w:t>（三）负责区内保障房建设相关工作。负责编制辖区内城中村改造年度计划，负责审查上报改造实施方案，负责协调各项手续审批办理。督导实施改造项目的建设进度。</w:t>
      </w:r>
    </w:p>
    <w:p>
      <w:pPr>
        <w:widowControl/>
        <w:spacing w:line="560" w:lineRule="exact"/>
        <w:ind w:firstLine="640" w:firstLineChars="200"/>
        <w:jc w:val="left"/>
        <w:rPr>
          <w:rFonts w:hint="eastAsia" w:ascii="仿宋_GB2312" w:hAnsi="黑体" w:eastAsia="仿宋_GB2312" w:cs="黑体"/>
          <w:kern w:val="0"/>
          <w:sz w:val="32"/>
          <w:szCs w:val="32"/>
        </w:rPr>
      </w:pPr>
      <w:r>
        <w:rPr>
          <w:rFonts w:hint="eastAsia" w:ascii="仿宋_GB2312" w:hAnsi="宋体" w:eastAsia="仿宋_GB2312"/>
          <w:sz w:val="32"/>
          <w:szCs w:val="32"/>
        </w:rPr>
        <w:t>（四）负责规范和指导全区村镇规划建设。组织实施小城镇和村庄建设、发展规划，监督实施村镇建设工程技术标准，指导农村住房建设和安全以及危房改造</w:t>
      </w:r>
      <w:r>
        <w:rPr>
          <w:rFonts w:hint="eastAsia" w:ascii="仿宋_GB2312" w:hAnsi="Arial" w:eastAsia="仿宋_GB2312"/>
          <w:sz w:val="32"/>
          <w:szCs w:val="32"/>
        </w:rPr>
        <w:t>,</w:t>
      </w:r>
      <w:r>
        <w:rPr>
          <w:rFonts w:hint="eastAsia" w:ascii="仿宋_GB2312" w:hAnsi="宋体" w:eastAsia="仿宋_GB2312"/>
          <w:sz w:val="32"/>
          <w:szCs w:val="32"/>
        </w:rPr>
        <w:t>指导小城镇和村庄人居生态环境的改善工作</w:t>
      </w:r>
      <w:r>
        <w:rPr>
          <w:rFonts w:hint="eastAsia" w:ascii="仿宋_GB2312" w:hAnsi="Arial" w:eastAsia="仿宋_GB2312"/>
          <w:sz w:val="32"/>
          <w:szCs w:val="32"/>
        </w:rPr>
        <w:t>,</w:t>
      </w:r>
      <w:r>
        <w:rPr>
          <w:rFonts w:hint="eastAsia" w:ascii="仿宋_GB2312" w:hAnsi="宋体" w:eastAsia="仿宋_GB2312"/>
          <w:sz w:val="32"/>
          <w:szCs w:val="32"/>
        </w:rPr>
        <w:t>指导各类村镇建设试点工作。</w:t>
      </w:r>
    </w:p>
    <w:p>
      <w:pPr>
        <w:widowControl/>
        <w:spacing w:line="560" w:lineRule="exact"/>
        <w:ind w:firstLine="640" w:firstLineChars="200"/>
        <w:jc w:val="left"/>
        <w:rPr>
          <w:rFonts w:hint="eastAsia" w:ascii="仿宋_GB2312" w:hAnsi="黑体" w:eastAsia="仿宋_GB2312" w:cs="黑体"/>
          <w:kern w:val="0"/>
          <w:sz w:val="32"/>
          <w:szCs w:val="32"/>
        </w:rPr>
      </w:pPr>
      <w:r>
        <w:rPr>
          <w:rFonts w:hint="eastAsia" w:ascii="仿宋_GB2312" w:hAnsi="宋体" w:eastAsia="仿宋_GB2312"/>
          <w:sz w:val="32"/>
          <w:szCs w:val="32"/>
        </w:rPr>
        <w:t>（五）负责区内建设工程质量监管。贯彻落实建设工程质量方面的法律、法规、制度，拟订建筑业技术政策并指导实施。负责房屋建筑和市政公用工程质量监督和竣工验收备案工作。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（六）负责建设工程安全生产的监督和管理。贯彻落实建设工程安全生产方面的法律、法规、制度，负责区内房屋建筑安全生产备案工作。组织或参与工程重大安全事故的调查处理。</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（七）承办党工委、管委会交办的其他事项。</w:t>
      </w:r>
    </w:p>
    <w:p>
      <w:pPr>
        <w:bidi w:val="0"/>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bidi w:val="0"/>
        <w:ind w:firstLine="640" w:firstLineChars="200"/>
        <w:rPr>
          <w:rFonts w:hint="eastAsia"/>
        </w:rPr>
      </w:pPr>
      <w:r>
        <w:rPr>
          <w:rFonts w:hint="eastAsia" w:ascii="仿宋_GB2312" w:hAnsi="仿宋_GB2312" w:eastAsia="仿宋_GB2312" w:cs="仿宋_GB2312"/>
          <w:kern w:val="0"/>
          <w:sz w:val="32"/>
          <w:szCs w:val="32"/>
        </w:rPr>
        <w:t>规划建设内设机构9个，包括：办公室、招标办、村镇科、市政建设科、规划管理科、定额站。</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从决算单位构成看，规划建设局部门决算包括：本级决算。</w:t>
      </w:r>
    </w:p>
    <w:p>
      <w:pPr>
        <w:widowControl/>
        <w:ind w:firstLine="640" w:firstLineChars="200"/>
        <w:jc w:val="left"/>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濮阳经济技术开发区规划建设局</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纳入本部门2020年度部门决算编制范围的单位共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个，其中二级预算单位包括：</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规划建设局</w:t>
      </w:r>
      <w:r>
        <w:rPr>
          <w:rFonts w:hint="eastAsia" w:ascii="仿宋_GB2312" w:hAnsi="仿宋_GB2312" w:eastAsia="仿宋_GB2312" w:cs="仿宋_GB2312"/>
          <w:kern w:val="0"/>
          <w:sz w:val="32"/>
          <w:szCs w:val="32"/>
        </w:rPr>
        <w:t>本级</w:t>
      </w:r>
    </w:p>
    <w:p>
      <w:pPr>
        <w:widowControl/>
        <w:ind w:firstLine="560" w:firstLineChars="200"/>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w:t>
      </w:r>
      <w:r>
        <w:rPr>
          <w:rFonts w:ascii="黑体" w:hAnsi="黑体" w:eastAsia="黑体" w:cs="黑体"/>
          <w:sz w:val="48"/>
          <w:szCs w:val="48"/>
        </w:rPr>
        <w:t>20</w:t>
      </w:r>
      <w:r>
        <w:rPr>
          <w:rFonts w:hint="eastAsia" w:ascii="黑体" w:hAnsi="黑体" w:eastAsia="黑体" w:cs="黑体"/>
          <w:sz w:val="48"/>
          <w:szCs w:val="48"/>
        </w:rPr>
        <w:t>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40" w:type="dxa"/>
        <w:tblInd w:w="0" w:type="dxa"/>
        <w:tblLayout w:type="fixed"/>
        <w:tblCellMar>
          <w:top w:w="0" w:type="dxa"/>
          <w:left w:w="0" w:type="dxa"/>
          <w:bottom w:w="0" w:type="dxa"/>
          <w:right w:w="0" w:type="dxa"/>
        </w:tblCellMar>
      </w:tblPr>
      <w:tblGrid>
        <w:gridCol w:w="4262"/>
        <w:gridCol w:w="821"/>
        <w:gridCol w:w="1756"/>
        <w:gridCol w:w="4654"/>
        <w:gridCol w:w="746"/>
        <w:gridCol w:w="1701"/>
      </w:tblGrid>
      <w:tr>
        <w:tblPrEx>
          <w:tblCellMar>
            <w:top w:w="0" w:type="dxa"/>
            <w:left w:w="0" w:type="dxa"/>
            <w:bottom w:w="0" w:type="dxa"/>
            <w:right w:w="0" w:type="dxa"/>
          </w:tblCellMar>
        </w:tblPrEx>
        <w:trPr>
          <w:trHeight w:val="417" w:hRule="atLeast"/>
        </w:trPr>
        <w:tc>
          <w:tcPr>
            <w:tcW w:w="1394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243" w:hRule="atLeast"/>
        </w:trPr>
        <w:tc>
          <w:tcPr>
            <w:tcW w:w="6839"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01"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9490.16801</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244.565301</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十、节能环保支出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593.32</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十一、城乡社区支出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1728.515</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十三、交通运输支出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933</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十九、住房保障支出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5986.2165</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二十三、其他支出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4.5</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9490.16801</w:t>
            </w: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b/>
                <w:color w:val="000000"/>
                <w:sz w:val="20"/>
                <w:szCs w:val="20"/>
                <w:lang w:val="en-US" w:eastAsia="zh-CN"/>
              </w:rPr>
            </w:pPr>
            <w:r>
              <w:rPr>
                <w:rFonts w:hint="eastAsia" w:ascii="宋体" w:hAnsi="宋体" w:cs="宋体"/>
                <w:color w:val="000000"/>
                <w:sz w:val="20"/>
                <w:szCs w:val="20"/>
                <w:lang w:val="en-US" w:eastAsia="zh-CN"/>
              </w:rPr>
              <w:t>9490.16801</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5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701"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5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9490.16801</w:t>
            </w:r>
          </w:p>
        </w:tc>
        <w:tc>
          <w:tcPr>
            <w:tcW w:w="4654"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701"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b/>
                <w:color w:val="000000"/>
                <w:sz w:val="20"/>
                <w:szCs w:val="20"/>
                <w:lang w:val="en-US" w:eastAsia="zh-CN"/>
              </w:rPr>
            </w:pPr>
            <w:r>
              <w:rPr>
                <w:rFonts w:hint="eastAsia" w:ascii="宋体" w:hAnsi="宋体" w:cs="宋体"/>
                <w:color w:val="000000"/>
                <w:sz w:val="20"/>
                <w:szCs w:val="20"/>
                <w:lang w:val="en-US" w:eastAsia="zh-CN"/>
              </w:rPr>
              <w:t>9490.16801</w:t>
            </w:r>
          </w:p>
        </w:tc>
      </w:tr>
      <w:tr>
        <w:tblPrEx>
          <w:tblCellMar>
            <w:top w:w="0" w:type="dxa"/>
            <w:left w:w="0" w:type="dxa"/>
            <w:bottom w:w="0" w:type="dxa"/>
            <w:right w:w="0" w:type="dxa"/>
          </w:tblCellMar>
        </w:tblPrEx>
        <w:trPr>
          <w:trHeight w:val="243" w:hRule="atLeast"/>
        </w:trPr>
        <w:tc>
          <w:tcPr>
            <w:tcW w:w="13940"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1669"/>
        <w:gridCol w:w="1155"/>
        <w:gridCol w:w="1553"/>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6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275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11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755"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172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1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72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72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75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2755"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9490.116801</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一般公共服务支出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244.565301</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244.565301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20103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华文中宋" w:hAnsi="华文中宋" w:eastAsia="华文中宋" w:cs="华文中宋"/>
                <w:color w:val="000000"/>
                <w:sz w:val="20"/>
                <w:szCs w:val="20"/>
              </w:rPr>
            </w:pPr>
            <w:r>
              <w:rPr>
                <w:rFonts w:hint="eastAsia" w:ascii="宋体" w:hAnsi="宋体" w:cs="宋体"/>
                <w:color w:val="000000"/>
                <w:sz w:val="20"/>
                <w:szCs w:val="20"/>
                <w:lang w:val="en-US" w:eastAsia="zh-CN"/>
              </w:rPr>
              <w:t>244.565301</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244.565301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2010301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行政运行</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244.565301</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244.565301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节能环保支出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593.32</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593.32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21103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污染防治</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2110302</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水体</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21110</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能源节约利用</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562.32</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562.32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2111001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能源节约利用</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562.32</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562.32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1728.515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1728.515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城乡社区管理事务</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1333.89</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1333.89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2120106</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工程建设管理</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175.29</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175.29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2120199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其他城乡社区管理事务支出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1158.6</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1158.6</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21202</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城乡社区规划与管理</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67.225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67.225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2120201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城乡社区规划与管理</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67.225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67.225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21203</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城乡社区公共设施</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48</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2120399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其他城乡社区公共设施</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21205</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城乡社区环境卫生</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2120501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城乡社区环境卫生</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21299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其他城乡社区支出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274.1</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2129901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其他城乡社区支出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274.1</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214</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交通运输支出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933</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21402</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铁路运输</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933</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2120204</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铁路路网建设</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933</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住房保障支出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5986.2165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5986.2165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保障性安居工程支出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5986.2165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5986.2165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2210105</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农村危房改造</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295.2845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295.2845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2210108</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老旧小区改造</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4675.352</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4675.352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2210199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其他保障性安居工程支出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140.58</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140.58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22103</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城乡社区住宅</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875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875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2210399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其他城乡社区住宅支出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875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875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其他支出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22999</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其他支出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4.5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2299901</w:t>
            </w:r>
          </w:p>
        </w:tc>
        <w:tc>
          <w:tcPr>
            <w:tcW w:w="166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其他支出</w:t>
            </w:r>
          </w:p>
        </w:tc>
        <w:tc>
          <w:tcPr>
            <w:tcW w:w="11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4.5</w:t>
            </w:r>
          </w:p>
        </w:tc>
        <w:tc>
          <w:tcPr>
            <w:tcW w:w="172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2559"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政府办公厅（室）及相关机构事务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华文中宋" w:hAnsi="华文中宋" w:eastAsia="华文中宋" w:cs="华文中宋"/>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2010301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行政运行</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节能环保支出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污染防治</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2110302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水体</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能源节约利用</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2111001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能源节约利用</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城乡社区管理事务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1333.89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1333.89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工程建设管理</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175.29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175.29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其他城乡社区管理事务支出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1158.6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1158.6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城乡社区规划与管理</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城乡社区规划与管理</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城乡社区公共设施</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2120399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其他城乡社区公共设施</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城乡社区环境卫生</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城乡社区环境卫生</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2129901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214</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交通运输支出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21402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铁路运输</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2120204</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铁路路网建设</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住房保障支出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保障性安居工程支出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农村危房改造</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295.2845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295.2845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老旧小区改造</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4675.352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4675.352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其他保障性安居工程支出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140.58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140.58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城乡社区住宅</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2210399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其他城乡社区住宅支出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2299901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688"/>
        <w:gridCol w:w="1957"/>
        <w:gridCol w:w="268"/>
        <w:gridCol w:w="1007"/>
        <w:gridCol w:w="1188"/>
        <w:gridCol w:w="1254"/>
        <w:gridCol w:w="1306"/>
        <w:gridCol w:w="681"/>
        <w:gridCol w:w="1214"/>
        <w:gridCol w:w="248"/>
        <w:gridCol w:w="898"/>
        <w:gridCol w:w="349"/>
        <w:gridCol w:w="976"/>
        <w:gridCol w:w="1039"/>
        <w:gridCol w:w="189"/>
      </w:tblGrid>
      <w:tr>
        <w:tblPrEx>
          <w:tblCellMar>
            <w:top w:w="0" w:type="dxa"/>
            <w:left w:w="0" w:type="dxa"/>
            <w:bottom w:w="0" w:type="dxa"/>
            <w:right w:w="0" w:type="dxa"/>
          </w:tblCellMar>
        </w:tblPrEx>
        <w:trPr>
          <w:gridAfter w:val="1"/>
          <w:wAfter w:w="189" w:type="dxa"/>
          <w:trHeight w:val="90" w:hRule="atLeast"/>
        </w:trPr>
        <w:tc>
          <w:tcPr>
            <w:tcW w:w="12760"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39"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8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49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8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49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5834" w:type="dxa"/>
            <w:gridSpan w:val="6"/>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965" w:type="dxa"/>
            <w:gridSpan w:val="9"/>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325"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325"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39"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val="en-US" w:eastAsia="zh-CN" w:bidi="ar"/>
              </w:rPr>
              <w:t>十、节能环保支出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15</w:t>
            </w: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val="en-US" w:eastAsia="zh-CN" w:bidi="ar"/>
              </w:rPr>
              <w:t>十一、城乡社区支出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16</w:t>
            </w: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十三、交通运输支出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val="en-US" w:eastAsia="zh-CN" w:bidi="ar"/>
              </w:rPr>
              <w:t>十九、住房保障支出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17</w:t>
            </w: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val="en-US" w:eastAsia="zh-CN" w:bidi="ar"/>
              </w:rPr>
              <w:t>二十三、其他支出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21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21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21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32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21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21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21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21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25"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3"/>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1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2560" w:type="dxa"/>
            <w:gridSpan w:val="2"/>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21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14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9490.116801</w:t>
            </w:r>
          </w:p>
        </w:tc>
        <w:tc>
          <w:tcPr>
            <w:tcW w:w="1325"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12760" w:type="dxa"/>
            <w:gridSpan w:val="14"/>
            <w:tcBorders>
              <w:top w:val="single" w:color="000000" w:sz="8" w:space="0"/>
              <w:left w:val="nil"/>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15"/>
                <w:szCs w:val="15"/>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39" w:type="dxa"/>
            <w:tcBorders>
              <w:top w:val="single" w:color="000000" w:sz="8" w:space="0"/>
              <w:left w:val="nil"/>
              <w:bottom w:val="single" w:color="000000" w:sz="8" w:space="0"/>
              <w:right w:val="nil"/>
            </w:tcBorders>
            <w:noWrap w:val="0"/>
            <w:vAlign w:val="top"/>
          </w:tcPr>
          <w:p>
            <w:pPr>
              <w:widowControl/>
              <w:jc w:val="lef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600" w:hRule="atLeast"/>
        </w:trPr>
        <w:tc>
          <w:tcPr>
            <w:tcW w:w="13988" w:type="dxa"/>
            <w:gridSpan w:val="1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4"/>
                <w:rFonts w:hint="default"/>
                <w:lang w:bidi="ar"/>
              </w:rPr>
              <w:t>5表</w:t>
            </w:r>
          </w:p>
        </w:tc>
      </w:tr>
      <w:tr>
        <w:tblPrEx>
          <w:tblCellMar>
            <w:top w:w="0" w:type="dxa"/>
            <w:left w:w="0" w:type="dxa"/>
            <w:bottom w:w="0" w:type="dxa"/>
            <w:right w:w="0" w:type="dxa"/>
          </w:tblCellMar>
        </w:tblPrEx>
        <w:trPr>
          <w:trHeight w:val="300" w:hRule="atLeast"/>
        </w:trPr>
        <w:tc>
          <w:tcPr>
            <w:tcW w:w="3639"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10"/>
                <w:rFonts w:hint="default"/>
                <w:sz w:val="20"/>
                <w:szCs w:val="20"/>
                <w:lang w:bidi="ar"/>
              </w:rPr>
              <w:t xml:space="preserve">   </w:t>
            </w:r>
            <w:r>
              <w:rPr>
                <w:rStyle w:val="13"/>
                <w:rFonts w:hint="default"/>
                <w:sz w:val="20"/>
                <w:szCs w:val="20"/>
                <w:lang w:bidi="ar"/>
              </w:rPr>
              <w:t>目</w:t>
            </w:r>
          </w:p>
        </w:tc>
        <w:tc>
          <w:tcPr>
            <w:tcW w:w="10349" w:type="dxa"/>
            <w:gridSpan w:val="1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gridSpan w:val="4"/>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gridSpan w:val="5"/>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合计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9490.116801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9490.116801</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一般公共服务支出</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20103</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政府办公厅（室）及相关机构事务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华文中宋" w:hAnsi="华文中宋" w:eastAsia="华文中宋" w:cs="华文中宋"/>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2010301</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行政运行</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244.565301</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节能环保支出</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593.32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21103</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污染防治</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2110302</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水体</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21110</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能源节约利用</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2111001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能源节约利用</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562.32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1728.515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城乡社区管理事务</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1333.89</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1333.89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2120106</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工程建设管理</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175.29</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175.29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2120199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其他城乡社区管理事务支出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1158.6</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1158.6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城乡社区规划与管理</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城乡社区规划与管理</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67.225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21203</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城乡社区公共设施</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2120399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其他城乡社区公共设施</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21205</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城乡社区环境卫生</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2120501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城乡社区环境卫生</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2129901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274.1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214</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交通运输支出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21402</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铁路运输</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2120204</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铁路路网建设</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住房保障支出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保障性安居工程支出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5986.2165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2210105</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农村危房改造</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295.2845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295.2845</w:t>
            </w: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2210108</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老旧小区改造</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4675.352</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4675.352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2210199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其他保障性安居工程支出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140.58</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140.58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22103</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城乡社区住宅</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2210399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其他城乡社区住宅支出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875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22999</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2299901</w:t>
            </w: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其他支出</w:t>
            </w: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4.5</w:t>
            </w:r>
          </w:p>
        </w:tc>
      </w:tr>
      <w:tr>
        <w:trPr>
          <w:trHeight w:val="645" w:hRule="atLeast"/>
        </w:trPr>
        <w:tc>
          <w:tcPr>
            <w:tcW w:w="13988" w:type="dxa"/>
            <w:gridSpan w:val="1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590"/>
        <w:gridCol w:w="1133"/>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59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13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3598"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20"/>
                <w:szCs w:val="20"/>
                <w:lang w:bidi="ar"/>
              </w:rPr>
              <w:t>部门</w:t>
            </w:r>
            <w:r>
              <w:rPr>
                <w:rFonts w:ascii="Arial" w:hAnsi="Arial" w:cs="Arial"/>
                <w:color w:val="000000"/>
                <w:kern w:val="0"/>
                <w:sz w:val="20"/>
                <w:szCs w:val="20"/>
                <w:lang w:bidi="ar"/>
              </w:rPr>
              <w:t>：</w:t>
            </w:r>
            <w:r>
              <w:rPr>
                <w:rFonts w:hint="eastAsia" w:ascii="Arial" w:hAnsi="Arial" w:cs="Arial"/>
                <w:color w:val="000000"/>
                <w:kern w:val="0"/>
                <w:sz w:val="20"/>
                <w:szCs w:val="20"/>
                <w:lang w:val="en-US" w:eastAsia="zh-CN" w:bidi="ar"/>
              </w:rPr>
              <w:t>规划建设局</w:t>
            </w:r>
          </w:p>
        </w:tc>
        <w:tc>
          <w:tcPr>
            <w:tcW w:w="1133"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59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13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工资福利支出</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239.285301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sz w:val="20"/>
                <w:szCs w:val="20"/>
                <w:lang w:val="en-US" w:eastAsia="zh-CN"/>
              </w:rPr>
              <w:t>239.285301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30102</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30103</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30106</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30107</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30108</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30109</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30110</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30112</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30113</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30114</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30199</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30302</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30303</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30304</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30305</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30306</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30307</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30308</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30309</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30310</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30399</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598"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598"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人员经费合计</w:t>
            </w:r>
          </w:p>
        </w:tc>
        <w:tc>
          <w:tcPr>
            <w:tcW w:w="113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239.285301</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5.28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6"/>
                <w:rFonts w:hint="default"/>
                <w:sz w:val="20"/>
                <w:szCs w:val="20"/>
                <w:lang w:bidi="ar"/>
              </w:rPr>
              <w:t>预算数为“三公”经费年初预算数，决算数是包括当年一般公共预算财政拨款和以前年度结转资金安排的实际支出。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规划建设局</w:t>
            </w:r>
            <w:bookmarkStart w:id="0" w:name="_GoBack"/>
            <w:bookmarkEnd w:id="0"/>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w:t>
      </w:r>
      <w:r>
        <w:rPr>
          <w:rFonts w:ascii="黑体" w:hAnsi="黑体" w:eastAsia="黑体" w:cs="黑体"/>
          <w:sz w:val="48"/>
          <w:szCs w:val="48"/>
        </w:rPr>
        <w:t>20</w:t>
      </w:r>
      <w:r>
        <w:rPr>
          <w:rFonts w:hint="eastAsia" w:ascii="黑体" w:hAnsi="黑体" w:eastAsia="黑体" w:cs="黑体"/>
          <w:sz w:val="48"/>
          <w:szCs w:val="48"/>
        </w:rPr>
        <w:t>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万元。与上年度相比，收、支总计各增加</w:t>
      </w:r>
      <w:r>
        <w:rPr>
          <w:rFonts w:hint="eastAsia" w:ascii="仿宋_GB2312" w:hAnsi="仿宋_GB2312" w:eastAsia="仿宋_GB2312" w:cs="仿宋_GB2312"/>
          <w:sz w:val="32"/>
          <w:szCs w:val="32"/>
          <w:lang w:val="en-US" w:eastAsia="zh-CN"/>
        </w:rPr>
        <w:t>7272.84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项目支出增加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9245.55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万元。与上年度相比，财政拨款收、支总计各增加</w:t>
      </w:r>
      <w:r>
        <w:rPr>
          <w:rFonts w:hint="eastAsia" w:ascii="仿宋_GB2312" w:hAnsi="仿宋_GB2312" w:eastAsia="仿宋_GB2312" w:cs="仿宋_GB2312"/>
          <w:sz w:val="32"/>
          <w:szCs w:val="32"/>
          <w:lang w:val="en-US" w:eastAsia="zh-CN"/>
        </w:rPr>
        <w:t>7272.84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项目支出增加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7272.84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项目支出增加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节能环保</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593.32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1728.52万元，占18.2%；交通运输</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933万元，占9.8%；住房保障</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5986.22万元，占63.1%；其他</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4.5万元，占0.04%</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一般公共服务支出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政府办公厅（室）及相关机构事务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行政运行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节能环保支出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污染防治</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水体</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节能环保支出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能源节约利用</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能源节约利用</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562.32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562.32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4.城乡社区支出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城乡社区管理事务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工程建设管理</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175.29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175.29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5.城乡社区支出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城乡社区管理事务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其他城乡社区管理事务支出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1158.6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1158.6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6.城乡社区支出（类）</w:t>
      </w:r>
      <w:r>
        <w:rPr>
          <w:rFonts w:hint="eastAsia" w:ascii="仿宋_GB2312" w:hAnsi="仿宋_GB2312" w:eastAsia="仿宋_GB2312" w:cs="仿宋_GB2312"/>
          <w:b/>
          <w:bCs/>
          <w:sz w:val="32"/>
          <w:szCs w:val="32"/>
          <w:lang w:val="en-US" w:eastAsia="zh-CN"/>
        </w:rPr>
        <w:t>城乡社区规划与管理（款）</w:t>
      </w:r>
      <w:r>
        <w:rPr>
          <w:rFonts w:hint="eastAsia" w:ascii="仿宋_GB2312" w:hAnsi="仿宋_GB2312" w:eastAsia="仿宋_GB2312" w:cs="仿宋_GB2312"/>
          <w:b/>
          <w:bCs/>
          <w:sz w:val="32"/>
          <w:szCs w:val="32"/>
          <w:lang w:val="en-US" w:eastAsia="zh-CN"/>
        </w:rPr>
        <w:t>城乡社区规划与管理（项）。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67.225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67.225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7.城乡社区支出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城乡社区环境卫生（款）城乡社区环境支出（项）。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8.城乡社区支出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其他城乡社区支出（款）其他城乡社区支出（项）。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9.交通运输支出（类）铁路运输（款）铁路路网建设（项）。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10.住房保障支出（类）保障性安居工程支出（款）农村危房改造（项）。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295.2845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295.2845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11.住房保障支出（类）保障性安居工程支出（款）老旧小区改造（项）。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4675.352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4675.352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lang w:val="en-US" w:eastAsia="zh-CN"/>
        </w:rPr>
        <w:t>住房保障支出（类）保障性安居工程支出（款）其他保障性安居工程支出（项）。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140.58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140.58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13.住房保障支出（类）城乡社区住宅（款）其他城乡社区住宅支出（项）。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numPr>
          <w:ilvl w:val="0"/>
          <w:numId w:val="0"/>
        </w:numPr>
        <w:spacing w:line="59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14.其他支出（类）其他支出（款）其他支出（项）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239.29</w:t>
      </w:r>
      <w:r>
        <w:rPr>
          <w:rFonts w:hint="eastAsia" w:ascii="仿宋_GB2312" w:hAnsi="仿宋_GB2312" w:eastAsia="仿宋_GB2312" w:cs="仿宋_GB2312"/>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lang w:val="en-US" w:eastAsia="zh-CN"/>
        </w:rPr>
        <w:t>5.28</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公车加油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量。</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年，我单位纳入预算绩效管理的支出总额为</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239.29</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5.28</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9245.55</w:t>
      </w:r>
      <w:r>
        <w:rPr>
          <w:rFonts w:hint="eastAsia" w:ascii="仿宋_GB2312" w:hAnsi="仿宋_GB2312" w:eastAsia="仿宋_GB2312" w:cs="仿宋_GB2312"/>
          <w:sz w:val="32"/>
          <w:szCs w:val="32"/>
        </w:rPr>
        <w:t>万元。其中，进行项目绩效自评</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9245.55</w:t>
      </w:r>
      <w:r>
        <w:rPr>
          <w:rFonts w:hint="eastAsia" w:ascii="仿宋_GB2312" w:hAnsi="仿宋_GB2312" w:eastAsia="仿宋_GB2312" w:cs="仿宋_GB2312"/>
          <w:sz w:val="32"/>
          <w:szCs w:val="32"/>
        </w:rPr>
        <w:t>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ind w:firstLine="640" w:firstLineChars="200"/>
        <w:rPr>
          <w:rFonts w:hint="eastAsia" w:ascii="仿宋_GB2312" w:hAnsi="仿宋_GB2312" w:eastAsia="仿宋_GB2312" w:cs="仿宋_GB2312"/>
          <w:sz w:val="32"/>
          <w:szCs w:val="32"/>
        </w:rPr>
      </w:pPr>
      <w:r>
        <w:rPr>
          <w:rFonts w:hint="eastAsia" w:ascii="仿宋_GB2312" w:eastAsia="仿宋_GB2312" w:cs="仿宋_GB2312"/>
          <w:kern w:val="0"/>
          <w:sz w:val="32"/>
          <w:szCs w:val="32"/>
        </w:rPr>
        <w:t>根据预算绩效管理要求，规划建设局组织对</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年度一般公共预算项目支出开展了绩效自评。其中，</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9490.12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244.57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9245.55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w:t>
      </w:r>
    </w:p>
    <w:p>
      <w:pPr>
        <w:widowControl/>
        <w:numPr>
          <w:ilvl w:val="0"/>
          <w:numId w:val="2"/>
        </w:numPr>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重点绩效评价结果。</w:t>
      </w:r>
    </w:p>
    <w:p>
      <w:pPr>
        <w:ind w:firstLine="640" w:firstLineChars="200"/>
        <w:rPr>
          <w:rFonts w:hint="eastAsia" w:ascii="仿宋_GB2312" w:hAnsi="仿宋_GB2312" w:eastAsia="仿宋_GB2312" w:cs="仿宋_GB2312"/>
          <w:sz w:val="32"/>
          <w:szCs w:val="32"/>
        </w:rPr>
      </w:pPr>
      <w:r>
        <w:rPr>
          <w:rFonts w:hint="eastAsia" w:ascii="仿宋_GB2312" w:eastAsia="仿宋_GB2312" w:cs="仿宋_GB2312"/>
          <w:kern w:val="0"/>
          <w:sz w:val="32"/>
          <w:szCs w:val="32"/>
          <w:lang w:val="en-US" w:eastAsia="zh-CN"/>
        </w:rPr>
        <w:t>我单位无重点绩效评价项目。</w:t>
      </w:r>
    </w:p>
    <w:p>
      <w:pPr>
        <w:widowControl/>
        <w:ind w:firstLine="640" w:firstLineChars="200"/>
        <w:jc w:val="left"/>
        <w:rPr>
          <w:rFonts w:ascii="Times New Roman" w:hAnsi="Times New Roman" w:eastAsia="黑体"/>
          <w:sz w:val="32"/>
          <w:szCs w:val="32"/>
          <w:lang w:val="zh-CN"/>
        </w:rPr>
      </w:pPr>
      <w:r>
        <w:rPr>
          <w:rFonts w:ascii="Times New Roman" w:hAnsi="黑体" w:eastAsia="黑体"/>
          <w:sz w:val="32"/>
          <w:szCs w:val="32"/>
          <w:lang w:val="zh-CN"/>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我部门2020年度没有政府性基金收入，也没有使用政府性基金安排的支出。</w:t>
      </w:r>
    </w:p>
    <w:p>
      <w:pPr>
        <w:widowControl/>
        <w:ind w:firstLine="640" w:firstLineChars="200"/>
        <w:jc w:val="left"/>
        <w:rPr>
          <w:rFonts w:ascii="Times New Roman" w:hAnsi="Times New Roman" w:eastAsia="黑体"/>
          <w:sz w:val="32"/>
          <w:szCs w:val="32"/>
          <w:lang w:val="zh-CN"/>
        </w:rPr>
      </w:pPr>
      <w:r>
        <w:rPr>
          <w:rFonts w:ascii="Times New Roman" w:hAnsi="黑体" w:eastAsia="黑体"/>
          <w:sz w:val="32"/>
          <w:szCs w:val="32"/>
          <w:lang w:val="zh-CN"/>
        </w:rPr>
        <w:t>十、机关运行经费支出情况说明</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我单位不是行政机关，也不是参照公务员管理事业单位，没有机关运行经费支出。</w:t>
      </w:r>
    </w:p>
    <w:p>
      <w:pPr>
        <w:widowControl/>
        <w:ind w:firstLine="640" w:firstLineChars="200"/>
        <w:jc w:val="left"/>
        <w:rPr>
          <w:rFonts w:ascii="Times New Roman" w:hAnsi="黑体" w:eastAsia="黑体"/>
          <w:sz w:val="32"/>
          <w:szCs w:val="32"/>
          <w:lang w:val="zh-CN"/>
        </w:rPr>
      </w:pPr>
      <w:r>
        <w:rPr>
          <w:rFonts w:hint="eastAsia" w:ascii="Times New Roman" w:hAnsi="黑体" w:eastAsia="黑体"/>
          <w:sz w:val="32"/>
          <w:szCs w:val="32"/>
          <w:lang w:val="zh-CN" w:eastAsia="zh-CN"/>
        </w:rPr>
        <w:t>十</w:t>
      </w:r>
      <w:r>
        <w:rPr>
          <w:rFonts w:ascii="Times New Roman" w:hAnsi="黑体" w:eastAsia="黑体"/>
          <w:sz w:val="32"/>
          <w:szCs w:val="32"/>
          <w:lang w:val="zh-CN"/>
        </w:rPr>
        <w:t>一、政府采购支出情况说明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我单位2020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政府采购支出</w:t>
      </w:r>
      <w:r>
        <w:rPr>
          <w:rFonts w:hint="eastAsia" w:ascii="仿宋_GB2312" w:hAnsi="仿宋_GB2312" w:eastAsia="仿宋_GB2312" w:cs="仿宋_GB2312"/>
          <w:sz w:val="32"/>
          <w:szCs w:val="32"/>
          <w:lang w:eastAsia="zh-CN"/>
        </w:rPr>
        <w:t>。</w:t>
      </w:r>
    </w:p>
    <w:p>
      <w:pPr>
        <w:widowControl/>
        <w:ind w:firstLine="640" w:firstLineChars="200"/>
        <w:jc w:val="left"/>
        <w:rPr>
          <w:rFonts w:ascii="Times New Roman" w:hAnsi="Times New Roman" w:eastAsia="黑体"/>
          <w:sz w:val="32"/>
          <w:szCs w:val="32"/>
          <w:lang w:val="zh-CN"/>
        </w:rPr>
      </w:pPr>
      <w:r>
        <w:rPr>
          <w:rFonts w:ascii="Times New Roman" w:hAnsi="黑体" w:eastAsia="黑体"/>
          <w:sz w:val="32"/>
          <w:szCs w:val="32"/>
          <w:lang w:val="zh-CN"/>
        </w:rPr>
        <w:t>十二、国有资产占用情况说明</w:t>
      </w:r>
    </w:p>
    <w:p>
      <w:pPr>
        <w:widowControl/>
        <w:spacing w:line="590" w:lineRule="exact"/>
        <w:ind w:firstLine="640" w:firstLineChars="200"/>
        <w:rPr>
          <w:rFonts w:hint="eastAsia" w:ascii="Times New Roman" w:hAnsi="Times New Roman" w:eastAsia="仿宋_GB2312"/>
          <w:sz w:val="32"/>
          <w:szCs w:val="32"/>
          <w:lang w:val="en-US" w:eastAsia="zh-CN"/>
        </w:rPr>
        <w:sectPr>
          <w:footerReference r:id="rId5" w:type="default"/>
          <w:footerReference r:id="rId6" w:type="even"/>
          <w:pgSz w:w="11906" w:h="16838"/>
          <w:pgMar w:top="1440" w:right="1800" w:bottom="1440" w:left="1800" w:header="720" w:footer="720" w:gutter="0"/>
          <w:pgNumType w:fmt="numberInDash" w:start="14"/>
          <w:cols w:space="720" w:num="1"/>
          <w:docGrid w:type="lines" w:linePitch="312" w:charSpace="0"/>
        </w:sect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年期末，我部门共有车辆1辆，其中：公务用车1辆；单位价值50万元以上通用设备0台（套），单位价值100万元以上专用设备0台（套）</w:t>
      </w:r>
      <w:r>
        <w:rPr>
          <w:rFonts w:hint="eastAsia" w:ascii="仿宋_GB2312" w:hAnsi="仿宋_GB2312" w:eastAsia="仿宋_GB2312" w:cs="仿宋_GB2312"/>
          <w:sz w:val="32"/>
          <w:szCs w:val="32"/>
          <w:lang w:eastAsia="zh-CN"/>
        </w:rPr>
        <w:t>。</w:t>
      </w: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4"/>
                              <w:szCs w:val="24"/>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24"/>
                        <w:szCs w:val="24"/>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F900A"/>
    <w:multiLevelType w:val="singleLevel"/>
    <w:tmpl w:val="144F900A"/>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8"/>
    <w:rsid w:val="000270E8"/>
    <w:rsid w:val="000335B5"/>
    <w:rsid w:val="00057AFD"/>
    <w:rsid w:val="00076410"/>
    <w:rsid w:val="00081835"/>
    <w:rsid w:val="000C073B"/>
    <w:rsid w:val="001003F8"/>
    <w:rsid w:val="00144159"/>
    <w:rsid w:val="001718A8"/>
    <w:rsid w:val="00182842"/>
    <w:rsid w:val="00184D53"/>
    <w:rsid w:val="001905F2"/>
    <w:rsid w:val="00197592"/>
    <w:rsid w:val="001C32F0"/>
    <w:rsid w:val="001D61B1"/>
    <w:rsid w:val="001F5040"/>
    <w:rsid w:val="002006EB"/>
    <w:rsid w:val="00260D70"/>
    <w:rsid w:val="00282C7F"/>
    <w:rsid w:val="00287811"/>
    <w:rsid w:val="002A6352"/>
    <w:rsid w:val="002B3F94"/>
    <w:rsid w:val="002E6A86"/>
    <w:rsid w:val="00304D04"/>
    <w:rsid w:val="00305B88"/>
    <w:rsid w:val="00315FEB"/>
    <w:rsid w:val="0041489C"/>
    <w:rsid w:val="0042585F"/>
    <w:rsid w:val="00445CAC"/>
    <w:rsid w:val="00472E19"/>
    <w:rsid w:val="00487869"/>
    <w:rsid w:val="004D5275"/>
    <w:rsid w:val="00507364"/>
    <w:rsid w:val="00546F7C"/>
    <w:rsid w:val="005A0C2F"/>
    <w:rsid w:val="005B1AE2"/>
    <w:rsid w:val="005E3397"/>
    <w:rsid w:val="00607D67"/>
    <w:rsid w:val="006228C4"/>
    <w:rsid w:val="006512DD"/>
    <w:rsid w:val="00656BEF"/>
    <w:rsid w:val="00656D75"/>
    <w:rsid w:val="00657E86"/>
    <w:rsid w:val="00673EF7"/>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903F6B"/>
    <w:rsid w:val="009173F9"/>
    <w:rsid w:val="00962F58"/>
    <w:rsid w:val="00975A04"/>
    <w:rsid w:val="009F0FBB"/>
    <w:rsid w:val="009F546E"/>
    <w:rsid w:val="00A079F0"/>
    <w:rsid w:val="00A42F43"/>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710DD"/>
    <w:rsid w:val="00BE5A85"/>
    <w:rsid w:val="00BF4E6A"/>
    <w:rsid w:val="00BF5718"/>
    <w:rsid w:val="00C3106E"/>
    <w:rsid w:val="00C60609"/>
    <w:rsid w:val="00C95CC1"/>
    <w:rsid w:val="00CA3F44"/>
    <w:rsid w:val="00CE212D"/>
    <w:rsid w:val="00CE4B38"/>
    <w:rsid w:val="00D1321A"/>
    <w:rsid w:val="00D30ADF"/>
    <w:rsid w:val="00D6315E"/>
    <w:rsid w:val="00D652C2"/>
    <w:rsid w:val="00D74EE2"/>
    <w:rsid w:val="00D83E19"/>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2E81D2A"/>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2376FB5"/>
    <w:rsid w:val="23E152D7"/>
    <w:rsid w:val="24575380"/>
    <w:rsid w:val="255D43C8"/>
    <w:rsid w:val="26876BDD"/>
    <w:rsid w:val="2714632A"/>
    <w:rsid w:val="27B0539E"/>
    <w:rsid w:val="29365CF8"/>
    <w:rsid w:val="299469B3"/>
    <w:rsid w:val="2A805789"/>
    <w:rsid w:val="2ADC0D75"/>
    <w:rsid w:val="2B4A0E52"/>
    <w:rsid w:val="2C975890"/>
    <w:rsid w:val="2D485326"/>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0C45124"/>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7F3B6C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7"/>
    <w:unhideWhenUsed/>
    <w:qFormat/>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uiPriority w:val="99"/>
    <w:rPr>
      <w:color w:val="0000FF"/>
      <w:u w:val="single"/>
    </w:rPr>
  </w:style>
  <w:style w:type="character" w:customStyle="1" w:styleId="10">
    <w:name w:val="font01"/>
    <w:qFormat/>
    <w:uiPriority w:val="0"/>
    <w:rPr>
      <w:rFonts w:hint="eastAsia" w:ascii="宋体" w:hAnsi="宋体" w:eastAsia="宋体" w:cs="宋体"/>
      <w:color w:val="000000"/>
      <w:sz w:val="22"/>
      <w:szCs w:val="22"/>
      <w:u w:val="none"/>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页眉 Char"/>
    <w:link w:val="4"/>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页脚 Char"/>
    <w:link w:val="3"/>
    <w:uiPriority w:val="99"/>
    <w:rPr>
      <w:kern w:val="2"/>
      <w:sz w:val="18"/>
      <w:szCs w:val="18"/>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1260</Words>
  <Characters>7186</Characters>
  <Lines>59</Lines>
  <Paragraphs>16</Paragraphs>
  <TotalTime>2</TotalTime>
  <ScaleCrop>false</ScaleCrop>
  <LinksUpToDate>false</LinksUpToDate>
  <CharactersWithSpaces>8430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南方南</cp:lastModifiedBy>
  <cp:lastPrinted>2018-07-24T10:50:00Z</cp:lastPrinted>
  <dcterms:modified xsi:type="dcterms:W3CDTF">2021-09-30T03:27:35Z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E6D4C48ADD5F4278A5089FC6F4AA4078</vt:lpwstr>
  </property>
</Properties>
</file>