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32"/>
          <w:szCs w:val="32"/>
          <w:lang w:val="en-US" w:eastAsia="zh-CN"/>
        </w:rPr>
        <w:t>濮阳开发区纪工委监察工委机关  濮阳开发区供销合作社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sz w:val="44"/>
          <w:szCs w:val="44"/>
          <w:lang w:val="en-US" w:eastAsia="zh-CN"/>
        </w:rPr>
        <w:t>濮阳开发区</w:t>
      </w:r>
      <w:r>
        <w:rPr>
          <w:rFonts w:hint="default" w:ascii="Times New Roman" w:hAnsi="Times New Roman" w:eastAsia="方正小标宋简体" w:cs="Times New Roman"/>
          <w:sz w:val="44"/>
          <w:szCs w:val="44"/>
        </w:rPr>
        <w:t>整治供销合作社系统腐败问题促进改革和治理工作方案</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各乡（镇）纪委、供销合作社：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为深入学习贯彻习近平总书记关于整治供销合作社系统腐败问题的重要批示精神，全面落实中央纪委国家监委部署要求，深入推进整治我省供销合作社系统腐败问题、促进改革和治理工作，区纪工委监察工委机关会同区供销合作社研究制定了《濮阳开发区整治供销合作社系统腐败问题促进改革和治理工作方案》，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濮阳开发区纪工委监察工委       濮阳开发区供销合作社</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2021年2月4日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濮阳开发区</w:t>
      </w:r>
      <w:r>
        <w:rPr>
          <w:rFonts w:hint="default" w:ascii="Times New Roman" w:hAnsi="Times New Roman" w:eastAsia="方正小标宋简体" w:cs="Times New Roman"/>
          <w:sz w:val="44"/>
          <w:szCs w:val="44"/>
        </w:rPr>
        <w:t>整治供销合作社系统腐败问题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促进改革和治理工作方案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为深入贯彻落实习近平总</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记关于供销合作社工作的重要指示批示精神，按照中央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省、市</w:t>
      </w:r>
      <w:r>
        <w:rPr>
          <w:rFonts w:hint="default" w:ascii="Times New Roman" w:hAnsi="Times New Roman" w:eastAsia="仿宋_GB2312" w:cs="Times New Roman"/>
          <w:sz w:val="32"/>
          <w:szCs w:val="32"/>
        </w:rPr>
        <w:t>纪委监委关于开展供销合作社系统腐败问题重点整治工作的通知要求，</w:t>
      </w:r>
      <w:r>
        <w:rPr>
          <w:rFonts w:hint="default" w:ascii="Times New Roman" w:hAnsi="Times New Roman" w:eastAsia="仿宋_GB2312" w:cs="Times New Roman"/>
          <w:sz w:val="32"/>
          <w:szCs w:val="32"/>
          <w:lang w:val="en-US" w:eastAsia="zh-CN"/>
        </w:rPr>
        <w:t>开发区纪工委监察工委</w:t>
      </w:r>
      <w:r>
        <w:rPr>
          <w:rFonts w:hint="default" w:ascii="Times New Roman" w:hAnsi="Times New Roman" w:eastAsia="仿宋_GB2312" w:cs="Times New Roman"/>
          <w:sz w:val="32"/>
          <w:szCs w:val="32"/>
        </w:rPr>
        <w:t>决定从2020年12月开始在全</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供销合作社系统开展整治腐败问题促进改革和治理工作，现制定如下方案。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坚持以习近平新时代中国特色社会主义思想为指导，全面</w:t>
      </w:r>
      <w:r>
        <w:rPr>
          <w:rFonts w:hint="default" w:ascii="Times New Roman" w:hAnsi="Times New Roman" w:eastAsia="仿宋_GB2312" w:cs="Times New Roman"/>
          <w:sz w:val="32"/>
          <w:szCs w:val="32"/>
          <w:lang w:val="en-US" w:eastAsia="zh-CN"/>
        </w:rPr>
        <w:t>贯</w:t>
      </w:r>
      <w:r>
        <w:rPr>
          <w:rFonts w:hint="default" w:ascii="Times New Roman" w:hAnsi="Times New Roman" w:eastAsia="仿宋_GB2312" w:cs="Times New Roman"/>
          <w:sz w:val="32"/>
          <w:szCs w:val="32"/>
        </w:rPr>
        <w:t>彻落实习近平总书记关于供销合作社工作的重要指示批示精神，增强“四个意识”、坚定“四个自信”、做到“两个维护”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加快推进农业农村现代化、巩固党在农村执政基础的战略高度，落实“三不”一体推进方针方略，以严肃查处腐败案件为突破口，把整治供销合作社系统腐败问题与促进改革和治理有机统一起来，与解决群众身边的腐败和作风问题结合起来，推动供销合作社加快成为服务农民生产生活的综合平台，成为党和政府密切联系农民群众的桥梁纽带，为推进乡村振兴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二、整治和促进改革治理重点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重点整治供销合作社系统腐败和作风方面的问题</w:t>
      </w:r>
      <w:r>
        <w:rPr>
          <w:rFonts w:hint="default" w:ascii="Times New Roman" w:hAnsi="Times New Roman" w:eastAsia="楷体" w:cs="Times New Roman"/>
          <w:sz w:val="32"/>
          <w:szCs w:val="32"/>
          <w:lang w:eastAsia="zh-CN"/>
        </w:rPr>
        <w:t>。</w:t>
      </w:r>
      <w:r>
        <w:rPr>
          <w:rFonts w:hint="eastAsia" w:ascii="Times New Roman" w:hAnsi="Times New Roman" w:eastAsia="仿宋_GB2312" w:cs="Times New Roman"/>
          <w:sz w:val="32"/>
          <w:szCs w:val="32"/>
          <w:lang w:val="en-US" w:eastAsia="zh-CN"/>
        </w:rPr>
        <w:t>以社有资产排查为切入点，</w:t>
      </w:r>
      <w:r>
        <w:rPr>
          <w:rFonts w:hint="default" w:ascii="Times New Roman" w:hAnsi="Times New Roman" w:eastAsia="仿宋_GB2312" w:cs="Times New Roman"/>
          <w:sz w:val="32"/>
          <w:szCs w:val="32"/>
        </w:rPr>
        <w:t>重点查处群众反映强烈的利用资源开发、土地使用权出让、低价处置社有资产、侵吞社有资产以及滥用职权</w:t>
      </w:r>
      <w:r>
        <w:rPr>
          <w:rFonts w:hint="eastAsia" w:ascii="Times New Roman" w:hAnsi="Times New Roman" w:eastAsia="仿宋_GB2312" w:cs="Times New Roman"/>
          <w:sz w:val="32"/>
          <w:szCs w:val="32"/>
          <w:lang w:val="en-US" w:eastAsia="zh-CN"/>
        </w:rPr>
        <w:t>失职失责</w:t>
      </w:r>
      <w:r>
        <w:rPr>
          <w:rFonts w:hint="default" w:ascii="Times New Roman" w:hAnsi="Times New Roman" w:eastAsia="仿宋_GB2312" w:cs="Times New Roman"/>
          <w:sz w:val="32"/>
          <w:szCs w:val="32"/>
        </w:rPr>
        <w:t>造成社有资产严重流失等问题。在严查腐败</w:t>
      </w:r>
      <w:r>
        <w:rPr>
          <w:rFonts w:hint="eastAsia"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rPr>
        <w:t>的同时，大力整肃供销合作社系统管党治党不力、组织涣散、纪律松弛，党内政治生活不严肃，落实中央八项规定精神不力，脱离为农服务根本宗旨、偏离主责主业，</w:t>
      </w:r>
      <w:r>
        <w:rPr>
          <w:rFonts w:hint="eastAsia" w:ascii="Times New Roman" w:hAnsi="Times New Roman" w:eastAsia="仿宋_GB2312" w:cs="Times New Roman"/>
          <w:sz w:val="32"/>
          <w:szCs w:val="32"/>
          <w:lang w:val="en-US" w:eastAsia="zh-CN"/>
        </w:rPr>
        <w:t>财务管理混乱、</w:t>
      </w:r>
      <w:r>
        <w:rPr>
          <w:rFonts w:hint="default" w:ascii="Times New Roman" w:hAnsi="Times New Roman" w:eastAsia="仿宋_GB2312" w:cs="Times New Roman"/>
          <w:sz w:val="32"/>
          <w:szCs w:val="32"/>
        </w:rPr>
        <w:t>违规在下属企业兼职取酬，监管监督严重缺</w:t>
      </w:r>
      <w:r>
        <w:rPr>
          <w:rFonts w:hint="eastAsia" w:ascii="Times New Roman" w:hAnsi="Times New Roman" w:eastAsia="仿宋_GB2312" w:cs="Times New Roman"/>
          <w:sz w:val="32"/>
          <w:szCs w:val="32"/>
          <w:lang w:val="en-US" w:eastAsia="zh-CN"/>
        </w:rPr>
        <w:t>失</w:t>
      </w:r>
      <w:r>
        <w:rPr>
          <w:rFonts w:hint="default" w:ascii="Times New Roman" w:hAnsi="Times New Roman" w:eastAsia="仿宋_GB2312" w:cs="Times New Roman"/>
          <w:sz w:val="32"/>
          <w:szCs w:val="32"/>
        </w:rPr>
        <w:t>等突出问题</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推动供销合作社系统解决改革和治理机制创新方面的问题。</w:t>
      </w:r>
      <w:r>
        <w:rPr>
          <w:rFonts w:hint="default" w:ascii="Times New Roman" w:hAnsi="Times New Roman" w:eastAsia="仿宋_GB2312" w:cs="Times New Roman"/>
          <w:sz w:val="32"/>
          <w:szCs w:val="32"/>
        </w:rPr>
        <w:t>重点推动解决</w:t>
      </w:r>
      <w:r>
        <w:rPr>
          <w:rFonts w:hint="eastAsia" w:ascii="Times New Roman" w:hAnsi="Times New Roman" w:eastAsia="仿宋_GB2312" w:cs="Times New Roman"/>
          <w:sz w:val="32"/>
          <w:szCs w:val="32"/>
          <w:lang w:val="en-US" w:eastAsia="zh-CN"/>
        </w:rPr>
        <w:t>深化供销社综合改革不到位问题</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区、乡两级</w:t>
      </w:r>
      <w:r>
        <w:rPr>
          <w:rFonts w:hint="default" w:ascii="Times New Roman" w:hAnsi="Times New Roman" w:eastAsia="仿宋_GB2312" w:cs="Times New Roman"/>
          <w:sz w:val="32"/>
          <w:szCs w:val="32"/>
        </w:rPr>
        <w:t>供销合作社“三会”制度不健全、不完善，治理机制创新成效不明显等问题；</w:t>
      </w:r>
      <w:r>
        <w:rPr>
          <w:rFonts w:hint="default" w:ascii="Times New Roman" w:hAnsi="Times New Roman" w:eastAsia="仿宋_GB2312" w:cs="Times New Roman"/>
          <w:sz w:val="32"/>
          <w:szCs w:val="32"/>
          <w:lang w:val="en-US" w:eastAsia="zh-CN"/>
        </w:rPr>
        <w:t>区供销</w:t>
      </w:r>
      <w:r>
        <w:rPr>
          <w:rFonts w:hint="eastAsia"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lang w:val="en-US" w:eastAsia="zh-CN"/>
        </w:rPr>
        <w:t>社</w:t>
      </w:r>
      <w:r>
        <w:rPr>
          <w:rFonts w:hint="default" w:ascii="Times New Roman" w:hAnsi="Times New Roman" w:eastAsia="仿宋_GB2312" w:cs="Times New Roman"/>
          <w:sz w:val="32"/>
          <w:szCs w:val="32"/>
        </w:rPr>
        <w:t>在本</w:t>
      </w:r>
      <w:r>
        <w:rPr>
          <w:rFonts w:hint="eastAsia" w:ascii="Times New Roman" w:hAnsi="Times New Roman" w:eastAsia="仿宋_GB2312" w:cs="Times New Roman"/>
          <w:sz w:val="32"/>
          <w:szCs w:val="32"/>
          <w:lang w:val="en-US" w:eastAsia="zh-CN"/>
        </w:rPr>
        <w:t>区域内</w:t>
      </w:r>
      <w:r>
        <w:rPr>
          <w:rFonts w:hint="default" w:ascii="Times New Roman" w:hAnsi="Times New Roman" w:eastAsia="仿宋_GB2312" w:cs="Times New Roman"/>
          <w:sz w:val="32"/>
          <w:szCs w:val="32"/>
        </w:rPr>
        <w:t>行业管理、改革协调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资产监管、教育培训职责履行不到位</w:t>
      </w:r>
      <w:r>
        <w:rPr>
          <w:rFonts w:hint="eastAsia" w:ascii="Times New Roman" w:hAnsi="Times New Roman" w:eastAsia="仿宋_GB2312" w:cs="Times New Roman"/>
          <w:sz w:val="32"/>
          <w:szCs w:val="32"/>
          <w:lang w:val="en-US" w:eastAsia="zh-CN"/>
        </w:rPr>
        <w:t>等问题</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区供销合作社工作导向不清晰、工作制度不健全，乡镇供销合作社对区社评价机制不健全等问题。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主要措施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（一）深入查找问题。</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供销合作社要结合工作实际，认真梳理权力清单、责任清单，深入查找廉政风险点，列出重点问题清单，建立工作台账，制定整改措施，明确责任人和完成时限，及时将有关情况报送</w:t>
      </w:r>
      <w:r>
        <w:rPr>
          <w:rFonts w:hint="default" w:ascii="Times New Roman" w:hAnsi="Times New Roman" w:eastAsia="仿宋_GB2312" w:cs="Times New Roman"/>
          <w:sz w:val="32"/>
          <w:szCs w:val="32"/>
          <w:lang w:val="en-US" w:eastAsia="zh-CN"/>
        </w:rPr>
        <w:t>区纪工委</w:t>
      </w:r>
      <w:r>
        <w:rPr>
          <w:rFonts w:hint="default" w:ascii="Times New Roman" w:hAnsi="Times New Roman" w:eastAsia="仿宋_GB2312" w:cs="Times New Roman"/>
          <w:sz w:val="32"/>
          <w:szCs w:val="32"/>
        </w:rPr>
        <w:t>审核逐级上报。</w:t>
      </w:r>
      <w:r>
        <w:rPr>
          <w:rFonts w:hint="default" w:ascii="Times New Roman" w:hAnsi="Times New Roman" w:eastAsia="仿宋_GB2312" w:cs="Times New Roman"/>
          <w:sz w:val="32"/>
          <w:szCs w:val="32"/>
          <w:lang w:val="en-US" w:eastAsia="zh-CN"/>
        </w:rPr>
        <w:t>区纪工委</w:t>
      </w:r>
      <w:r>
        <w:rPr>
          <w:rFonts w:hint="default" w:ascii="Times New Roman" w:hAnsi="Times New Roman" w:eastAsia="仿宋_GB2312" w:cs="Times New Roman"/>
          <w:sz w:val="32"/>
          <w:szCs w:val="32"/>
        </w:rPr>
        <w:t>会同巡察</w:t>
      </w:r>
      <w:r>
        <w:rPr>
          <w:rFonts w:hint="eastAsia"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结合近年来对区供销合作社的监督检查、案件查办、巡视巡察等情况，形成政治生态分析研判专题报告。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lang w:eastAsia="zh-CN"/>
        </w:rPr>
        <w:t>）问题线索起底。</w:t>
      </w:r>
      <w:r>
        <w:rPr>
          <w:rFonts w:hint="default" w:ascii="Times New Roman" w:hAnsi="Times New Roman" w:eastAsia="仿宋_GB2312" w:cs="Times New Roman"/>
          <w:sz w:val="32"/>
          <w:szCs w:val="32"/>
        </w:rPr>
        <w:t>充分利用信访举报、巡视巡察、专项审计和检查等途径，依规依纪依法拓展问题线索来源。对问题线索进行“大起底”，对2013年以来</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供销合作社系统问题线索认真</w:t>
      </w:r>
      <w:r>
        <w:rPr>
          <w:rFonts w:hint="default" w:ascii="Times New Roman" w:hAnsi="Times New Roman" w:eastAsia="仿宋_GB2312" w:cs="Times New Roman"/>
          <w:sz w:val="32"/>
          <w:szCs w:val="32"/>
          <w:lang w:val="en-US" w:eastAsia="zh-CN"/>
        </w:rPr>
        <w:t>梳</w:t>
      </w:r>
      <w:r>
        <w:rPr>
          <w:rFonts w:hint="default" w:ascii="Times New Roman" w:hAnsi="Times New Roman" w:eastAsia="仿宋_GB2312" w:cs="Times New Roman"/>
          <w:sz w:val="32"/>
          <w:szCs w:val="32"/>
        </w:rPr>
        <w:t>理统计，切实摸清底数，建立台账，专人管理，及时更新，</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期核对。对已了结的问题线索进行“回头看”，对办理不到</w:t>
      </w:r>
      <w:r>
        <w:rPr>
          <w:rFonts w:hint="default" w:ascii="Times New Roman" w:hAnsi="Times New Roman" w:eastAsia="仿宋_GB2312" w:cs="Times New Roman"/>
          <w:sz w:val="32"/>
          <w:szCs w:val="32"/>
          <w:lang w:val="en-US" w:eastAsia="zh-CN"/>
        </w:rPr>
        <w:t>位</w:t>
      </w:r>
      <w:r>
        <w:rPr>
          <w:rFonts w:hint="default" w:ascii="Times New Roman" w:hAnsi="Times New Roman" w:eastAsia="仿宋_GB2312" w:cs="Times New Roman"/>
          <w:sz w:val="32"/>
          <w:szCs w:val="32"/>
        </w:rPr>
        <w:t>的重新处置；对未办结或新受理的问题线索集中力量及时办</w:t>
      </w:r>
      <w:r>
        <w:rPr>
          <w:rFonts w:hint="default" w:ascii="Times New Roman" w:hAnsi="Times New Roman" w:eastAsia="仿宋_GB2312" w:cs="Times New Roman"/>
          <w:sz w:val="32"/>
          <w:szCs w:val="32"/>
          <w:lang w:val="en-US" w:eastAsia="zh-CN"/>
        </w:rPr>
        <w:t>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（三）严肃查处案件。</w:t>
      </w:r>
      <w:r>
        <w:rPr>
          <w:rFonts w:hint="default" w:ascii="Times New Roman" w:hAnsi="Times New Roman" w:eastAsia="仿宋_GB2312" w:cs="Times New Roman"/>
          <w:sz w:val="32"/>
          <w:szCs w:val="32"/>
        </w:rPr>
        <w:t>加大对供销合作社系统腐败问题查处力度，对发现的问题线索严查快办。对整体问题线索较少的，纳入巡察重要内容，畅通信访举报渠道；对举报线索较多、问题反映集中、涉腐可能性大的，及时组织核查；对政治问题与经济问题交织的腐败，优先进行核查；对经谈话函询了结或直接了结的问题线索，可以视审查调查工作需要“激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对严重</w:t>
      </w:r>
      <w:r>
        <w:rPr>
          <w:rFonts w:hint="default" w:ascii="Times New Roman" w:hAnsi="Times New Roman" w:eastAsia="仿宋_GB2312" w:cs="Times New Roman"/>
          <w:sz w:val="32"/>
          <w:szCs w:val="32"/>
          <w:lang w:val="en-US" w:eastAsia="zh-CN"/>
        </w:rPr>
        <w:t>违纪</w:t>
      </w:r>
      <w:r>
        <w:rPr>
          <w:rFonts w:hint="default" w:ascii="Times New Roman" w:hAnsi="Times New Roman" w:eastAsia="仿宋_GB2312" w:cs="Times New Roman"/>
          <w:sz w:val="32"/>
          <w:szCs w:val="32"/>
        </w:rPr>
        <w:t>违法问题坚决查处，精准运用“四种形态”，把教育人、帮助人、转化人、挽救人贯穿查办案件始终。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（四）推动以案促改。</w:t>
      </w:r>
      <w:r>
        <w:rPr>
          <w:rFonts w:hint="default" w:ascii="Times New Roman" w:hAnsi="Times New Roman" w:eastAsia="仿宋_GB2312" w:cs="Times New Roman"/>
          <w:sz w:val="32"/>
          <w:szCs w:val="32"/>
        </w:rPr>
        <w:t>要充分发挥查办案件的治本功能，深入分析供销合作社系统突出的腐败问题，全面剖析产生问题的深层次原因，找准腐败问题易发多发的重点部位、关键环节和廉政风险点。通过制发纪律检查建议书、监察建议书等方式提出整改建议，督促供销合作社系统有针对性地选用典型案例开展以案促改，压实全面从严治党主体责任，整改突出问题，扎紧制度笼子，推动完善治理体系，提升治理能力，防止同类问题重复发生，净化优化政治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注重建章立制</w:t>
      </w:r>
      <w:r>
        <w:rPr>
          <w:rFonts w:hint="default" w:ascii="Times New Roman" w:hAnsi="Times New Roman" w:eastAsia="楷体" w:cs="Times New Roman"/>
          <w:sz w:val="32"/>
          <w:szCs w:val="32"/>
          <w:lang w:eastAsia="zh-CN"/>
        </w:rPr>
        <w:t>。</w:t>
      </w:r>
      <w:r>
        <w:rPr>
          <w:rFonts w:hint="eastAsia" w:ascii="Times New Roman" w:hAnsi="Times New Roman" w:eastAsia="仿宋_GB2312" w:cs="Times New Roman"/>
          <w:sz w:val="32"/>
          <w:szCs w:val="32"/>
          <w:lang w:val="en-US" w:eastAsia="zh-CN"/>
        </w:rPr>
        <w:t>针对发现的突出问题，建立健全各项管理制度，明确各级各部门相关职责，加强监督监管，形成较为完善的制度体系和治理体系，推动深化供销系统综合改革，形成改革和治理的长效机制。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（一）加强组织领导。</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开发区纪工委</w:t>
      </w:r>
      <w:r>
        <w:rPr>
          <w:rFonts w:hint="default" w:ascii="Times New Roman" w:hAnsi="Times New Roman" w:eastAsia="仿宋_GB2312" w:cs="Times New Roman"/>
          <w:sz w:val="32"/>
          <w:szCs w:val="32"/>
        </w:rPr>
        <w:t>领导下，成立</w:t>
      </w:r>
      <w:r>
        <w:rPr>
          <w:rFonts w:hint="default" w:ascii="Times New Roman" w:hAnsi="Times New Roman" w:eastAsia="仿宋_GB2312" w:cs="Times New Roman"/>
          <w:sz w:val="32"/>
          <w:szCs w:val="32"/>
          <w:lang w:eastAsia="zh-CN"/>
        </w:rPr>
        <w:t>开发区整治</w:t>
      </w:r>
      <w:r>
        <w:rPr>
          <w:rFonts w:hint="default" w:ascii="Times New Roman" w:hAnsi="Times New Roman" w:eastAsia="仿宋_GB2312" w:cs="Times New Roman"/>
          <w:sz w:val="32"/>
          <w:szCs w:val="32"/>
        </w:rPr>
        <w:t>供销合作社系统腐败问题促进改革和治理工作领导小组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负责协调推动全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供销合作社系统腐败问题重点整治、促进改革和治理工作。领导小组办公室设在</w:t>
      </w:r>
      <w:r>
        <w:rPr>
          <w:rFonts w:hint="default" w:ascii="Times New Roman" w:hAnsi="Times New Roman" w:eastAsia="仿宋_GB2312" w:cs="Times New Roman"/>
          <w:sz w:val="32"/>
          <w:szCs w:val="32"/>
          <w:lang w:eastAsia="zh-CN"/>
        </w:rPr>
        <w:t>区纪工委党风室</w:t>
      </w:r>
      <w:r>
        <w:rPr>
          <w:rFonts w:hint="default" w:ascii="Times New Roman" w:hAnsi="Times New Roman" w:eastAsia="仿宋_GB2312" w:cs="Times New Roman"/>
          <w:sz w:val="32"/>
          <w:szCs w:val="32"/>
        </w:rPr>
        <w:t>，抽调相关单位精干力量组成工作专班，负责重点整治日常工作。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（二）统筹协调推进。</w:t>
      </w:r>
      <w:r>
        <w:rPr>
          <w:rFonts w:hint="default" w:ascii="Times New Roman" w:hAnsi="Times New Roman" w:eastAsia="仿宋_GB2312" w:cs="Times New Roman"/>
          <w:sz w:val="32"/>
          <w:szCs w:val="32"/>
        </w:rPr>
        <w:t>要把查办供销合作社系统腐败案件与推进系统自查自纠、建章立制、推进改革和治理等工作统筹安排、整体推进。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(三)定期调度推动。</w:t>
      </w:r>
      <w:r>
        <w:rPr>
          <w:rFonts w:hint="default" w:ascii="Times New Roman" w:hAnsi="Times New Roman" w:eastAsia="仿宋_GB2312" w:cs="Times New Roman"/>
          <w:sz w:val="32"/>
          <w:szCs w:val="32"/>
          <w:lang w:eastAsia="zh-CN"/>
        </w:rPr>
        <w:t>定期召开调度推进会，听取</w:t>
      </w:r>
      <w:r>
        <w:rPr>
          <w:rFonts w:hint="default" w:ascii="Times New Roman" w:hAnsi="Times New Roman" w:eastAsia="仿宋_GB2312" w:cs="Times New Roman"/>
          <w:sz w:val="32"/>
          <w:szCs w:val="32"/>
        </w:rPr>
        <w:t>开展整治工作情况汇报，推动重点问题线索查办，研究解决工作中的重点难点问题，安排部署重点工作任务。对重点核查问题线索实行挂牌督办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不定期随机抽检，对线索办理情况进行实地查看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督查督办。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四</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落实改革和治理责任。</w:t>
      </w:r>
      <w:r>
        <w:rPr>
          <w:rFonts w:hint="default" w:ascii="Times New Roman" w:hAnsi="Times New Roman" w:eastAsia="仿宋_GB2312" w:cs="Times New Roman"/>
          <w:sz w:val="32"/>
          <w:szCs w:val="32"/>
        </w:rPr>
        <w:t>督促</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供销合作社压实扛稳主体责任，及时传达贯彻习近平总书记重要指示批示精神和党中央重大决策部署，认真落实</w:t>
      </w:r>
      <w:r>
        <w:rPr>
          <w:rFonts w:hint="default" w:ascii="Times New Roman" w:hAnsi="Times New Roman" w:eastAsia="仿宋_GB2312" w:cs="Times New Roman"/>
          <w:sz w:val="32"/>
          <w:szCs w:val="32"/>
          <w:lang w:eastAsia="zh-CN"/>
        </w:rPr>
        <w:t>省、市、区</w:t>
      </w:r>
      <w:r>
        <w:rPr>
          <w:rFonts w:hint="default" w:ascii="Times New Roman" w:hAnsi="Times New Roman" w:eastAsia="仿宋_GB2312" w:cs="Times New Roman"/>
          <w:sz w:val="32"/>
          <w:szCs w:val="32"/>
        </w:rPr>
        <w:t>工作要求，深入开展自查自纠，梳理查找风险漏洞，列出任务清单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层层落实责任，以重点整治为契机，深入研究供销合作社系统腐败问题共性特点，找准影响和制约供销合作社综合改革的梗阻、障碍，立足发现问题、解决问题，联系实际，着眼大局，积极主动开展工作。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（五）增强整治实效。</w:t>
      </w:r>
      <w:r>
        <w:rPr>
          <w:rFonts w:hint="default" w:ascii="Times New Roman" w:hAnsi="Times New Roman" w:eastAsia="仿宋_GB2312" w:cs="Times New Roman"/>
          <w:sz w:val="32"/>
          <w:szCs w:val="32"/>
        </w:rPr>
        <w:t>要坚持系统观念，将查办案件和堵塞制度漏洞、强化监督监管相结合，做到办案、整改、治理一体推进，办案、监督、警示贯通协同，克服单纯办案倾向。要精准把握政策，坚持严格依规依纪依法和正确运用政策相结合，坚持运用历史、辩证、发展眼光看待问题，精准运用“四种形态”，做到“三个区分开来”，加强对重点案件的审核把关，避免同类案件出现畸轻畸重、宽严失当问题。要自觉运用“三不”一体推进的理念、思路和方法，把形势研判、查处腐败推动整改、促进改革有机融合。结合查处的腐败案件，精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深入开展以案促改，实现查处一案、警示一片、治理一域的综合效应。要注重整治和治理成效，把处置问题线索、整改存在问题、促进改革和</w:t>
      </w:r>
      <w:r>
        <w:rPr>
          <w:rFonts w:hint="eastAsia" w:ascii="Times New Roman" w:hAnsi="Times New Roman" w:eastAsia="仿宋_GB2312" w:cs="Times New Roman"/>
          <w:sz w:val="32"/>
          <w:szCs w:val="32"/>
          <w:lang w:val="en-US" w:eastAsia="zh-CN"/>
        </w:rPr>
        <w:t>治理</w:t>
      </w:r>
      <w:r>
        <w:rPr>
          <w:rFonts w:hint="default" w:ascii="Times New Roman" w:hAnsi="Times New Roman" w:eastAsia="仿宋_GB2312" w:cs="Times New Roman"/>
          <w:sz w:val="32"/>
          <w:szCs w:val="32"/>
        </w:rPr>
        <w:t>统一起来评判工作实效，推动供销合作社系统实现由助力脱贫攻坚向助力乡村振兴转变。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开发区</w:t>
      </w:r>
      <w:r>
        <w:rPr>
          <w:rFonts w:hint="default" w:ascii="Times New Roman" w:hAnsi="Times New Roman" w:eastAsia="仿宋_GB2312" w:cs="Times New Roman"/>
          <w:sz w:val="32"/>
          <w:szCs w:val="32"/>
        </w:rPr>
        <w:t>整治供销合作社系统腐败问题促进改革</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和治理工作领导小组名单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2.濮阳市</w:t>
      </w:r>
      <w:r>
        <w:rPr>
          <w:rFonts w:hint="default" w:ascii="Times New Roman" w:hAnsi="Times New Roman" w:eastAsia="仿宋_GB2312" w:cs="Times New Roman"/>
          <w:sz w:val="32"/>
          <w:szCs w:val="32"/>
          <w:lang w:eastAsia="zh-CN"/>
        </w:rPr>
        <w:t>开发区</w:t>
      </w:r>
      <w:r>
        <w:rPr>
          <w:rFonts w:hint="default" w:ascii="Times New Roman" w:hAnsi="Times New Roman" w:eastAsia="仿宋_GB2312" w:cs="Times New Roman"/>
          <w:sz w:val="32"/>
          <w:szCs w:val="32"/>
        </w:rPr>
        <w:t>供销合作社“三单一表”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456"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3.濮阳市</w:t>
      </w:r>
      <w:r>
        <w:rPr>
          <w:rFonts w:hint="default" w:ascii="Times New Roman" w:hAnsi="Times New Roman" w:eastAsia="仿宋_GB2312" w:cs="Times New Roman"/>
          <w:sz w:val="32"/>
          <w:szCs w:val="32"/>
          <w:lang w:eastAsia="zh-CN"/>
        </w:rPr>
        <w:t>开发区</w:t>
      </w:r>
      <w:r>
        <w:rPr>
          <w:rFonts w:hint="default" w:ascii="Times New Roman" w:hAnsi="Times New Roman" w:eastAsia="仿宋_GB2312" w:cs="Times New Roman"/>
          <w:sz w:val="32"/>
          <w:szCs w:val="32"/>
          <w:lang w:val="en-US" w:eastAsia="zh-CN"/>
        </w:rPr>
        <w:t>2013年以来供销合作社系统问题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456"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线索处置情况统计表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开发区整治供销合作社系统腐败问题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促进改革和治理工作领导小组名单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组  长：丁连勇  区纪工委副书记、监察工委副主任 </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副组长：武守勇  区纪工委委员、党风政风监督室主任</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季振铎  区党工委管委会办公室政研室主任</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王  磊  区供销合作社主任</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  员：常方忠  区供销合作社副主任</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郭继忍  区纪工委党风室</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曹军杰  区纪工委调研法规室</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王在胜  区纪工委信访室</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高晓艳  区纪工委案件监督管理室</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石  磊  区纪工委案件审理室</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吴  昊  区党工委巡察办</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李松林  区信访局</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朱永安  区审计局</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付新建  区农业科技管理局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Times New Roman" w:hAnsi="Times New Roman" w:eastAsia="仿宋_GB2312" w:cs="Times New Roman"/>
          <w:sz w:val="32"/>
          <w:szCs w:val="32"/>
          <w:lang w:val="en-US" w:eastAsia="zh-CN"/>
        </w:rPr>
        <w:t>领导小组下设办公室，负责专项治理日常工作，办公室主任武守勇（兼）。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开发区整治供销合作社系统腐败问题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促进改革和治理工作专班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组  长：武守勇  区纪工委委员、党风政风监督室主任  </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副组长：郭继忍  区纪工委党风室</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常方忠  区供销合作社副主任</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  员：宋新峰  区纪工委党风室</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雷  鸣  区纪工委党风室</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谢汉章  区纪工委党风室</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陈国栋  区纪工委党风室    </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张丛丛  区审计局</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侯海军  区财政局</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320" w:firstLineChars="1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联系人：郭继忍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电  话:  13939385809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sectPr>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濮阳</w:t>
      </w:r>
      <w:r>
        <w:rPr>
          <w:rFonts w:hint="default" w:ascii="Times New Roman" w:hAnsi="Times New Roman" w:eastAsia="方正小标宋简体" w:cs="Times New Roman"/>
          <w:sz w:val="44"/>
          <w:szCs w:val="44"/>
          <w:lang w:val="en-US" w:eastAsia="zh-CN"/>
        </w:rPr>
        <w:t>开发区供销合作社“三单一表”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填报单位：              填报人：            联系电话：               填报日期:    年   月   日</w:t>
      </w:r>
    </w:p>
    <w:tbl>
      <w:tblPr>
        <w:tblStyle w:val="5"/>
        <w:tblpPr w:leftFromText="180" w:rightFromText="180" w:vertAnchor="text" w:horzAnchor="page" w:tblpX="721" w:tblpY="109"/>
        <w:tblOverlap w:val="never"/>
        <w:tblW w:w="15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763"/>
        <w:gridCol w:w="819"/>
        <w:gridCol w:w="722"/>
        <w:gridCol w:w="540"/>
        <w:gridCol w:w="700"/>
        <w:gridCol w:w="730"/>
        <w:gridCol w:w="730"/>
        <w:gridCol w:w="505"/>
        <w:gridCol w:w="832"/>
        <w:gridCol w:w="736"/>
        <w:gridCol w:w="818"/>
        <w:gridCol w:w="723"/>
        <w:gridCol w:w="518"/>
        <w:gridCol w:w="873"/>
        <w:gridCol w:w="954"/>
        <w:gridCol w:w="832"/>
        <w:gridCol w:w="709"/>
        <w:gridCol w:w="696"/>
        <w:gridCol w:w="750"/>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4" w:type="dxa"/>
            <w:gridSpan w:val="5"/>
          </w:tcPr>
          <w:p>
            <w:pPr>
              <w:keepNext w:val="0"/>
              <w:keepLines w:val="0"/>
              <w:pageBreakBefore w:val="0"/>
              <w:widowControl w:val="0"/>
              <w:tabs>
                <w:tab w:val="left" w:pos="1621"/>
              </w:tabs>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权利清单</w:t>
            </w:r>
          </w:p>
        </w:tc>
        <w:tc>
          <w:tcPr>
            <w:tcW w:w="2665" w:type="dxa"/>
            <w:gridSpan w:val="4"/>
          </w:tcPr>
          <w:p>
            <w:pPr>
              <w:keepNext w:val="0"/>
              <w:keepLines w:val="0"/>
              <w:pageBreakBefore w:val="0"/>
              <w:widowControl w:val="0"/>
              <w:tabs>
                <w:tab w:val="left" w:pos="1152"/>
              </w:tabs>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责任清单</w:t>
            </w:r>
          </w:p>
        </w:tc>
        <w:tc>
          <w:tcPr>
            <w:tcW w:w="4500" w:type="dxa"/>
            <w:gridSpan w:val="6"/>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问题清单</w:t>
            </w:r>
          </w:p>
        </w:tc>
        <w:tc>
          <w:tcPr>
            <w:tcW w:w="4445" w:type="dxa"/>
            <w:gridSpan w:val="6"/>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廉政风险点统计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事项编码</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事项名称</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事项类别</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责任部门</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责任人</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职责事项</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w:t>
            </w:r>
          </w:p>
        </w:tc>
        <w:tc>
          <w:tcPr>
            <w:tcW w:w="7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部门</w:t>
            </w:r>
          </w:p>
        </w:tc>
        <w:tc>
          <w:tcPr>
            <w:tcW w:w="5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责任人</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类别</w:t>
            </w:r>
          </w:p>
        </w:tc>
        <w:tc>
          <w:tcPr>
            <w:tcW w:w="7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问题事项</w:t>
            </w:r>
          </w:p>
        </w:tc>
        <w:tc>
          <w:tcPr>
            <w:tcW w:w="8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整改措施</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责任部门</w:t>
            </w:r>
          </w:p>
        </w:tc>
        <w:tc>
          <w:tcPr>
            <w:tcW w:w="5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责任人</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完成时限</w:t>
            </w:r>
          </w:p>
        </w:tc>
        <w:tc>
          <w:tcPr>
            <w:tcW w:w="9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部门(单位)</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岗位及权利风险点</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风险表现形式</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风险等级</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防范措施</w:t>
            </w:r>
          </w:p>
        </w:tc>
        <w:tc>
          <w:tcPr>
            <w:tcW w:w="5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4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5"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95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69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4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5"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95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69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4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5"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95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69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4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5"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95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69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4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5"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3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2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18"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7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95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832"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09"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696"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750"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c>
          <w:tcPr>
            <w:tcW w:w="504"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楷体" w:hAnsi="楷体" w:eastAsia="楷体" w:cs="楷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楷体" w:cs="Times New Roman"/>
          <w:sz w:val="24"/>
          <w:szCs w:val="24"/>
          <w:vertAlign w:val="baseline"/>
          <w:lang w:val="en-US" w:eastAsia="zh-CN"/>
        </w:rPr>
      </w:pPr>
      <w:r>
        <w:rPr>
          <w:rFonts w:hint="eastAsia" w:ascii="楷体" w:hAnsi="楷体" w:eastAsia="楷体" w:cs="楷体"/>
          <w:sz w:val="24"/>
          <w:szCs w:val="24"/>
          <w:vertAlign w:val="baseline"/>
          <w:lang w:val="en-US" w:eastAsia="zh-CN"/>
        </w:rPr>
        <w:t>说明：</w:t>
      </w:r>
      <w:r>
        <w:rPr>
          <w:rFonts w:hint="default" w:ascii="Times New Roman" w:hAnsi="Times New Roman" w:eastAsia="楷体" w:cs="Times New Roman"/>
          <w:sz w:val="24"/>
          <w:szCs w:val="24"/>
          <w:vertAlign w:val="baseline"/>
          <w:lang w:val="en-US" w:eastAsia="zh-CN"/>
        </w:rPr>
        <w:t>1.该表由区供销合作社填写；</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eastAsia" w:ascii="楷体" w:hAnsi="楷体" w:eastAsia="楷体" w:cs="楷体"/>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w:t>
      </w:r>
      <w:r>
        <w:rPr>
          <w:rFonts w:hint="eastAsia" w:ascii="Times New Roman" w:hAnsi="Times New Roman" w:eastAsia="楷体" w:cs="Times New Roman"/>
          <w:sz w:val="24"/>
          <w:szCs w:val="24"/>
          <w:vertAlign w:val="baseline"/>
          <w:lang w:val="en-US" w:eastAsia="zh-CN"/>
        </w:rPr>
        <w:t>区</w:t>
      </w:r>
      <w:r>
        <w:rPr>
          <w:rFonts w:hint="default" w:ascii="Times New Roman" w:hAnsi="Times New Roman" w:eastAsia="楷体" w:cs="Times New Roman"/>
          <w:sz w:val="24"/>
          <w:szCs w:val="24"/>
          <w:vertAlign w:val="baseline"/>
          <w:lang w:val="en-US" w:eastAsia="zh-CN"/>
        </w:rPr>
        <w:t>供销合作社及时将该表报送区纪工委党风室，由区纪工委党风室</w:t>
      </w:r>
      <w:r>
        <w:rPr>
          <w:rFonts w:hint="eastAsia" w:ascii="Times New Roman" w:hAnsi="Times New Roman" w:eastAsia="楷体" w:cs="Times New Roman"/>
          <w:sz w:val="24"/>
          <w:szCs w:val="24"/>
          <w:vertAlign w:val="baseline"/>
          <w:lang w:val="en-US" w:eastAsia="zh-CN"/>
        </w:rPr>
        <w:t>汇总</w:t>
      </w:r>
      <w:r>
        <w:rPr>
          <w:rFonts w:hint="default" w:ascii="Times New Roman" w:hAnsi="Times New Roman" w:eastAsia="楷体" w:cs="Times New Roman"/>
          <w:sz w:val="24"/>
          <w:szCs w:val="24"/>
          <w:vertAlign w:val="baseline"/>
          <w:lang w:val="en-US" w:eastAsia="zh-CN"/>
        </w:rPr>
        <w:t>上报。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sectPr>
          <w:footerReference r:id="rId4" w:type="default"/>
          <w:pgSz w:w="16838" w:h="11906" w:orient="landscape"/>
          <w:pgMar w:top="1587" w:right="2098" w:bottom="1474" w:left="198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6"/>
          <w:sz w:val="44"/>
          <w:szCs w:val="44"/>
          <w:lang w:val="en-US" w:eastAsia="zh-CN"/>
        </w:rPr>
      </w:pPr>
      <w:r>
        <w:rPr>
          <w:rFonts w:hint="eastAsia" w:ascii="Times New Roman" w:hAnsi="Times New Roman" w:eastAsia="方正小标宋简体" w:cs="Times New Roman"/>
          <w:spacing w:val="-6"/>
          <w:sz w:val="44"/>
          <w:szCs w:val="44"/>
          <w:lang w:val="en-US" w:eastAsia="zh-CN"/>
        </w:rPr>
        <w:t>濮阳</w:t>
      </w:r>
      <w:bookmarkStart w:id="0" w:name="_GoBack"/>
      <w:bookmarkEnd w:id="0"/>
      <w:r>
        <w:rPr>
          <w:rFonts w:hint="default" w:ascii="Times New Roman" w:hAnsi="Times New Roman" w:eastAsia="方正小标宋简体" w:cs="Times New Roman"/>
          <w:spacing w:val="-6"/>
          <w:sz w:val="44"/>
          <w:szCs w:val="44"/>
          <w:lang w:val="en-US" w:eastAsia="zh-CN"/>
        </w:rPr>
        <w:t>开发区201</w:t>
      </w:r>
      <w:r>
        <w:rPr>
          <w:rFonts w:hint="eastAsia" w:ascii="Times New Roman" w:hAnsi="Times New Roman" w:eastAsia="方正小标宋简体" w:cs="Times New Roman"/>
          <w:spacing w:val="-6"/>
          <w:sz w:val="44"/>
          <w:szCs w:val="44"/>
          <w:lang w:val="en-US" w:eastAsia="zh-CN"/>
        </w:rPr>
        <w:t>8</w:t>
      </w:r>
      <w:r>
        <w:rPr>
          <w:rFonts w:hint="default" w:ascii="Times New Roman" w:hAnsi="Times New Roman" w:eastAsia="方正小标宋简体" w:cs="Times New Roman"/>
          <w:spacing w:val="-6"/>
          <w:sz w:val="44"/>
          <w:szCs w:val="44"/>
          <w:lang w:val="en-US" w:eastAsia="zh-CN"/>
        </w:rPr>
        <w:t>年以来供销合作社系统问题线索处置情况统计表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28"/>
          <w:szCs w:val="28"/>
          <w:lang w:val="en-US" w:eastAsia="zh-CN"/>
        </w:rPr>
      </w:pPr>
      <w:r>
        <w:rPr>
          <w:rFonts w:hint="eastAsia" w:ascii="楷体" w:hAnsi="楷体" w:eastAsia="楷体" w:cs="楷体"/>
          <w:sz w:val="24"/>
          <w:szCs w:val="24"/>
          <w:lang w:val="en-US" w:eastAsia="zh-CN"/>
        </w:rPr>
        <w:t>填报单位：              填报人：              联系电话：                           填报日期:    年   月   日</w:t>
      </w:r>
    </w:p>
    <w:tbl>
      <w:tblPr>
        <w:tblStyle w:val="5"/>
        <w:tblpPr w:leftFromText="180" w:rightFromText="180" w:vertAnchor="text" w:horzAnchor="page" w:tblpXSpec="center" w:tblpY="171"/>
        <w:tblOverlap w:val="never"/>
        <w:tblW w:w="14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668"/>
        <w:gridCol w:w="627"/>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r>
              <w:rPr>
                <w:rFonts w:hint="eastAsia" w:ascii="楷体" w:hAnsi="楷体" w:eastAsia="楷体" w:cs="楷体"/>
                <w:sz w:val="21"/>
                <w:szCs w:val="21"/>
                <w:vertAlign w:val="baseline"/>
                <w:lang w:val="en-US" w:eastAsia="zh-CN"/>
              </w:rPr>
              <w:t>序号</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r>
              <w:rPr>
                <w:rFonts w:hint="eastAsia" w:ascii="楷体" w:hAnsi="楷体" w:eastAsia="楷体" w:cs="楷体"/>
                <w:sz w:val="21"/>
                <w:szCs w:val="21"/>
                <w:vertAlign w:val="baseline"/>
                <w:lang w:val="en-US" w:eastAsia="zh-CN"/>
              </w:rPr>
              <w:t>姓名</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工作单位及职务</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职级</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政治面貌</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单位性质</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线索受理时间</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受理部门单位</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线索来源</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人大代表</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政协委员</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线索摘要</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违纪违法问题类型分析</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处置方式</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办理结果</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办结时间</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处理情况</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是否立案</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立案时间(年月日)</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认定的违纪（违法）事实</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涉案金额（（万元）</w:t>
            </w:r>
          </w:p>
        </w:tc>
        <w:tc>
          <w:tcPr>
            <w:tcW w:w="129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不予处理</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情况</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党纪处分</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处分决定时间</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政务处分</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处分决定时间</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组织处理</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组织处理决定时间</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是否移送司法机关</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移送司法时间</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判决结果</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是否窝案</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挽回经济损失（万元）</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处理档次四种形态</w:t>
            </w:r>
          </w:p>
        </w:tc>
        <w:tc>
          <w:tcPr>
            <w:tcW w:w="312" w:type="dxa"/>
            <w:vMerge w:val="restar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是否需要重新处置</w:t>
            </w:r>
          </w:p>
        </w:tc>
        <w:tc>
          <w:tcPr>
            <w:tcW w:w="2496"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判决结果</w:t>
            </w:r>
          </w:p>
        </w:tc>
        <w:tc>
          <w:tcPr>
            <w:tcW w:w="27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小标宋简体" w:cs="Times New Roman"/>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楷体" w:hAnsi="楷体" w:eastAsia="楷体" w:cs="楷体"/>
                <w:spacing w:val="-6"/>
                <w:sz w:val="21"/>
                <w:szCs w:val="21"/>
                <w:vertAlign w:val="baseline"/>
                <w:lang w:val="en-US" w:eastAsia="zh-CN"/>
              </w:rPr>
            </w:pPr>
          </w:p>
        </w:tc>
        <w:tc>
          <w:tcPr>
            <w:tcW w:w="668"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法定理由（请填写具体情况）</w:t>
            </w:r>
          </w:p>
        </w:tc>
        <w:tc>
          <w:tcPr>
            <w:tcW w:w="627"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非法定理由（请填写具体情况）</w:t>
            </w: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不予立案</w:t>
            </w: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撤案</w:t>
            </w: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不起诉</w:t>
            </w: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刑事处罚主刑</w:t>
            </w: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刑期</w:t>
            </w: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是否宣告缓刑</w:t>
            </w: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缓刑期限</w:t>
            </w:r>
          </w:p>
        </w:tc>
        <w:tc>
          <w:tcPr>
            <w:tcW w:w="312"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r>
              <w:rPr>
                <w:rFonts w:hint="eastAsia" w:ascii="楷体" w:hAnsi="楷体" w:eastAsia="楷体" w:cs="楷体"/>
                <w:spacing w:val="-6"/>
                <w:sz w:val="21"/>
                <w:szCs w:val="21"/>
                <w:vertAlign w:val="baseline"/>
                <w:lang w:val="en-US" w:eastAsia="zh-CN"/>
              </w:rPr>
              <w:t>刑事处罚附加刑</w:t>
            </w:r>
          </w:p>
        </w:tc>
        <w:tc>
          <w:tcPr>
            <w:tcW w:w="277" w:type="dxa"/>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 w:hAnsi="楷体" w:eastAsia="楷体" w:cs="楷体"/>
                <w:spacing w:val="-6"/>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668"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627"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27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668"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627"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27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668"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627"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27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668"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627"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27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668"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627"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 w:hAnsi="楷体" w:eastAsia="楷体" w:cs="楷体"/>
                <w:spacing w:val="-6"/>
                <w:sz w:val="21"/>
                <w:szCs w:val="21"/>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31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c>
          <w:tcPr>
            <w:tcW w:w="27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6"/>
                <w:sz w:val="44"/>
                <w:szCs w:val="4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楷体" w:cs="Times New Roman"/>
          <w:sz w:val="24"/>
          <w:szCs w:val="24"/>
          <w:vertAlign w:val="baseline"/>
          <w:lang w:val="en-US" w:eastAsia="zh-CN"/>
        </w:rPr>
      </w:pPr>
      <w:r>
        <w:rPr>
          <w:rFonts w:hint="eastAsia" w:ascii="Times New Roman" w:hAnsi="Times New Roman" w:eastAsia="楷体" w:cs="Times New Roman"/>
          <w:sz w:val="24"/>
          <w:szCs w:val="24"/>
          <w:vertAlign w:val="baseline"/>
          <w:lang w:val="en-US" w:eastAsia="zh-CN"/>
        </w:rPr>
        <w:t>说明：</w:t>
      </w:r>
      <w:r>
        <w:rPr>
          <w:rFonts w:hint="default" w:ascii="Times New Roman" w:hAnsi="Times New Roman" w:eastAsia="楷体" w:cs="Times New Roman"/>
          <w:sz w:val="24"/>
          <w:szCs w:val="24"/>
          <w:vertAlign w:val="baseline"/>
          <w:lang w:val="en-US" w:eastAsia="zh-CN"/>
        </w:rPr>
        <w:t>1.该表为固定模板，请不要对表格进行修改，如案件数据量较多，可插入行后继续填写；</w:t>
      </w:r>
    </w:p>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rPr>
          <w:rFonts w:hint="default" w:ascii="Times New Roman" w:hAnsi="Times New Roman" w:eastAsia="楷体" w:cs="Times New Roman"/>
          <w:sz w:val="24"/>
          <w:szCs w:val="24"/>
          <w:vertAlign w:val="baseline"/>
          <w:lang w:val="en-US" w:eastAsia="zh-CN"/>
        </w:rPr>
      </w:pPr>
      <w:r>
        <w:rPr>
          <w:rFonts w:hint="default" w:ascii="Times New Roman" w:hAnsi="Times New Roman" w:eastAsia="楷体" w:cs="Times New Roman"/>
          <w:sz w:val="24"/>
          <w:szCs w:val="24"/>
          <w:vertAlign w:val="baseline"/>
          <w:lang w:val="en-US" w:eastAsia="zh-CN"/>
        </w:rPr>
        <w:t>2.被反映对象为单位的直接填写单位名称</w:t>
      </w:r>
      <w:r>
        <w:rPr>
          <w:rFonts w:hint="eastAsia" w:ascii="Times New Roman" w:hAnsi="Times New Roman" w:eastAsia="楷体" w:cs="Times New Roman"/>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630" w:firstLineChars="300"/>
        <w:jc w:val="both"/>
        <w:textAlignment w:val="auto"/>
        <w:rPr>
          <w:rFonts w:hint="default"/>
          <w:lang w:val="en-US" w:eastAsia="zh-CN"/>
        </w:rPr>
      </w:pPr>
    </w:p>
    <w:sectPr>
      <w:footerReference r:id="rId5"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19050</wp:posOffset>
              </wp:positionV>
              <wp:extent cx="730250" cy="2609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025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pt;height:20.55pt;width:57.5pt;mso-position-horizontal:outside;mso-position-horizontal-relative:margin;z-index:251658240;mso-width-relative:page;mso-height-relative:page;" filled="f" stroked="f" coordsize="21600,21600" o:gfxdata="UEsDBAoAAAAAAIdO4kAAAAAAAAAAAAAAAAAEAAAAZHJzL1BLAwQUAAAACACHTuJAEn7T+9QAAAAF&#10;AQAADwAAAGRycy9kb3ducmV2LnhtbE2PS0/DMBCE70j8B2uRuFHbUBAK2fTA48azUKncnHhJImI7&#10;sp20/Hu2JzjtrGY182252rtBzBRTHzyCXigQ5Jtge98ifLw/nF2DSNl4a4bgCeGHEqyq46PSFDbs&#10;/BvN69wKDvGpMAhdzmMhZWo6ciYtwkieva8Qncm8xlbaaHYc7gZ5rtSVdKb33NCZkW47ar7Xk0MY&#10;tik+1ip/znftU359kdPmXj8jnp5odQMi0z7/HcMBn9GhYqY6TN4mMSDwIxnhgsfB1JcsaoTlUoOs&#10;SvmfvvoFUEsDBBQAAAAIAIdO4kAksu0oNQIAAGEEAAAOAAAAZHJzL2Uyb0RvYy54bWytVMFuEzEQ&#10;vSPxD5bvdJNULSXqpgqtipAqWikgzo7Xm7Vke4ztdLd8APwBJy7c+a58B8+7mxYKhx64OLMz4zfz&#10;3oxzetZZw25ViJpcyacHE86Uk1Rptyn5h/eXL044i0m4ShhyquR3KvKzxfNnp62fqxk1ZCoVGEBc&#10;nLe+5E1Kfl4UUTbKinhAXjkEawpWJHyGTVEF0QLdmmI2mRwXLYXKB5IqRngvhiAfEcNTAKmutVQX&#10;JLdWuTSgBmVEAqXYaB/5ou+2rpVM13UdVWKm5GCa+hNFYK/zWSxOxXwThG+0HFsQT2nhEScrtEPR&#10;e6gLkQTbBv0XlNUyUKQ6HUiyxUCkVwQsppNH2qwa4VXPBVJHfy96/H+w8t3tTWC6wiZw5oTFwHff&#10;vu6+/9z9+MKmWZ7WxzmyVh55qXtNXU4d/RHOzLqrg82/4MMQh7h39+KqLjEJ58vDyewIEYnQ7Hjy&#10;6uQooxQPl32I6Y0iy7JR8oDZ9ZKK26uYhtR9Sq7l6FIbA7+YG8fakh8fAv6PCMCNQ41MYWg1W6lb&#10;d2P/a6ruQCvQsBfRy0uN4lciphsRsAjoF08lXeOoDaEIjRZnDYXP//LnfMwHUc5aLFbJ46etCIoz&#10;89ZhcoBMeyPsjfXecFt7TthVTAPd9CYuhGT2Zh3IfsQLWuYqCAknUavkaW+ep2G98QKlWi77pK0P&#10;etMMF7B3XqQrt/IylxkEW24T1bpXOUs06DIqh83r5zS+krzav3/3WQ//DI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n7T+9QAAAAFAQAADwAAAAAAAAABACAAAAAiAAAAZHJzL2Rvd25yZXYueG1s&#10;UEsBAhQAFAAAAAgAh07iQCSy7Sg1AgAAYQQAAA4AAAAAAAAAAQAgAAAAIwEAAGRycy9lMm9Eb2Mu&#10;eG1sUEsFBgAAAAAGAAYAWQEAAMoFAAAAAA==&#10;">
              <v:fill on="f" focussize="0,0"/>
              <v:stroke on="f" weight="0.5pt"/>
              <v:imagedata o:title=""/>
              <o:lock v:ext="edit" aspectratio="f"/>
              <v:textbox inset="0mm,0mm,0mm,0mm">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B36F4"/>
    <w:rsid w:val="01B3792F"/>
    <w:rsid w:val="02E92553"/>
    <w:rsid w:val="03321BE7"/>
    <w:rsid w:val="067E22FA"/>
    <w:rsid w:val="071B083B"/>
    <w:rsid w:val="08F859AB"/>
    <w:rsid w:val="092F00C1"/>
    <w:rsid w:val="0A323BF1"/>
    <w:rsid w:val="0A3A42F9"/>
    <w:rsid w:val="0B992B51"/>
    <w:rsid w:val="0D710793"/>
    <w:rsid w:val="0F405C15"/>
    <w:rsid w:val="0FD07E39"/>
    <w:rsid w:val="128B3A55"/>
    <w:rsid w:val="13B33B5C"/>
    <w:rsid w:val="14541A22"/>
    <w:rsid w:val="14705B1A"/>
    <w:rsid w:val="1726044F"/>
    <w:rsid w:val="18357AB7"/>
    <w:rsid w:val="192D2D49"/>
    <w:rsid w:val="1A8D461A"/>
    <w:rsid w:val="1AD32F6C"/>
    <w:rsid w:val="1B733D4B"/>
    <w:rsid w:val="1CBA6E4D"/>
    <w:rsid w:val="1CD424BF"/>
    <w:rsid w:val="1F52277F"/>
    <w:rsid w:val="20624FCA"/>
    <w:rsid w:val="2099197D"/>
    <w:rsid w:val="21684789"/>
    <w:rsid w:val="21C92163"/>
    <w:rsid w:val="23324E4B"/>
    <w:rsid w:val="235B3B5D"/>
    <w:rsid w:val="238F4CB1"/>
    <w:rsid w:val="26AD47FC"/>
    <w:rsid w:val="28434A34"/>
    <w:rsid w:val="28723DE8"/>
    <w:rsid w:val="2A921ED1"/>
    <w:rsid w:val="2DB13DF6"/>
    <w:rsid w:val="300F4891"/>
    <w:rsid w:val="307C0F39"/>
    <w:rsid w:val="3480149A"/>
    <w:rsid w:val="34C74BA5"/>
    <w:rsid w:val="358E751B"/>
    <w:rsid w:val="37EF0834"/>
    <w:rsid w:val="390D4EEA"/>
    <w:rsid w:val="39C830D4"/>
    <w:rsid w:val="39EE6DC5"/>
    <w:rsid w:val="3AB656ED"/>
    <w:rsid w:val="3B380169"/>
    <w:rsid w:val="3BC45E83"/>
    <w:rsid w:val="3DCD7CE6"/>
    <w:rsid w:val="40874A6B"/>
    <w:rsid w:val="40B43407"/>
    <w:rsid w:val="43406982"/>
    <w:rsid w:val="434F6180"/>
    <w:rsid w:val="43A76777"/>
    <w:rsid w:val="46087550"/>
    <w:rsid w:val="49CF3FE0"/>
    <w:rsid w:val="4AE01740"/>
    <w:rsid w:val="4B4A5A8D"/>
    <w:rsid w:val="4BCA7834"/>
    <w:rsid w:val="4BE0417D"/>
    <w:rsid w:val="4C214705"/>
    <w:rsid w:val="4CC45BF2"/>
    <w:rsid w:val="4E272A75"/>
    <w:rsid w:val="4F366DDC"/>
    <w:rsid w:val="4F5025B4"/>
    <w:rsid w:val="52864DDF"/>
    <w:rsid w:val="52D52974"/>
    <w:rsid w:val="53D90257"/>
    <w:rsid w:val="53FB6A73"/>
    <w:rsid w:val="54014316"/>
    <w:rsid w:val="555B42F2"/>
    <w:rsid w:val="5757722C"/>
    <w:rsid w:val="59000C87"/>
    <w:rsid w:val="59777B8A"/>
    <w:rsid w:val="5C601ADD"/>
    <w:rsid w:val="5FFC5FD3"/>
    <w:rsid w:val="64832A9E"/>
    <w:rsid w:val="65302F41"/>
    <w:rsid w:val="657953D2"/>
    <w:rsid w:val="6750577D"/>
    <w:rsid w:val="6A0D2D40"/>
    <w:rsid w:val="6A3B36F4"/>
    <w:rsid w:val="6A7A312F"/>
    <w:rsid w:val="6AF503F7"/>
    <w:rsid w:val="6CC75CF4"/>
    <w:rsid w:val="70E134A2"/>
    <w:rsid w:val="724D458E"/>
    <w:rsid w:val="738F3E84"/>
    <w:rsid w:val="73B644E5"/>
    <w:rsid w:val="756A00ED"/>
    <w:rsid w:val="75C07FED"/>
    <w:rsid w:val="75C50878"/>
    <w:rsid w:val="76915F13"/>
    <w:rsid w:val="76E05E77"/>
    <w:rsid w:val="77876A85"/>
    <w:rsid w:val="77C8557A"/>
    <w:rsid w:val="793D586D"/>
    <w:rsid w:val="7B3911F5"/>
    <w:rsid w:val="7BD27039"/>
    <w:rsid w:val="7BF12708"/>
    <w:rsid w:val="7E485A59"/>
    <w:rsid w:val="7EA6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2021-01-19T09:31:00Z</dcterms:created>
  <dc:creator>Administrator</dc:creator>
  <cp:lastModifiedBy>86上山</cp:lastModifiedBy>
  <cp:lastPrinted>2021-02-04T02:10:00Z</cp:lastPrinted>
  <dcterms:modified xsi:type="dcterms:W3CDTF">2021-02-04T07:13:07Z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