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6"/>
      </w:pPr>
      <w:bookmarkStart w:id="0" w:name="_Toc439060132"/>
      <w:r>
        <w:t xml:space="preserve">第1章  </w:t>
      </w:r>
      <w:bookmarkEnd w:id="0"/>
      <w:r>
        <w:t>概述</w:t>
      </w:r>
    </w:p>
    <w:p>
      <w:pPr>
        <w:pStyle w:val="4"/>
        <w:spacing w:before="0" w:after="0" w:line="520" w:lineRule="exact"/>
        <w:rPr>
          <w:rFonts w:ascii="Times New Roman" w:hAnsi="Times New Roman" w:eastAsia="黑体"/>
          <w:sz w:val="28"/>
          <w:szCs w:val="28"/>
          <w:lang w:val="en-US" w:eastAsia="zh-CN"/>
        </w:rPr>
      </w:pPr>
      <w:bookmarkStart w:id="1" w:name="_Toc439060133"/>
      <w:r>
        <w:rPr>
          <w:rFonts w:ascii="Times New Roman" w:hAnsi="Times New Roman" w:eastAsia="黑体"/>
          <w:sz w:val="28"/>
          <w:szCs w:val="28"/>
          <w:lang w:val="en-US" w:eastAsia="zh-CN"/>
        </w:rPr>
        <w:t xml:space="preserve">1.1  </w:t>
      </w:r>
      <w:bookmarkEnd w:id="1"/>
      <w:r>
        <w:rPr>
          <w:rFonts w:ascii="Times New Roman" w:hAnsi="Times New Roman" w:eastAsia="黑体"/>
          <w:sz w:val="28"/>
          <w:szCs w:val="28"/>
          <w:lang w:val="en-US" w:eastAsia="zh-CN"/>
        </w:rPr>
        <w:t>项目由来</w:t>
      </w:r>
    </w:p>
    <w:p>
      <w:pPr>
        <w:autoSpaceDE w:val="0"/>
        <w:autoSpaceDN w:val="0"/>
        <w:adjustRightInd w:val="0"/>
        <w:spacing w:line="520" w:lineRule="exact"/>
        <w:ind w:firstLine="560" w:firstLineChars="200"/>
        <w:rPr>
          <w:rFonts w:hint="eastAsia" w:ascii="Times New Roman" w:hAnsi="Times New Roman"/>
          <w:kern w:val="0"/>
          <w:sz w:val="28"/>
          <w:szCs w:val="28"/>
        </w:rPr>
      </w:pPr>
      <w:bookmarkStart w:id="2" w:name="OLE_LINK2"/>
      <w:r>
        <w:rPr>
          <w:rFonts w:ascii="Times New Roman" w:hAnsi="Times New Roman"/>
          <w:kern w:val="0"/>
          <w:sz w:val="28"/>
          <w:szCs w:val="28"/>
        </w:rPr>
        <w:t>乙二醇，俗称甘醇，简称 EG。乙二醇是无色无臭、有甜味液体，是重要的有机化工原料</w:t>
      </w:r>
      <w:r>
        <w:rPr>
          <w:rFonts w:hint="eastAsia" w:ascii="Times New Roman" w:hAnsi="Times New Roman"/>
          <w:kern w:val="0"/>
          <w:sz w:val="28"/>
          <w:szCs w:val="28"/>
        </w:rPr>
        <w:t>，</w:t>
      </w:r>
      <w:r>
        <w:rPr>
          <w:rFonts w:ascii="Times New Roman" w:hAnsi="Times New Roman"/>
          <w:kern w:val="0"/>
          <w:sz w:val="28"/>
          <w:szCs w:val="28"/>
        </w:rPr>
        <w:t>主要用于生产苯二甲酸乙二醇酯（PET）和防冻剂，还可用于生产不饱和聚酯树脂、润滑剂、增塑剂、表面活性剂、涂料、刹车液等，用途十分广泛。</w:t>
      </w:r>
    </w:p>
    <w:p>
      <w:pPr>
        <w:autoSpaceDE w:val="0"/>
        <w:autoSpaceDN w:val="0"/>
        <w:adjustRightInd w:val="0"/>
        <w:spacing w:line="520" w:lineRule="exact"/>
        <w:ind w:firstLine="560" w:firstLineChars="200"/>
        <w:rPr>
          <w:rFonts w:hint="eastAsia" w:ascii="Times New Roman" w:hAnsi="Times New Roman"/>
          <w:kern w:val="0"/>
          <w:sz w:val="28"/>
          <w:szCs w:val="28"/>
        </w:rPr>
      </w:pPr>
      <w:r>
        <w:rPr>
          <w:rFonts w:hint="eastAsia" w:ascii="Times New Roman" w:hAnsi="Times New Roman"/>
          <w:kern w:val="0"/>
          <w:sz w:val="28"/>
          <w:szCs w:val="28"/>
        </w:rPr>
        <w:t>目前，我国乙二醇的工业生产路线主要有石油或天然气基乙烯路线以及煤基草酸酯加氢路线。石油或天然气基乙烯路线具有水耗大、能耗高等缺点，加上受石油资源限制，国内乙烯基路线制乙二醇缺乏竞争力。煤基草酸酯加氢制乙二醇路线具有资源与成本优势，但是产品质量不稳定，不能充分满足下游聚酯企业用户的需求。因此，开发乙二醇新的合成方法具有重要的意义。</w:t>
      </w:r>
    </w:p>
    <w:p>
      <w:pPr>
        <w:autoSpaceDE w:val="0"/>
        <w:autoSpaceDN w:val="0"/>
        <w:adjustRightInd w:val="0"/>
        <w:spacing w:line="520" w:lineRule="exact"/>
        <w:ind w:firstLine="560" w:firstLineChars="200"/>
        <w:rPr>
          <w:rFonts w:hint="eastAsia" w:ascii="Times New Roman" w:hAnsi="Times New Roman"/>
          <w:kern w:val="0"/>
          <w:sz w:val="28"/>
          <w:szCs w:val="28"/>
        </w:rPr>
      </w:pPr>
      <w:r>
        <w:rPr>
          <w:rFonts w:ascii="Times New Roman" w:hAnsi="Times New Roman"/>
          <w:kern w:val="0"/>
          <w:sz w:val="28"/>
          <w:szCs w:val="28"/>
        </w:rPr>
        <w:t>2008 年</w:t>
      </w:r>
      <w:r>
        <w:rPr>
          <w:rFonts w:hint="eastAsia" w:ascii="Times New Roman" w:hAnsi="Times New Roman"/>
          <w:kern w:val="0"/>
          <w:sz w:val="28"/>
          <w:szCs w:val="28"/>
        </w:rPr>
        <w:t>中科院大连化学物理研究所</w:t>
      </w:r>
      <w:r>
        <w:rPr>
          <w:rFonts w:ascii="Times New Roman" w:hAnsi="Times New Roman"/>
          <w:kern w:val="0"/>
          <w:sz w:val="28"/>
          <w:szCs w:val="28"/>
        </w:rPr>
        <w:t>张涛研究组首次实现了直接从纤维素制备乙二醇的催化过程，以镍促进的碳化钨（Ni-W2C/AC）为催化剂，在245</w:t>
      </w:r>
      <w:r>
        <w:rPr>
          <w:rFonts w:hint="eastAsia" w:ascii="Times New Roman" w:hAnsi="Times New Roman"/>
          <w:kern w:val="0"/>
          <w:sz w:val="28"/>
          <w:szCs w:val="28"/>
        </w:rPr>
        <w:t>℃</w:t>
      </w:r>
      <w:r>
        <w:rPr>
          <w:rFonts w:ascii="Times New Roman" w:hAnsi="Times New Roman"/>
          <w:kern w:val="0"/>
          <w:sz w:val="28"/>
          <w:szCs w:val="28"/>
        </w:rPr>
        <w:t>、6 MPa 氢气压力的反应条件下，纤维素的转化率达到100%，乙二醇的收率达到61%（质量分数）。此过程为纤维素催化转化制能源化学品开拓了一条新途径</w:t>
      </w:r>
      <w:bookmarkStart w:id="3" w:name="_Hlk36134321"/>
      <w:r>
        <w:rPr>
          <w:rFonts w:hint="eastAsia" w:ascii="Times New Roman" w:hAnsi="Times New Roman"/>
          <w:kern w:val="0"/>
          <w:sz w:val="28"/>
          <w:szCs w:val="28"/>
        </w:rPr>
        <w:t>，目前生物质乙二醇千克级实验已获得成功并申请相关专利技术。</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河南省中原大化集团有限责任公司</w:t>
      </w:r>
      <w:bookmarkEnd w:id="3"/>
      <w:r>
        <w:rPr>
          <w:rFonts w:ascii="Times New Roman" w:hAnsi="Times New Roman"/>
          <w:kern w:val="0"/>
          <w:sz w:val="28"/>
          <w:szCs w:val="28"/>
        </w:rPr>
        <w:t>拟通过积极参与生物质乙二醇中试项目的设计与开发工作，全面掌握生物质乙二醇工艺技术，积累工程化经验，为公司在该技术领域的工业化放大打下坚实基础。在此背景下，公司拟投资建设千吨级秸秆糖制乙二醇中试项目，依托中科柏易金(郑州)新能源科技有限责任公司（中科院大连化学物理研究所与河南科源产业投资基金</w:t>
      </w:r>
      <w:r>
        <w:rPr>
          <w:rFonts w:hint="eastAsia" w:ascii="Times New Roman" w:hAnsi="Times New Roman"/>
          <w:kern w:val="0"/>
          <w:sz w:val="28"/>
          <w:szCs w:val="28"/>
        </w:rPr>
        <w:t>合伙企业</w:t>
      </w:r>
      <w:r>
        <w:rPr>
          <w:rFonts w:ascii="Times New Roman" w:hAnsi="Times New Roman"/>
          <w:kern w:val="0"/>
          <w:sz w:val="28"/>
          <w:szCs w:val="28"/>
        </w:rPr>
        <w:t>共同组建）首创拥有自主知识产权的生物质制乙二醇新路线，由东华工程科技股份有限公司联合中科柏易金、中原大化合作开发，进行中试放大设计。</w:t>
      </w:r>
      <w:r>
        <w:rPr>
          <w:rFonts w:hint="eastAsia" w:ascii="Times New Roman" w:hAnsi="Times New Roman"/>
          <w:kern w:val="0"/>
          <w:sz w:val="28"/>
          <w:szCs w:val="28"/>
        </w:rPr>
        <w:t>该中试项目建成后可年产乙二醇746.8t/a、丙二醇194.4t/a。</w:t>
      </w:r>
    </w:p>
    <w:p>
      <w:pPr>
        <w:tabs>
          <w:tab w:val="left" w:pos="4540"/>
        </w:tabs>
        <w:spacing w:line="520" w:lineRule="exact"/>
        <w:ind w:firstLine="560" w:firstLineChars="200"/>
        <w:rPr>
          <w:rFonts w:hint="eastAsia" w:ascii="Times New Roman" w:hAnsi="Times New Roman"/>
          <w:sz w:val="28"/>
          <w:szCs w:val="28"/>
        </w:rPr>
      </w:pPr>
      <w:r>
        <w:rPr>
          <w:rFonts w:ascii="Times New Roman" w:hAnsi="Times New Roman"/>
          <w:sz w:val="28"/>
          <w:szCs w:val="28"/>
        </w:rPr>
        <w:t>项目于2020年4月26日在濮阳经济技术开发区经济发展局备案，项目代码为：2020-410972-26-03-030</w:t>
      </w:r>
      <w:r>
        <w:rPr>
          <w:rFonts w:hint="eastAsia" w:ascii="Times New Roman" w:hAnsi="Times New Roman"/>
          <w:sz w:val="28"/>
          <w:szCs w:val="28"/>
        </w:rPr>
        <w:t>443。</w:t>
      </w:r>
      <w:r>
        <w:rPr>
          <w:rFonts w:ascii="Times New Roman" w:hAnsi="Times New Roman"/>
          <w:sz w:val="28"/>
          <w:szCs w:val="28"/>
        </w:rPr>
        <w:t>对照《产业结构调整指导目录（201</w:t>
      </w:r>
      <w:r>
        <w:rPr>
          <w:rFonts w:hint="eastAsia" w:ascii="Times New Roman" w:hAnsi="Times New Roman"/>
          <w:sz w:val="28"/>
          <w:szCs w:val="28"/>
        </w:rPr>
        <w:t>9</w:t>
      </w:r>
      <w:r>
        <w:rPr>
          <w:rFonts w:ascii="Times New Roman" w:hAnsi="Times New Roman"/>
          <w:sz w:val="28"/>
          <w:szCs w:val="28"/>
        </w:rPr>
        <w:t>年）》，项目不属于限制类、淘汰类，</w:t>
      </w:r>
      <w:r>
        <w:rPr>
          <w:rFonts w:hint="eastAsia" w:ascii="Times New Roman" w:hAnsi="Times New Roman"/>
          <w:sz w:val="28"/>
          <w:szCs w:val="28"/>
        </w:rPr>
        <w:t>为允许建设项目，项目建设</w:t>
      </w:r>
      <w:r>
        <w:rPr>
          <w:rFonts w:ascii="Times New Roman" w:hAnsi="Times New Roman"/>
          <w:sz w:val="28"/>
          <w:szCs w:val="28"/>
        </w:rPr>
        <w:t>符合国家当前产业政策要求</w:t>
      </w:r>
      <w:r>
        <w:rPr>
          <w:rFonts w:hint="eastAsia" w:ascii="Times New Roman" w:hAnsi="Times New Roman"/>
          <w:sz w:val="28"/>
          <w:szCs w:val="28"/>
        </w:rPr>
        <w:t>。</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1.</w:t>
      </w:r>
      <w:r>
        <w:rPr>
          <w:rFonts w:hint="eastAsia" w:ascii="Times New Roman" w:hAnsi="Times New Roman" w:eastAsia="黑体"/>
          <w:sz w:val="28"/>
          <w:szCs w:val="28"/>
          <w:lang w:val="en-US" w:eastAsia="zh-CN"/>
        </w:rPr>
        <w:t>2</w:t>
      </w:r>
      <w:r>
        <w:rPr>
          <w:rFonts w:ascii="Times New Roman" w:hAnsi="Times New Roman" w:eastAsia="黑体"/>
          <w:sz w:val="28"/>
          <w:szCs w:val="28"/>
          <w:lang w:val="en-US" w:eastAsia="zh-CN"/>
        </w:rPr>
        <w:t xml:space="preserve">  评价工作过程</w:t>
      </w:r>
    </w:p>
    <w:p>
      <w:pPr>
        <w:spacing w:line="520" w:lineRule="exact"/>
        <w:ind w:firstLine="560" w:firstLineChars="200"/>
        <w:rPr>
          <w:rFonts w:ascii="Times New Roman" w:hAnsi="Times New Roman"/>
          <w:sz w:val="28"/>
          <w:szCs w:val="28"/>
        </w:rPr>
      </w:pPr>
      <w:r>
        <w:rPr>
          <w:rFonts w:ascii="Times New Roman" w:hAnsi="Times New Roman"/>
          <w:sz w:val="28"/>
          <w:szCs w:val="28"/>
        </w:rPr>
        <w:t>（1）20</w:t>
      </w:r>
      <w:r>
        <w:rPr>
          <w:rFonts w:hint="eastAsia" w:ascii="Times New Roman" w:hAnsi="Times New Roman"/>
          <w:sz w:val="28"/>
          <w:szCs w:val="28"/>
        </w:rPr>
        <w:t>20</w:t>
      </w:r>
      <w:r>
        <w:rPr>
          <w:rFonts w:ascii="Times New Roman" w:hAnsi="Times New Roman"/>
          <w:sz w:val="28"/>
          <w:szCs w:val="28"/>
        </w:rPr>
        <w:t>年</w:t>
      </w:r>
      <w:r>
        <w:rPr>
          <w:rFonts w:hint="eastAsia" w:ascii="Times New Roman" w:hAnsi="Times New Roman"/>
          <w:sz w:val="28"/>
          <w:szCs w:val="28"/>
        </w:rPr>
        <w:t>6</w:t>
      </w:r>
      <w:r>
        <w:rPr>
          <w:rFonts w:ascii="Times New Roman" w:hAnsi="Times New Roman"/>
          <w:sz w:val="28"/>
          <w:szCs w:val="28"/>
        </w:rPr>
        <w:t>月</w:t>
      </w:r>
      <w:r>
        <w:rPr>
          <w:rFonts w:hint="eastAsia" w:ascii="Times New Roman" w:hAnsi="Times New Roman"/>
          <w:sz w:val="28"/>
          <w:szCs w:val="28"/>
        </w:rPr>
        <w:t>29</w:t>
      </w:r>
      <w:r>
        <w:rPr>
          <w:rFonts w:ascii="Times New Roman" w:hAnsi="Times New Roman"/>
          <w:sz w:val="28"/>
          <w:szCs w:val="28"/>
        </w:rPr>
        <w:t>日，</w:t>
      </w:r>
      <w:r>
        <w:rPr>
          <w:rFonts w:ascii="Times New Roman" w:hAnsi="Times New Roman"/>
          <w:kern w:val="0"/>
          <w:sz w:val="28"/>
          <w:szCs w:val="28"/>
        </w:rPr>
        <w:t>河南省中原大化集团有限责任公司</w:t>
      </w:r>
      <w:r>
        <w:rPr>
          <w:rFonts w:ascii="Times New Roman" w:hAnsi="Times New Roman"/>
          <w:sz w:val="28"/>
          <w:szCs w:val="28"/>
        </w:rPr>
        <w:t>委托我公司开展环境影响评价工作；</w:t>
      </w:r>
    </w:p>
    <w:p>
      <w:pPr>
        <w:spacing w:line="520" w:lineRule="exact"/>
        <w:ind w:firstLine="560" w:firstLineChars="200"/>
        <w:rPr>
          <w:rFonts w:ascii="Times New Roman" w:hAnsi="Times New Roman"/>
          <w:sz w:val="28"/>
          <w:szCs w:val="28"/>
        </w:rPr>
      </w:pPr>
      <w:r>
        <w:rPr>
          <w:rFonts w:ascii="Times New Roman" w:hAnsi="Times New Roman"/>
          <w:sz w:val="28"/>
          <w:szCs w:val="28"/>
        </w:rPr>
        <w:t>（2）20</w:t>
      </w:r>
      <w:r>
        <w:rPr>
          <w:rFonts w:hint="eastAsia" w:ascii="Times New Roman" w:hAnsi="Times New Roman"/>
          <w:sz w:val="28"/>
          <w:szCs w:val="28"/>
        </w:rPr>
        <w:t>21</w:t>
      </w:r>
      <w:r>
        <w:rPr>
          <w:rFonts w:ascii="Times New Roman" w:hAnsi="Times New Roman"/>
          <w:sz w:val="28"/>
          <w:szCs w:val="28"/>
        </w:rPr>
        <w:t>年</w:t>
      </w:r>
      <w:r>
        <w:rPr>
          <w:rFonts w:hint="eastAsia" w:ascii="Times New Roman" w:hAnsi="Times New Roman"/>
          <w:sz w:val="28"/>
          <w:szCs w:val="28"/>
        </w:rPr>
        <w:t>3</w:t>
      </w:r>
      <w:r>
        <w:rPr>
          <w:rFonts w:ascii="Times New Roman" w:hAnsi="Times New Roman"/>
          <w:sz w:val="28"/>
          <w:szCs w:val="28"/>
        </w:rPr>
        <w:t>月</w:t>
      </w:r>
      <w:r>
        <w:rPr>
          <w:rFonts w:hint="eastAsia" w:ascii="Times New Roman" w:hAnsi="Times New Roman"/>
          <w:sz w:val="28"/>
          <w:szCs w:val="28"/>
        </w:rPr>
        <w:t>1</w:t>
      </w:r>
      <w:r>
        <w:rPr>
          <w:rFonts w:ascii="Times New Roman" w:hAnsi="Times New Roman"/>
          <w:sz w:val="28"/>
          <w:szCs w:val="28"/>
        </w:rPr>
        <w:t>7日~</w:t>
      </w:r>
      <w:r>
        <w:rPr>
          <w:rFonts w:hint="eastAsia" w:ascii="Times New Roman" w:hAnsi="Times New Roman"/>
          <w:sz w:val="28"/>
          <w:szCs w:val="28"/>
        </w:rPr>
        <w:t>3</w:t>
      </w:r>
      <w:r>
        <w:rPr>
          <w:rFonts w:ascii="Times New Roman" w:hAnsi="Times New Roman"/>
          <w:sz w:val="28"/>
          <w:szCs w:val="28"/>
        </w:rPr>
        <w:t>月23日，对区域环境空气、噪声和土壤</w:t>
      </w:r>
      <w:r>
        <w:rPr>
          <w:rFonts w:hint="eastAsia" w:ascii="Times New Roman" w:hAnsi="Times New Roman"/>
          <w:sz w:val="28"/>
          <w:szCs w:val="28"/>
        </w:rPr>
        <w:t>环境进行采样</w:t>
      </w:r>
      <w:r>
        <w:rPr>
          <w:rFonts w:ascii="Times New Roman" w:hAnsi="Times New Roman"/>
          <w:sz w:val="28"/>
          <w:szCs w:val="28"/>
        </w:rPr>
        <w:t>监测，以对区域环境质量做出分析和评价</w:t>
      </w:r>
      <w:r>
        <w:rPr>
          <w:rFonts w:hint="eastAsia" w:ascii="Times New Roman" w:hAnsi="Times New Roman"/>
          <w:sz w:val="28"/>
          <w:szCs w:val="28"/>
        </w:rPr>
        <w:t>。</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1.</w:t>
      </w:r>
      <w:r>
        <w:rPr>
          <w:rFonts w:hint="eastAsia" w:ascii="Times New Roman" w:hAnsi="Times New Roman" w:eastAsia="黑体"/>
          <w:sz w:val="28"/>
          <w:szCs w:val="28"/>
          <w:lang w:val="en-US" w:eastAsia="zh-CN"/>
        </w:rPr>
        <w:t>3</w:t>
      </w:r>
      <w:r>
        <w:rPr>
          <w:rFonts w:ascii="Times New Roman" w:hAnsi="Times New Roman" w:eastAsia="黑体"/>
          <w:sz w:val="28"/>
          <w:szCs w:val="28"/>
          <w:lang w:val="en-US" w:eastAsia="zh-CN"/>
        </w:rPr>
        <w:t xml:space="preserve">  项目分析判定情况</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 xml:space="preserve">  </w:t>
      </w:r>
      <w:r>
        <w:rPr>
          <w:rFonts w:ascii="Times New Roman" w:hAnsi="Times New Roman" w:eastAsia="楷体_GB2312"/>
          <w:sz w:val="28"/>
          <w:szCs w:val="28"/>
          <w:lang w:val="en-US" w:eastAsia="zh-CN"/>
        </w:rPr>
        <w:t xml:space="preserve">产业政策相符性分析判定 </w:t>
      </w:r>
    </w:p>
    <w:p>
      <w:pPr>
        <w:pStyle w:val="28"/>
        <w:spacing w:line="520" w:lineRule="exact"/>
        <w:ind w:right="278" w:firstLine="560" w:firstLineChars="200"/>
        <w:jc w:val="both"/>
        <w:rPr>
          <w:rFonts w:ascii="Times New Roman" w:cs="Times New Roman"/>
          <w:bCs/>
          <w:color w:val="auto"/>
          <w:sz w:val="28"/>
          <w:szCs w:val="28"/>
        </w:rPr>
      </w:pPr>
      <w:r>
        <w:rPr>
          <w:rFonts w:ascii="Times New Roman" w:cs="Times New Roman"/>
          <w:color w:val="auto"/>
          <w:sz w:val="28"/>
          <w:szCs w:val="28"/>
        </w:rPr>
        <w:t>项目</w:t>
      </w:r>
      <w:r>
        <w:rPr>
          <w:rFonts w:ascii="Times New Roman" w:cs="Times New Roman"/>
          <w:bCs/>
          <w:color w:val="auto"/>
          <w:sz w:val="28"/>
          <w:szCs w:val="28"/>
        </w:rPr>
        <w:t>以生物质秸秆糖水溶液和氢气为原料，经过乙二醇合成、乙二醇精馏工序生产乙二醇，属于工程技术研究和试验发展中试实验装置。与《产业结构调整指导目录（2019年本）》对比，项目建设不属于《产业结构调整指导目录（2019年本）》限制和淘汰类，符合国家相关产业政策。</w:t>
      </w:r>
    </w:p>
    <w:p>
      <w:pPr>
        <w:pStyle w:val="5"/>
        <w:spacing w:before="0" w:after="0" w:line="530" w:lineRule="exact"/>
        <w:rPr>
          <w:rFonts w:ascii="Times New Roman" w:hAnsi="Times New Roman" w:eastAsia="楷体"/>
          <w:kern w:val="0"/>
          <w:sz w:val="28"/>
          <w:szCs w:val="28"/>
        </w:rPr>
      </w:pP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w:t>
      </w:r>
      <w:r>
        <w:rPr>
          <w:rFonts w:hint="eastAsia" w:ascii="Times New Roman" w:hAnsi="Times New Roman" w:eastAsia="楷体_GB2312"/>
          <w:sz w:val="28"/>
          <w:szCs w:val="28"/>
          <w:lang w:val="en-US" w:eastAsia="zh-CN"/>
        </w:rPr>
        <w:t>2</w:t>
      </w:r>
      <w:r>
        <w:rPr>
          <w:rFonts w:ascii="Times New Roman" w:hAnsi="Times New Roman" w:eastAsia="楷体_GB2312"/>
          <w:sz w:val="28"/>
          <w:szCs w:val="28"/>
          <w:lang w:val="en-US" w:eastAsia="zh-CN"/>
        </w:rPr>
        <w:t xml:space="preserve"> </w:t>
      </w:r>
      <w:r>
        <w:rPr>
          <w:rFonts w:hint="eastAsia" w:ascii="Times New Roman" w:hAnsi="Times New Roman" w:eastAsia="楷体_GB2312"/>
          <w:sz w:val="28"/>
          <w:szCs w:val="28"/>
          <w:lang w:val="en-US" w:eastAsia="zh-CN"/>
        </w:rPr>
        <w:t xml:space="preserve">  </w:t>
      </w:r>
      <w:r>
        <w:rPr>
          <w:rFonts w:ascii="Times New Roman" w:hAnsi="Times New Roman" w:eastAsia="楷体_GB2312"/>
          <w:sz w:val="28"/>
          <w:szCs w:val="28"/>
          <w:lang w:val="en-US" w:eastAsia="zh-CN"/>
        </w:rPr>
        <w:t xml:space="preserve">相关规划及规划环评相符性分析判定 </w:t>
      </w:r>
    </w:p>
    <w:p>
      <w:pPr>
        <w:pStyle w:val="29"/>
        <w:rPr>
          <w:kern w:val="0"/>
        </w:rPr>
      </w:pPr>
      <w:r>
        <w:t>1.</w:t>
      </w:r>
      <w:r>
        <w:rPr>
          <w:rFonts w:hint="eastAsia"/>
        </w:rPr>
        <w:t>3</w:t>
      </w:r>
      <w:r>
        <w:t>.</w:t>
      </w:r>
      <w:r>
        <w:rPr>
          <w:rFonts w:hint="eastAsia"/>
        </w:rPr>
        <w:t>2</w:t>
      </w:r>
      <w:r>
        <w:t>.1  《河南省主体功能区划》（2014）</w:t>
      </w:r>
      <w:r>
        <w:rPr>
          <w:kern w:val="0"/>
        </w:rPr>
        <w:t xml:space="preserve"> </w:t>
      </w:r>
    </w:p>
    <w:p>
      <w:pPr>
        <w:tabs>
          <w:tab w:val="left" w:pos="959"/>
        </w:tabs>
        <w:spacing w:line="520" w:lineRule="exact"/>
        <w:ind w:firstLine="560" w:firstLineChars="200"/>
        <w:rPr>
          <w:rFonts w:ascii="Times New Roman" w:hAnsi="Times New Roman"/>
          <w:sz w:val="28"/>
          <w:szCs w:val="28"/>
        </w:rPr>
      </w:pPr>
      <w:r>
        <w:rPr>
          <w:rFonts w:ascii="Times New Roman" w:hAnsi="Times New Roman"/>
          <w:sz w:val="28"/>
          <w:szCs w:val="28"/>
        </w:rPr>
        <w:t>项目位于濮阳经济技术产业集聚区，属于省级重点开发区域，</w:t>
      </w:r>
      <w:r>
        <w:rPr>
          <w:rFonts w:hint="eastAsia" w:ascii="Times New Roman" w:hAnsi="Times New Roman"/>
          <w:sz w:val="28"/>
          <w:szCs w:val="28"/>
        </w:rPr>
        <w:t>项目建设有助于提升中原大化公司</w:t>
      </w:r>
      <w:r>
        <w:rPr>
          <w:rFonts w:ascii="Times New Roman" w:hAnsi="Times New Roman"/>
          <w:kern w:val="0"/>
          <w:sz w:val="28"/>
          <w:szCs w:val="28"/>
        </w:rPr>
        <w:t>全面掌握生物质乙二醇工艺技术，积累工程化经验，为公司在该技术领域的工业化放大打下坚实基础</w:t>
      </w:r>
      <w:r>
        <w:rPr>
          <w:rFonts w:hint="eastAsia" w:ascii="Times New Roman" w:hAnsi="Times New Roman"/>
          <w:kern w:val="0"/>
          <w:sz w:val="28"/>
          <w:szCs w:val="28"/>
        </w:rPr>
        <w:t>，</w:t>
      </w:r>
      <w:r>
        <w:rPr>
          <w:rFonts w:ascii="Times New Roman" w:hAnsi="Times New Roman"/>
          <w:sz w:val="28"/>
          <w:szCs w:val="28"/>
        </w:rPr>
        <w:t>符合《河南省主体功能区划》（2014）对省级重点开发区域的规划要求。</w:t>
      </w:r>
    </w:p>
    <w:p>
      <w:pPr>
        <w:pStyle w:val="29"/>
      </w:pPr>
      <w:r>
        <w:t>1.</w:t>
      </w:r>
      <w:r>
        <w:rPr>
          <w:rFonts w:hint="eastAsia"/>
        </w:rPr>
        <w:t>3</w:t>
      </w:r>
      <w:r>
        <w:t>.</w:t>
      </w:r>
      <w:r>
        <w:rPr>
          <w:rFonts w:hint="eastAsia"/>
        </w:rPr>
        <w:t>2</w:t>
      </w:r>
      <w:r>
        <w:t xml:space="preserve">.2  产业园区规划及规划环评 </w:t>
      </w:r>
    </w:p>
    <w:p>
      <w:pPr>
        <w:spacing w:line="520" w:lineRule="exact"/>
        <w:ind w:firstLine="560" w:firstLineChars="200"/>
        <w:rPr>
          <w:rFonts w:ascii="Times New Roman" w:hAnsi="Times New Roman"/>
          <w:sz w:val="28"/>
          <w:szCs w:val="28"/>
        </w:rPr>
      </w:pPr>
      <w:r>
        <w:rPr>
          <w:rFonts w:ascii="Times New Roman" w:hAnsi="Times New Roman"/>
          <w:kern w:val="0"/>
          <w:sz w:val="28"/>
          <w:szCs w:val="28"/>
        </w:rPr>
        <w:t>项目厂址位于</w:t>
      </w:r>
      <w:r>
        <w:rPr>
          <w:rFonts w:ascii="Times New Roman" w:hAnsi="Times New Roman"/>
          <w:sz w:val="28"/>
          <w:szCs w:val="28"/>
        </w:rPr>
        <w:t>濮阳经济技术产业集聚区</w:t>
      </w:r>
      <w:r>
        <w:rPr>
          <w:rFonts w:hint="eastAsia" w:ascii="Times New Roman" w:hAnsi="Times New Roman"/>
          <w:sz w:val="28"/>
          <w:szCs w:val="28"/>
        </w:rPr>
        <w:t>基础化工基地，主导产业定位为：</w:t>
      </w:r>
      <w:r>
        <w:rPr>
          <w:rFonts w:ascii="Times New Roman" w:hAnsi="Times New Roman"/>
          <w:sz w:val="28"/>
          <w:szCs w:val="28"/>
        </w:rPr>
        <w:t>以化工和装备制造业为主导产业，积极鼓励发展新兴产业和物流仓储产业</w:t>
      </w:r>
      <w:r>
        <w:rPr>
          <w:rFonts w:hint="eastAsia" w:ascii="Times New Roman" w:hAnsi="Times New Roman"/>
          <w:sz w:val="28"/>
          <w:szCs w:val="28"/>
        </w:rPr>
        <w:t>；</w:t>
      </w:r>
      <w:r>
        <w:rPr>
          <w:rFonts w:ascii="Times New Roman" w:hAnsi="Times New Roman"/>
          <w:sz w:val="28"/>
          <w:szCs w:val="28"/>
        </w:rPr>
        <w:t>依托中原乙烯、中原大化等龙头企业，延伸产品结构，拉长产业链条，发展相关产业，打造全市“石油化工、盐化工、煤化工”融合链接发展示范区。</w:t>
      </w:r>
    </w:p>
    <w:p>
      <w:pPr>
        <w:pStyle w:val="19"/>
        <w:shd w:val="clear" w:color="auto" w:fill="FFFFFF"/>
        <w:spacing w:before="24" w:beforeAutospacing="0" w:after="0" w:afterAutospacing="0" w:line="520" w:lineRule="exact"/>
        <w:ind w:firstLine="560" w:firstLineChars="200"/>
        <w:jc w:val="both"/>
        <w:rPr>
          <w:rFonts w:hint="eastAsia" w:ascii="Times New Roman" w:hAnsi="Times New Roman"/>
          <w:sz w:val="28"/>
          <w:szCs w:val="28"/>
        </w:rPr>
      </w:pPr>
      <w:r>
        <w:rPr>
          <w:rFonts w:hint="eastAsia" w:ascii="Times New Roman" w:hAnsi="Times New Roman" w:cs="Times New Roman"/>
          <w:kern w:val="2"/>
          <w:sz w:val="28"/>
          <w:szCs w:val="28"/>
        </w:rPr>
        <w:t>经比对</w:t>
      </w:r>
      <w:r>
        <w:rPr>
          <w:rFonts w:ascii="Times New Roman" w:hAnsi="Times New Roman"/>
          <w:sz w:val="28"/>
          <w:szCs w:val="28"/>
        </w:rPr>
        <w:t>濮阳经技技术产业集聚区环境准入条件</w:t>
      </w:r>
      <w:r>
        <w:rPr>
          <w:rFonts w:ascii="Times New Roman" w:hAnsi="Times New Roman" w:cs="Times New Roman"/>
          <w:sz w:val="28"/>
          <w:szCs w:val="28"/>
        </w:rPr>
        <w:t>，</w:t>
      </w:r>
      <w:r>
        <w:rPr>
          <w:rFonts w:hint="eastAsia" w:ascii="Times New Roman" w:hAnsi="Times New Roman" w:cs="Times New Roman"/>
          <w:sz w:val="28"/>
          <w:szCs w:val="28"/>
        </w:rPr>
        <w:t>项目建设符合环境准入条件。</w:t>
      </w:r>
    </w:p>
    <w:p>
      <w:pPr>
        <w:pStyle w:val="29"/>
      </w:pPr>
      <w:r>
        <w:t>1.</w:t>
      </w:r>
      <w:r>
        <w:rPr>
          <w:rFonts w:hint="eastAsia"/>
        </w:rPr>
        <w:t>3</w:t>
      </w:r>
      <w:r>
        <w:t>.</w:t>
      </w:r>
      <w:r>
        <w:rPr>
          <w:rFonts w:hint="eastAsia"/>
        </w:rPr>
        <w:t>2</w:t>
      </w:r>
      <w:r>
        <w:t xml:space="preserve">.3  饮用水源地保护区规划 </w:t>
      </w:r>
    </w:p>
    <w:p>
      <w:pPr>
        <w:pStyle w:val="27"/>
        <w:ind w:firstLine="560"/>
        <w:rPr>
          <w:rFonts w:hint="eastAsia"/>
        </w:rPr>
      </w:pPr>
      <w:r>
        <w:rPr>
          <w:szCs w:val="28"/>
        </w:rPr>
        <w:t>根据据《河南省濮阳市城市饮用水水资源保护区划分技术报告》（2007年）</w:t>
      </w:r>
      <w:r>
        <w:rPr>
          <w:rFonts w:hint="eastAsia"/>
          <w:szCs w:val="28"/>
        </w:rPr>
        <w:t>、</w:t>
      </w:r>
      <w:r>
        <w:rPr>
          <w:szCs w:val="28"/>
        </w:rPr>
        <w:t>《濮阳市地下饮用水源地调整及保护区核定技术报告》</w:t>
      </w:r>
      <w:r>
        <w:rPr>
          <w:rFonts w:hint="eastAsia"/>
          <w:szCs w:val="28"/>
        </w:rPr>
        <w:t>、</w:t>
      </w:r>
      <w:r>
        <w:rPr>
          <w:szCs w:val="28"/>
        </w:rPr>
        <w:t>河南省环保厅联合水利厅</w:t>
      </w:r>
      <w:bookmarkStart w:id="4" w:name="_Hlk42173846"/>
      <w:r>
        <w:rPr>
          <w:szCs w:val="28"/>
        </w:rPr>
        <w:t>豫环函【2014】61号文</w:t>
      </w:r>
      <w:bookmarkEnd w:id="4"/>
      <w:r>
        <w:rPr>
          <w:kern w:val="0"/>
          <w:szCs w:val="28"/>
        </w:rPr>
        <w:t>及周边镇级集中式饮用水源分布情况，</w:t>
      </w:r>
      <w:r>
        <w:rPr>
          <w:szCs w:val="28"/>
        </w:rPr>
        <w:t>距离项目较近的水源地为</w:t>
      </w:r>
      <w:r>
        <w:rPr>
          <w:szCs w:val="21"/>
        </w:rPr>
        <w:t>西水坡地表水饮用水源保护区</w:t>
      </w:r>
      <w:r>
        <w:rPr>
          <w:rFonts w:hint="eastAsia"/>
          <w:szCs w:val="21"/>
        </w:rPr>
        <w:t>和</w:t>
      </w:r>
      <w:r>
        <w:rPr>
          <w:szCs w:val="21"/>
        </w:rPr>
        <w:t>王助镇水厂地下水井</w:t>
      </w:r>
      <w:r>
        <w:rPr>
          <w:rFonts w:hint="eastAsia"/>
          <w:szCs w:val="21"/>
        </w:rPr>
        <w:t>，</w:t>
      </w:r>
      <w:r>
        <w:rPr>
          <w:szCs w:val="28"/>
        </w:rPr>
        <w:t>距</w:t>
      </w:r>
      <w:r>
        <w:rPr>
          <w:rFonts w:hint="eastAsia"/>
          <w:szCs w:val="28"/>
        </w:rPr>
        <w:t>其准保护区</w:t>
      </w:r>
      <w:r>
        <w:rPr>
          <w:szCs w:val="28"/>
        </w:rPr>
        <w:t>约</w:t>
      </w:r>
      <w:r>
        <w:rPr>
          <w:rFonts w:hint="eastAsia"/>
          <w:szCs w:val="28"/>
        </w:rPr>
        <w:t>4km</w:t>
      </w:r>
      <w:r>
        <w:rPr>
          <w:szCs w:val="28"/>
        </w:rPr>
        <w:t>，不在</w:t>
      </w:r>
      <w:r>
        <w:rPr>
          <w:rFonts w:hint="eastAsia"/>
          <w:szCs w:val="28"/>
        </w:rPr>
        <w:t>濮阳市</w:t>
      </w:r>
      <w:r>
        <w:rPr>
          <w:szCs w:val="28"/>
        </w:rPr>
        <w:t>市级水源保护区范围内</w:t>
      </w:r>
      <w:r>
        <w:rPr>
          <w:rFonts w:hint="eastAsia"/>
        </w:rPr>
        <w:t>和</w:t>
      </w:r>
      <w:r>
        <w:rPr>
          <w:szCs w:val="28"/>
        </w:rPr>
        <w:t>规划的乡镇级集中式饮用水水源保护区内</w:t>
      </w:r>
      <w:r>
        <w:t>。</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w:t>
      </w: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 xml:space="preserve">  环境影响分析判定 </w:t>
      </w:r>
    </w:p>
    <w:p>
      <w:pPr>
        <w:spacing w:line="520" w:lineRule="exact"/>
        <w:ind w:firstLine="560" w:firstLineChars="200"/>
        <w:rPr>
          <w:rFonts w:ascii="Times New Roman" w:hAnsi="Times New Roman"/>
          <w:sz w:val="28"/>
          <w:szCs w:val="28"/>
        </w:rPr>
      </w:pPr>
      <w:r>
        <w:rPr>
          <w:rFonts w:ascii="Times New Roman" w:hAnsi="Times New Roman"/>
          <w:sz w:val="28"/>
          <w:szCs w:val="28"/>
        </w:rPr>
        <w:t>根据工程分析及各环境要素评价内容，项目主要评价因素判定情况如下：</w:t>
      </w:r>
    </w:p>
    <w:p>
      <w:pPr>
        <w:pStyle w:val="29"/>
      </w:pPr>
      <w:r>
        <w:t>1.</w:t>
      </w:r>
      <w:r>
        <w:rPr>
          <w:rFonts w:hint="eastAsia"/>
        </w:rPr>
        <w:t>3</w:t>
      </w:r>
      <w:r>
        <w:t>.</w:t>
      </w:r>
      <w:r>
        <w:rPr>
          <w:rFonts w:hint="eastAsia"/>
        </w:rPr>
        <w:t>3</w:t>
      </w:r>
      <w:r>
        <w:t>.1  环境空气影响分析判定情况</w:t>
      </w:r>
    </w:p>
    <w:p>
      <w:pPr>
        <w:spacing w:line="520" w:lineRule="exact"/>
        <w:ind w:firstLine="560" w:firstLineChars="200"/>
        <w:rPr>
          <w:rFonts w:ascii="Times New Roman" w:hAnsi="Times New Roman"/>
          <w:sz w:val="28"/>
          <w:szCs w:val="28"/>
        </w:rPr>
      </w:pPr>
      <w:r>
        <w:rPr>
          <w:rFonts w:ascii="Times New Roman" w:hAnsi="Times New Roman"/>
          <w:sz w:val="28"/>
          <w:szCs w:val="28"/>
        </w:rPr>
        <w:t xml:space="preserve">本项目大气环境影响评价等级为二级，评价范围为以真空泵尾气排气筒为中心（原点），从厂界四边向东、西、南、北方向各至2.5km。 </w:t>
      </w:r>
    </w:p>
    <w:p>
      <w:pPr>
        <w:pStyle w:val="27"/>
        <w:ind w:firstLine="560"/>
        <w:rPr>
          <w:szCs w:val="28"/>
        </w:rPr>
      </w:pPr>
      <w:r>
        <w:rPr>
          <w:szCs w:val="28"/>
        </w:rPr>
        <w:t>经预测分析，本项目建成后营运期的废气对周围环境影响较小，不会对周边大气环境造成明显不利影响，从大气环境影响角度考虑，本项目建设是可行的。</w:t>
      </w:r>
    </w:p>
    <w:p>
      <w:pPr>
        <w:pStyle w:val="29"/>
      </w:pPr>
      <w:r>
        <w:t>1.</w:t>
      </w:r>
      <w:r>
        <w:rPr>
          <w:rFonts w:hint="eastAsia"/>
        </w:rPr>
        <w:t>3</w:t>
      </w:r>
      <w:r>
        <w:t>.</w:t>
      </w:r>
      <w:r>
        <w:rPr>
          <w:rFonts w:hint="eastAsia"/>
        </w:rPr>
        <w:t>3</w:t>
      </w:r>
      <w:r>
        <w:t>.2  地表水环境影响分析判定情况</w:t>
      </w:r>
    </w:p>
    <w:p>
      <w:pPr>
        <w:spacing w:line="520" w:lineRule="exact"/>
        <w:ind w:firstLine="560" w:firstLineChars="200"/>
        <w:rPr>
          <w:rFonts w:ascii="Times New Roman" w:hAnsi="Times New Roman"/>
          <w:sz w:val="28"/>
          <w:szCs w:val="28"/>
        </w:rPr>
      </w:pPr>
      <w:r>
        <w:rPr>
          <w:rFonts w:ascii="Times New Roman" w:hAnsi="Times New Roman"/>
          <w:sz w:val="28"/>
          <w:szCs w:val="28"/>
        </w:rPr>
        <w:t>项目废水进入</w:t>
      </w:r>
      <w:r>
        <w:rPr>
          <w:rFonts w:hint="eastAsia" w:ascii="Times New Roman" w:hAnsi="Times New Roman"/>
          <w:sz w:val="28"/>
          <w:szCs w:val="28"/>
        </w:rPr>
        <w:t>甲醇装置现有污水处理站处理，经处理后排入濮阳康达环保水务有限公司（濮阳市第二污水处理厂）处理。</w:t>
      </w:r>
      <w:r>
        <w:rPr>
          <w:rFonts w:ascii="Times New Roman" w:hAnsi="Times New Roman"/>
          <w:sz w:val="28"/>
          <w:szCs w:val="28"/>
        </w:rPr>
        <w:t>根据《环境影响评价技术导则 地表水环境》（HJ 2.3-2018），本项目地表水环境评价等级为三级B。</w:t>
      </w:r>
    </w:p>
    <w:p>
      <w:pPr>
        <w:pStyle w:val="29"/>
      </w:pPr>
      <w:r>
        <w:t>1.</w:t>
      </w:r>
      <w:r>
        <w:rPr>
          <w:rFonts w:hint="eastAsia"/>
        </w:rPr>
        <w:t>3</w:t>
      </w:r>
      <w:r>
        <w:t>.</w:t>
      </w:r>
      <w:r>
        <w:rPr>
          <w:rFonts w:hint="eastAsia"/>
        </w:rPr>
        <w:t>3</w:t>
      </w:r>
      <w:r>
        <w:t>.3  地下水环境影响分析判定情况</w:t>
      </w:r>
    </w:p>
    <w:p>
      <w:pPr>
        <w:spacing w:line="520" w:lineRule="exact"/>
        <w:ind w:firstLine="560" w:firstLineChars="200"/>
        <w:rPr>
          <w:rFonts w:ascii="Times New Roman" w:hAnsi="Times New Roman"/>
          <w:sz w:val="28"/>
          <w:szCs w:val="28"/>
        </w:rPr>
      </w:pPr>
      <w:r>
        <w:rPr>
          <w:rFonts w:ascii="Times New Roman" w:hAnsi="Times New Roman"/>
          <w:sz w:val="28"/>
          <w:szCs w:val="28"/>
        </w:rPr>
        <w:t>建设项目所属的地下水环境影响评价项目类别为Ⅰ类，地下水环境敏感程度为</w:t>
      </w:r>
      <w:r>
        <w:rPr>
          <w:rFonts w:hint="eastAsia" w:ascii="Times New Roman" w:hAnsi="Times New Roman"/>
          <w:sz w:val="28"/>
          <w:szCs w:val="28"/>
        </w:rPr>
        <w:t>“</w:t>
      </w:r>
      <w:r>
        <w:rPr>
          <w:rFonts w:ascii="Times New Roman" w:hAnsi="Times New Roman"/>
          <w:sz w:val="28"/>
          <w:szCs w:val="28"/>
        </w:rPr>
        <w:t>较敏感</w:t>
      </w:r>
      <w:r>
        <w:rPr>
          <w:rFonts w:hint="eastAsia" w:ascii="Times New Roman" w:hAnsi="Times New Roman"/>
          <w:sz w:val="28"/>
          <w:szCs w:val="28"/>
        </w:rPr>
        <w:t>”</w:t>
      </w:r>
      <w:r>
        <w:rPr>
          <w:rFonts w:ascii="Times New Roman" w:hAnsi="Times New Roman"/>
          <w:sz w:val="28"/>
          <w:szCs w:val="28"/>
        </w:rPr>
        <w:t>，综合判定拟建项目环境影响评价地下水环境影响评价工作等级为一级。</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考虑最不利状况（项目区</w:t>
      </w:r>
      <w:r>
        <w:rPr>
          <w:rFonts w:hint="eastAsia" w:ascii="Times New Roman" w:hAnsi="Times New Roman"/>
          <w:sz w:val="28"/>
          <w:szCs w:val="28"/>
        </w:rPr>
        <w:t>尾气洗涤塔</w:t>
      </w:r>
      <w:r>
        <w:rPr>
          <w:rFonts w:ascii="Times New Roman" w:hAnsi="Times New Roman"/>
          <w:sz w:val="28"/>
          <w:szCs w:val="28"/>
        </w:rPr>
        <w:t>泄露情景下），可以看出</w:t>
      </w:r>
      <w:r>
        <w:rPr>
          <w:rFonts w:hint="eastAsia" w:ascii="Times New Roman" w:hAnsi="Times New Roman"/>
          <w:sz w:val="28"/>
          <w:szCs w:val="28"/>
        </w:rPr>
        <w:t>地下水中COD</w:t>
      </w:r>
      <w:r>
        <w:rPr>
          <w:rFonts w:ascii="Times New Roman" w:hAnsi="Times New Roman"/>
          <w:sz w:val="28"/>
          <w:szCs w:val="28"/>
        </w:rPr>
        <w:t>有超标</w:t>
      </w:r>
      <w:r>
        <w:rPr>
          <w:rFonts w:hint="eastAsia" w:ascii="Times New Roman" w:hAnsi="Times New Roman"/>
          <w:sz w:val="28"/>
          <w:szCs w:val="28"/>
        </w:rPr>
        <w:t>，</w:t>
      </w:r>
      <w:r>
        <w:rPr>
          <w:rFonts w:ascii="Times New Roman" w:hAnsi="Times New Roman"/>
          <w:sz w:val="28"/>
          <w:szCs w:val="28"/>
        </w:rPr>
        <w:t>但超标范围</w:t>
      </w:r>
      <w:r>
        <w:rPr>
          <w:rFonts w:hint="eastAsia" w:ascii="Times New Roman" w:hAnsi="Times New Roman"/>
          <w:sz w:val="28"/>
          <w:szCs w:val="28"/>
        </w:rPr>
        <w:t>仅在泄漏点附近，并</w:t>
      </w:r>
      <w:r>
        <w:rPr>
          <w:rFonts w:ascii="Times New Roman" w:hAnsi="Times New Roman"/>
          <w:sz w:val="28"/>
          <w:szCs w:val="28"/>
        </w:rPr>
        <w:t>没有超出厂区范围。从总的评价结果来看，在有效的防渗措施和完善的监测系统条件下，该项目不会对地下水造成很大影响。发生事故立即启动应急预案，只要处理及时其对地下水的污染可控制在厂区范围之内。</w:t>
      </w:r>
    </w:p>
    <w:p>
      <w:pPr>
        <w:pStyle w:val="29"/>
      </w:pPr>
      <w:r>
        <w:t>1.</w:t>
      </w:r>
      <w:r>
        <w:rPr>
          <w:rFonts w:hint="eastAsia"/>
        </w:rPr>
        <w:t>3</w:t>
      </w:r>
      <w:r>
        <w:t>.</w:t>
      </w:r>
      <w:r>
        <w:rPr>
          <w:rFonts w:hint="eastAsia"/>
        </w:rPr>
        <w:t>3</w:t>
      </w:r>
      <w:r>
        <w:t>.4  噪声环境影响分析判定情况</w:t>
      </w:r>
    </w:p>
    <w:p>
      <w:pPr>
        <w:spacing w:line="520" w:lineRule="exact"/>
        <w:ind w:firstLine="560" w:firstLineChars="200"/>
        <w:rPr>
          <w:sz w:val="28"/>
        </w:rPr>
      </w:pPr>
      <w:r>
        <w:rPr>
          <w:rFonts w:ascii="Times New Roman" w:hAnsi="Times New Roman"/>
          <w:sz w:val="28"/>
          <w:szCs w:val="28"/>
        </w:rPr>
        <w:t>本项目声环境评价等级为</w:t>
      </w:r>
      <w:r>
        <w:rPr>
          <w:rFonts w:hint="eastAsia" w:ascii="Times New Roman" w:hAnsi="Times New Roman"/>
          <w:sz w:val="28"/>
          <w:szCs w:val="28"/>
        </w:rPr>
        <w:t>三</w:t>
      </w:r>
      <w:r>
        <w:rPr>
          <w:rFonts w:ascii="Times New Roman" w:hAnsi="Times New Roman"/>
          <w:sz w:val="28"/>
          <w:szCs w:val="28"/>
        </w:rPr>
        <w:t>级，</w:t>
      </w:r>
      <w:r>
        <w:rPr>
          <w:rFonts w:ascii="Times New Roman" w:hAnsi="Times New Roman"/>
          <w:sz w:val="28"/>
        </w:rPr>
        <w:t>预测范围确定为厂址边界外200m。本项目厂址附近噪声敏感点均在200m范围之外，因此，本次噪声仅预测项目正常运行时的厂界噪声值。</w:t>
      </w:r>
    </w:p>
    <w:p>
      <w:pPr>
        <w:spacing w:line="520" w:lineRule="exact"/>
        <w:ind w:firstLine="560" w:firstLineChars="200"/>
        <w:rPr>
          <w:rFonts w:ascii="Times New Roman" w:hAnsi="Times New Roman"/>
          <w:sz w:val="28"/>
          <w:szCs w:val="28"/>
        </w:rPr>
      </w:pPr>
      <w:r>
        <w:rPr>
          <w:rFonts w:ascii="Times New Roman" w:hAnsi="Times New Roman"/>
          <w:sz w:val="28"/>
          <w:szCs w:val="28"/>
        </w:rPr>
        <w:t>经预测分析，本项目厂界噪声</w:t>
      </w:r>
      <w:r>
        <w:rPr>
          <w:rFonts w:hint="eastAsia" w:ascii="Times New Roman" w:hAnsi="Times New Roman"/>
          <w:sz w:val="28"/>
          <w:szCs w:val="28"/>
        </w:rPr>
        <w:t>预测值</w:t>
      </w:r>
      <w:r>
        <w:rPr>
          <w:rFonts w:ascii="Times New Roman" w:hAnsi="Times New Roman"/>
          <w:sz w:val="28"/>
          <w:szCs w:val="28"/>
        </w:rPr>
        <w:t>可以满足《工业企业厂界环境噪声排放标准》（GB12348-2008）</w:t>
      </w:r>
      <w:r>
        <w:rPr>
          <w:rFonts w:hint="eastAsia" w:ascii="Times New Roman" w:hAnsi="Times New Roman"/>
          <w:sz w:val="28"/>
          <w:szCs w:val="28"/>
        </w:rPr>
        <w:t>3</w:t>
      </w:r>
      <w:r>
        <w:rPr>
          <w:rFonts w:ascii="Times New Roman" w:hAnsi="Times New Roman"/>
          <w:sz w:val="28"/>
          <w:szCs w:val="28"/>
        </w:rPr>
        <w:t>类标准要求，项目对区域声环境的影响较小。</w:t>
      </w:r>
    </w:p>
    <w:p>
      <w:pPr>
        <w:pStyle w:val="29"/>
      </w:pPr>
      <w:r>
        <w:t>1.</w:t>
      </w:r>
      <w:r>
        <w:rPr>
          <w:rFonts w:hint="eastAsia"/>
        </w:rPr>
        <w:t>3</w:t>
      </w:r>
      <w:r>
        <w:t>.</w:t>
      </w:r>
      <w:r>
        <w:rPr>
          <w:rFonts w:hint="eastAsia"/>
        </w:rPr>
        <w:t>3</w:t>
      </w:r>
      <w:r>
        <w:t>.5  环境风险</w:t>
      </w:r>
    </w:p>
    <w:p>
      <w:pPr>
        <w:pStyle w:val="8"/>
        <w:spacing w:line="500" w:lineRule="exact"/>
        <w:ind w:firstLine="560"/>
        <w:rPr>
          <w:rFonts w:hint="eastAsia"/>
          <w:color w:val="auto"/>
          <w:szCs w:val="28"/>
        </w:rPr>
      </w:pPr>
      <w:r>
        <w:rPr>
          <w:rFonts w:hint="eastAsia"/>
          <w:color w:val="auto"/>
          <w:szCs w:val="28"/>
        </w:rPr>
        <w:t>项目环境风险评价工作级别为简要分析。</w:t>
      </w:r>
    </w:p>
    <w:p>
      <w:pPr>
        <w:pStyle w:val="8"/>
        <w:ind w:firstLine="560"/>
        <w:rPr>
          <w:rFonts w:hint="eastAsia"/>
          <w:color w:val="auto"/>
          <w:szCs w:val="28"/>
        </w:rPr>
      </w:pPr>
      <w:r>
        <w:rPr>
          <w:color w:val="auto"/>
          <w:szCs w:val="28"/>
        </w:rPr>
        <w:t>项目</w:t>
      </w:r>
      <w:r>
        <w:rPr>
          <w:rFonts w:hint="eastAsia"/>
          <w:color w:val="auto"/>
          <w:szCs w:val="28"/>
        </w:rPr>
        <w:t>涉及</w:t>
      </w:r>
      <w:r>
        <w:rPr>
          <w:color w:val="auto"/>
          <w:szCs w:val="28"/>
        </w:rPr>
        <w:t>主要危险物质为</w:t>
      </w:r>
      <w:r>
        <w:rPr>
          <w:rFonts w:hint="eastAsia"/>
          <w:color w:val="auto"/>
          <w:szCs w:val="28"/>
        </w:rPr>
        <w:t>氢气、乙二醇、丙二醇，</w:t>
      </w:r>
      <w:r>
        <w:rPr>
          <w:color w:val="auto"/>
          <w:szCs w:val="28"/>
        </w:rPr>
        <w:t>主要分布在</w:t>
      </w:r>
      <w:r>
        <w:rPr>
          <w:rFonts w:hint="eastAsia"/>
          <w:color w:val="auto"/>
          <w:szCs w:val="28"/>
        </w:rPr>
        <w:t>乙二醇合成和乙二醇精馏</w:t>
      </w:r>
      <w:r>
        <w:rPr>
          <w:color w:val="auto"/>
          <w:szCs w:val="28"/>
        </w:rPr>
        <w:t>单元，环境风险因素主要为火灾爆炸事故次生污染物排放</w:t>
      </w:r>
      <w:r>
        <w:rPr>
          <w:rFonts w:hint="eastAsia"/>
          <w:color w:val="auto"/>
          <w:szCs w:val="28"/>
        </w:rPr>
        <w:t>。</w:t>
      </w:r>
      <w:r>
        <w:rPr>
          <w:rFonts w:hint="eastAsia"/>
          <w:color w:val="auto"/>
          <w:kern w:val="0"/>
          <w:szCs w:val="28"/>
        </w:rPr>
        <w:t>对于工程可能产生的风险事故，通过采取相应的风险防范措施，其影响处于可以接受的范围。</w:t>
      </w:r>
    </w:p>
    <w:p>
      <w:pPr>
        <w:pStyle w:val="29"/>
      </w:pPr>
      <w:r>
        <w:t>1.</w:t>
      </w:r>
      <w:r>
        <w:rPr>
          <w:rFonts w:hint="eastAsia"/>
        </w:rPr>
        <w:t>3</w:t>
      </w:r>
      <w:r>
        <w:t>.</w:t>
      </w:r>
      <w:r>
        <w:rPr>
          <w:rFonts w:hint="eastAsia"/>
        </w:rPr>
        <w:t>3</w:t>
      </w:r>
      <w:r>
        <w:t xml:space="preserve">.6  </w:t>
      </w:r>
      <w:r>
        <w:rPr>
          <w:rFonts w:hint="eastAsia"/>
        </w:rPr>
        <w:t>土壤环境</w:t>
      </w:r>
    </w:p>
    <w:p>
      <w:pPr>
        <w:pStyle w:val="27"/>
        <w:ind w:firstLine="560"/>
      </w:pPr>
      <w:r>
        <w:t>本项目土壤环境影响评价等级为</w:t>
      </w:r>
      <w:r>
        <w:rPr>
          <w:rFonts w:hint="eastAsia"/>
        </w:rPr>
        <w:t>一</w:t>
      </w:r>
      <w:r>
        <w:t>级。</w:t>
      </w:r>
    </w:p>
    <w:p>
      <w:pPr>
        <w:pStyle w:val="27"/>
        <w:ind w:firstLine="560"/>
        <w:rPr>
          <w:szCs w:val="28"/>
        </w:rPr>
      </w:pPr>
      <w:r>
        <w:rPr>
          <w:szCs w:val="28"/>
        </w:rPr>
        <w:t>项目运营期内存在垂直入渗污染土壤的途径。根据预测分析，当污染物垂直运移到任一观测点后，200天内土壤中COD浓度快速升高；250天后土壤中COD浓度基本达到最大值，最大值为12mg/cm</w:t>
      </w:r>
      <w:r>
        <w:rPr>
          <w:szCs w:val="28"/>
          <w:vertAlign w:val="superscript"/>
        </w:rPr>
        <w:t>3</w:t>
      </w:r>
      <w:r>
        <w:rPr>
          <w:szCs w:val="28"/>
        </w:rPr>
        <w:t>，之后不再升高；COD垂直入渗至5m深度大约需要250天，750天时5m深度的土壤中COD浓度达到最大值，污染物垂直入渗速率较大。土壤对污染物的运移有一定的阻滞作用，但污染防护性能较差，污染物垂直运移速率较快。建议建设单位应加强污水处理设施的运维，利用设备检修期对包括尾气吸收塔在内的各种污水管线、水池的防渗层进行检查，减少非正常工况下的“跑冒滴漏”，从源头控制土壤污染。</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1.</w:t>
      </w:r>
      <w:r>
        <w:rPr>
          <w:rFonts w:hint="eastAsia" w:ascii="Times New Roman" w:hAnsi="Times New Roman" w:eastAsia="黑体"/>
          <w:sz w:val="28"/>
          <w:szCs w:val="28"/>
          <w:lang w:val="en-US" w:eastAsia="zh-CN"/>
        </w:rPr>
        <w:t>4</w:t>
      </w:r>
      <w:r>
        <w:rPr>
          <w:rFonts w:ascii="Times New Roman" w:hAnsi="Times New Roman" w:eastAsia="黑体"/>
          <w:sz w:val="28"/>
          <w:szCs w:val="28"/>
          <w:lang w:val="en-US" w:eastAsia="zh-CN"/>
        </w:rPr>
        <w:t xml:space="preserve">  项目特点及环境特点</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4</w:t>
      </w:r>
      <w:r>
        <w:rPr>
          <w:rFonts w:ascii="Times New Roman" w:hAnsi="Times New Roman" w:eastAsia="楷体_GB2312"/>
          <w:sz w:val="28"/>
          <w:szCs w:val="28"/>
          <w:lang w:val="en-US" w:eastAsia="zh-CN"/>
        </w:rPr>
        <w:t>.1  建设项目特点</w:t>
      </w:r>
    </w:p>
    <w:p>
      <w:pPr>
        <w:tabs>
          <w:tab w:val="left" w:pos="4540"/>
        </w:tabs>
        <w:spacing w:line="520" w:lineRule="exact"/>
        <w:ind w:firstLine="560" w:firstLineChars="200"/>
        <w:rPr>
          <w:rFonts w:hint="eastAsia" w:ascii="Times New Roman" w:hAnsi="Times New Roman"/>
          <w:sz w:val="28"/>
          <w:szCs w:val="28"/>
        </w:rPr>
      </w:pPr>
      <w:r>
        <w:rPr>
          <w:rFonts w:hint="eastAsia" w:ascii="Times New Roman" w:hAnsi="Times New Roman"/>
          <w:sz w:val="28"/>
          <w:szCs w:val="28"/>
        </w:rPr>
        <w:t>（1）</w:t>
      </w:r>
      <w:r>
        <w:rPr>
          <w:rFonts w:ascii="Times New Roman" w:hAnsi="Times New Roman"/>
          <w:sz w:val="28"/>
          <w:szCs w:val="28"/>
        </w:rPr>
        <w:t>对照《产业结构调整指导目录（201</w:t>
      </w:r>
      <w:r>
        <w:rPr>
          <w:rFonts w:hint="eastAsia" w:ascii="Times New Roman" w:hAnsi="Times New Roman"/>
          <w:sz w:val="28"/>
          <w:szCs w:val="28"/>
        </w:rPr>
        <w:t>9</w:t>
      </w:r>
      <w:r>
        <w:rPr>
          <w:rFonts w:ascii="Times New Roman" w:hAnsi="Times New Roman"/>
          <w:sz w:val="28"/>
          <w:szCs w:val="28"/>
        </w:rPr>
        <w:t>年）》，</w:t>
      </w:r>
      <w:r>
        <w:rPr>
          <w:rFonts w:hint="eastAsia" w:ascii="Times New Roman" w:hAnsi="Times New Roman"/>
          <w:bCs/>
          <w:sz w:val="28"/>
          <w:szCs w:val="28"/>
        </w:rPr>
        <w:t>项目</w:t>
      </w:r>
      <w:r>
        <w:rPr>
          <w:rFonts w:ascii="Times New Roman" w:hAnsi="Times New Roman"/>
          <w:sz w:val="28"/>
          <w:szCs w:val="28"/>
        </w:rPr>
        <w:t>不属于限制类、淘汰类，为允许类项目，符合国家当前产业政策要求</w:t>
      </w:r>
      <w:r>
        <w:rPr>
          <w:rFonts w:hint="eastAsia" w:ascii="Times New Roman" w:hAnsi="Times New Roman"/>
          <w:sz w:val="28"/>
          <w:szCs w:val="28"/>
        </w:rPr>
        <w:t>。</w:t>
      </w:r>
    </w:p>
    <w:p>
      <w:pPr>
        <w:autoSpaceDE w:val="0"/>
        <w:autoSpaceDN w:val="0"/>
        <w:adjustRightInd w:val="0"/>
        <w:spacing w:line="520" w:lineRule="exact"/>
        <w:ind w:firstLine="560" w:firstLineChars="200"/>
        <w:jc w:val="left"/>
        <w:rPr>
          <w:rFonts w:hint="eastAsia" w:ascii="Times New Roman" w:hAnsi="Times New Roman"/>
          <w:sz w:val="28"/>
          <w:szCs w:val="28"/>
        </w:rPr>
      </w:pPr>
      <w:r>
        <w:rPr>
          <w:rFonts w:ascii="Times New Roman" w:hAnsi="Times New Roman"/>
          <w:sz w:val="28"/>
          <w:szCs w:val="28"/>
        </w:rPr>
        <w:t>（</w:t>
      </w:r>
      <w:r>
        <w:rPr>
          <w:rFonts w:hint="eastAsia" w:ascii="Times New Roman" w:hAnsi="Times New Roman"/>
          <w:sz w:val="28"/>
          <w:szCs w:val="28"/>
        </w:rPr>
        <w:t>2</w:t>
      </w:r>
      <w:r>
        <w:rPr>
          <w:rFonts w:ascii="Times New Roman" w:hAnsi="Times New Roman"/>
          <w:sz w:val="28"/>
          <w:szCs w:val="28"/>
        </w:rPr>
        <w:t>）</w:t>
      </w:r>
      <w:r>
        <w:rPr>
          <w:rFonts w:hint="eastAsia" w:ascii="Times New Roman" w:hAnsi="Times New Roman"/>
          <w:sz w:val="28"/>
          <w:szCs w:val="28"/>
        </w:rPr>
        <w:t>项目为生物质乙二醇中试装置，是乙二醇生产的绿色发展路线，为后续工业化生产提供技术支撑。</w:t>
      </w:r>
    </w:p>
    <w:p>
      <w:pPr>
        <w:tabs>
          <w:tab w:val="left" w:pos="4540"/>
        </w:tabs>
        <w:spacing w:line="520" w:lineRule="exact"/>
        <w:ind w:firstLine="560" w:firstLineChars="200"/>
        <w:rPr>
          <w:rFonts w:hint="eastAsia" w:ascii="Times New Roman" w:hAnsi="Times New Roman"/>
          <w:sz w:val="28"/>
          <w:szCs w:val="28"/>
        </w:rPr>
      </w:pPr>
      <w:r>
        <w:rPr>
          <w:rFonts w:ascii="Times New Roman" w:hAnsi="Times New Roman"/>
          <w:sz w:val="28"/>
          <w:szCs w:val="28"/>
        </w:rPr>
        <w:t>（</w:t>
      </w:r>
      <w:r>
        <w:rPr>
          <w:rFonts w:hint="eastAsia" w:ascii="Times New Roman" w:hAnsi="Times New Roman"/>
          <w:sz w:val="28"/>
          <w:szCs w:val="28"/>
        </w:rPr>
        <w:t>3</w:t>
      </w:r>
      <w:r>
        <w:rPr>
          <w:rFonts w:ascii="Times New Roman" w:hAnsi="Times New Roman"/>
          <w:sz w:val="28"/>
          <w:szCs w:val="28"/>
        </w:rPr>
        <w:t>）</w:t>
      </w:r>
      <w:r>
        <w:rPr>
          <w:rFonts w:hint="eastAsia" w:ascii="Times New Roman" w:hAnsi="Times New Roman"/>
          <w:sz w:val="28"/>
          <w:szCs w:val="28"/>
        </w:rPr>
        <w:t>工程生产过程中涉及H</w:t>
      </w:r>
      <w:r>
        <w:rPr>
          <w:rFonts w:ascii="Times New Roman" w:hAnsi="Times New Roman"/>
          <w:sz w:val="28"/>
          <w:szCs w:val="28"/>
          <w:vertAlign w:val="subscript"/>
        </w:rPr>
        <w:t>2</w:t>
      </w:r>
      <w:r>
        <w:rPr>
          <w:rFonts w:hint="eastAsia" w:ascii="Times New Roman" w:hAnsi="Times New Roman"/>
          <w:sz w:val="28"/>
          <w:szCs w:val="28"/>
        </w:rPr>
        <w:t>、乙二醇、丙二醇等物质，具有一定的人体健康风险和环境风险，环境风险水平可以接受。</w:t>
      </w:r>
    </w:p>
    <w:p>
      <w:pPr>
        <w:tabs>
          <w:tab w:val="left" w:pos="4540"/>
        </w:tabs>
        <w:spacing w:line="520" w:lineRule="exact"/>
        <w:ind w:firstLine="560" w:firstLineChars="200"/>
        <w:rPr>
          <w:rFonts w:hint="eastAsia" w:ascii="Times New Roman" w:hAnsi="Times New Roman"/>
          <w:sz w:val="28"/>
          <w:szCs w:val="28"/>
        </w:rPr>
      </w:pPr>
      <w:r>
        <w:rPr>
          <w:rFonts w:hint="eastAsia" w:ascii="Times New Roman" w:hAnsi="Times New Roman"/>
          <w:sz w:val="28"/>
          <w:szCs w:val="28"/>
        </w:rPr>
        <w:t>（4）项目合成反应氢气驰放气、闪蒸不凝气</w:t>
      </w:r>
      <w:r>
        <w:rPr>
          <w:rFonts w:ascii="Times New Roman" w:hAnsi="Times New Roman"/>
          <w:sz w:val="28"/>
          <w:szCs w:val="28"/>
        </w:rPr>
        <w:t>管道收集送</w:t>
      </w:r>
      <w:r>
        <w:rPr>
          <w:rFonts w:hint="eastAsia" w:ascii="Times New Roman" w:hAnsi="Times New Roman"/>
          <w:sz w:val="28"/>
          <w:szCs w:val="28"/>
        </w:rPr>
        <w:t>现有</w:t>
      </w:r>
      <w:r>
        <w:rPr>
          <w:rFonts w:ascii="Times New Roman" w:hAnsi="Times New Roman"/>
          <w:sz w:val="28"/>
          <w:szCs w:val="28"/>
        </w:rPr>
        <w:t>火炬系统焚烧处理</w:t>
      </w:r>
      <w:r>
        <w:rPr>
          <w:rFonts w:hint="eastAsia" w:ascii="Times New Roman" w:hAnsi="Times New Roman"/>
          <w:sz w:val="28"/>
          <w:szCs w:val="28"/>
        </w:rPr>
        <w:t>，真空泵尾气通过尾气洗涤塔吸收处理；</w:t>
      </w:r>
      <w:r>
        <w:rPr>
          <w:rFonts w:ascii="Times New Roman" w:hAnsi="Times New Roman"/>
          <w:sz w:val="28"/>
          <w:szCs w:val="28"/>
        </w:rPr>
        <w:t>尾气洗涤塔外排水、真空系统废水、地面冲洗废水送厂区现有污水处理站处理</w:t>
      </w:r>
      <w:r>
        <w:rPr>
          <w:rFonts w:hint="eastAsia" w:ascii="Times New Roman" w:hAnsi="Times New Roman"/>
          <w:sz w:val="28"/>
          <w:szCs w:val="28"/>
        </w:rPr>
        <w:t>，处理后与项目清净下水一起排入濮阳康达环保水务有限公司处理；工程固废为废催化剂和废润滑油，主要采取委托有资质单位安全处置措施。</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1.</w:t>
      </w:r>
      <w:r>
        <w:rPr>
          <w:rFonts w:hint="eastAsia" w:ascii="Times New Roman" w:hAnsi="Times New Roman" w:eastAsia="楷体_GB2312"/>
          <w:sz w:val="28"/>
          <w:szCs w:val="28"/>
          <w:lang w:val="en-US" w:eastAsia="zh-CN"/>
        </w:rPr>
        <w:t>4</w:t>
      </w:r>
      <w:r>
        <w:rPr>
          <w:rFonts w:ascii="Times New Roman" w:hAnsi="Times New Roman" w:eastAsia="楷体_GB2312"/>
          <w:sz w:val="28"/>
          <w:szCs w:val="28"/>
          <w:lang w:val="en-US" w:eastAsia="zh-CN"/>
        </w:rPr>
        <w:t>.2  环境特点</w:t>
      </w:r>
    </w:p>
    <w:p>
      <w:pPr>
        <w:spacing w:line="520" w:lineRule="exact"/>
        <w:ind w:firstLine="560" w:firstLineChars="200"/>
        <w:rPr>
          <w:rFonts w:ascii="Times New Roman" w:hAnsi="Times New Roman"/>
          <w:sz w:val="28"/>
          <w:szCs w:val="28"/>
        </w:rPr>
      </w:pPr>
      <w:r>
        <w:rPr>
          <w:rFonts w:ascii="Times New Roman" w:hAnsi="Times New Roman"/>
          <w:sz w:val="28"/>
          <w:szCs w:val="28"/>
        </w:rPr>
        <w:t>（1）</w:t>
      </w:r>
      <w:r>
        <w:rPr>
          <w:rFonts w:hint="eastAsia" w:ascii="Times New Roman" w:hAnsi="Times New Roman"/>
          <w:sz w:val="28"/>
          <w:szCs w:val="28"/>
        </w:rPr>
        <w:t>项目位于濮阳经济技术产业集聚区，符合集聚区总体规划；</w:t>
      </w:r>
    </w:p>
    <w:p>
      <w:pPr>
        <w:spacing w:line="520" w:lineRule="exact"/>
        <w:ind w:firstLine="560" w:firstLineChars="200"/>
        <w:rPr>
          <w:rFonts w:hint="eastAsia" w:ascii="Times New Roman" w:hAnsi="Times New Roman"/>
          <w:bCs/>
          <w:sz w:val="28"/>
          <w:szCs w:val="28"/>
        </w:rPr>
      </w:pPr>
      <w:r>
        <w:rPr>
          <w:rFonts w:hint="eastAsia" w:ascii="Times New Roman" w:hAnsi="Times New Roman"/>
          <w:sz w:val="28"/>
          <w:szCs w:val="28"/>
        </w:rPr>
        <w:t>（2）濮阳市不</w:t>
      </w:r>
      <w:r>
        <w:rPr>
          <w:rFonts w:ascii="Times New Roman" w:hAnsi="Times New Roman"/>
          <w:sz w:val="28"/>
          <w:szCs w:val="28"/>
        </w:rPr>
        <w:t>是SO</w:t>
      </w:r>
      <w:r>
        <w:rPr>
          <w:rFonts w:ascii="Times New Roman" w:hAnsi="Times New Roman"/>
          <w:sz w:val="28"/>
          <w:szCs w:val="28"/>
          <w:vertAlign w:val="subscript"/>
        </w:rPr>
        <w:t>2</w:t>
      </w:r>
      <w:r>
        <w:rPr>
          <w:rFonts w:ascii="Times New Roman" w:hAnsi="Times New Roman"/>
          <w:sz w:val="28"/>
          <w:szCs w:val="28"/>
        </w:rPr>
        <w:t>控制区。</w:t>
      </w:r>
      <w:r>
        <w:rPr>
          <w:rFonts w:ascii="Times New Roman" w:hAnsi="Times New Roman"/>
          <w:bCs/>
          <w:sz w:val="28"/>
          <w:szCs w:val="28"/>
        </w:rPr>
        <w:t>项目</w:t>
      </w:r>
      <w:r>
        <w:rPr>
          <w:rFonts w:hint="eastAsia" w:ascii="Times New Roman" w:hAnsi="Times New Roman"/>
          <w:bCs/>
          <w:sz w:val="28"/>
          <w:szCs w:val="28"/>
        </w:rPr>
        <w:t>正常生产不产生</w:t>
      </w:r>
      <w:r>
        <w:rPr>
          <w:rFonts w:ascii="Times New Roman" w:hAnsi="Times New Roman"/>
          <w:sz w:val="28"/>
          <w:szCs w:val="28"/>
        </w:rPr>
        <w:t>SO</w:t>
      </w:r>
      <w:r>
        <w:rPr>
          <w:rFonts w:ascii="Times New Roman" w:hAnsi="Times New Roman"/>
          <w:sz w:val="28"/>
          <w:szCs w:val="28"/>
          <w:vertAlign w:val="subscript"/>
        </w:rPr>
        <w:t>2</w:t>
      </w:r>
      <w:r>
        <w:rPr>
          <w:rFonts w:hint="eastAsia" w:ascii="Times New Roman" w:hAnsi="Times New Roman"/>
          <w:sz w:val="28"/>
          <w:szCs w:val="28"/>
        </w:rPr>
        <w:t>废气，工艺所</w:t>
      </w:r>
      <w:r>
        <w:rPr>
          <w:rFonts w:hint="eastAsia" w:ascii="Times New Roman" w:hAnsi="Times New Roman"/>
          <w:sz w:val="28"/>
          <w:szCs w:val="28"/>
          <w:lang w:eastAsia="zh-CN"/>
        </w:rPr>
        <w:t>需</w:t>
      </w:r>
      <w:r>
        <w:rPr>
          <w:rFonts w:hint="eastAsia" w:ascii="Times New Roman" w:hAnsi="Times New Roman"/>
          <w:sz w:val="28"/>
          <w:szCs w:val="28"/>
        </w:rPr>
        <w:t>蒸汽由中原大化厂区现有供热系统提供。</w:t>
      </w:r>
    </w:p>
    <w:p>
      <w:pPr>
        <w:spacing w:line="520" w:lineRule="exact"/>
        <w:ind w:firstLine="560" w:firstLineChars="200"/>
        <w:rPr>
          <w:rFonts w:hint="eastAsia" w:ascii="Times New Roman" w:hAnsi="Times New Roman"/>
          <w:sz w:val="28"/>
          <w:szCs w:val="28"/>
        </w:rPr>
      </w:pPr>
      <w:r>
        <w:rPr>
          <w:rFonts w:hint="eastAsia" w:ascii="Times New Roman" w:hAnsi="Times New Roman"/>
          <w:sz w:val="28"/>
          <w:szCs w:val="28"/>
        </w:rPr>
        <w:t>（3）</w:t>
      </w:r>
      <w:r>
        <w:rPr>
          <w:rFonts w:ascii="Times New Roman" w:hAnsi="Times New Roman"/>
          <w:sz w:val="28"/>
          <w:szCs w:val="28"/>
        </w:rPr>
        <w:t>工程废水</w:t>
      </w:r>
      <w:r>
        <w:rPr>
          <w:rFonts w:hint="eastAsia" w:ascii="Times New Roman" w:hAnsi="Times New Roman"/>
          <w:sz w:val="28"/>
          <w:szCs w:val="28"/>
        </w:rPr>
        <w:t>依托现有工程污水处理站处理达标后排园区管网进濮阳康达环保水务有限公司处理，污水处理厂尾水</w:t>
      </w:r>
      <w:r>
        <w:rPr>
          <w:rFonts w:ascii="Times New Roman" w:hAnsi="Times New Roman"/>
          <w:sz w:val="28"/>
          <w:szCs w:val="28"/>
        </w:rPr>
        <w:t>最终纳污河流为</w:t>
      </w:r>
      <w:r>
        <w:rPr>
          <w:rFonts w:hint="eastAsia" w:ascii="Times New Roman" w:hAnsi="Times New Roman"/>
          <w:sz w:val="28"/>
          <w:szCs w:val="28"/>
        </w:rPr>
        <w:t>马颊河</w:t>
      </w:r>
      <w:r>
        <w:rPr>
          <w:rFonts w:ascii="Times New Roman" w:hAnsi="Times New Roman"/>
          <w:sz w:val="28"/>
          <w:szCs w:val="28"/>
        </w:rPr>
        <w:t>，属于海河流域，水域规划功能</w:t>
      </w:r>
      <w:r>
        <w:rPr>
          <w:rFonts w:hint="eastAsia" w:ascii="Times New Roman" w:hAnsi="Times New Roman"/>
          <w:sz w:val="28"/>
          <w:szCs w:val="28"/>
        </w:rPr>
        <w:t>Ⅳ</w:t>
      </w:r>
      <w:r>
        <w:rPr>
          <w:rFonts w:ascii="Times New Roman" w:hAnsi="Times New Roman"/>
          <w:sz w:val="28"/>
          <w:szCs w:val="28"/>
        </w:rPr>
        <w:t>类。</w:t>
      </w:r>
    </w:p>
    <w:p>
      <w:pPr>
        <w:pStyle w:val="27"/>
        <w:ind w:firstLine="560"/>
      </w:pPr>
      <w:r>
        <w:rPr>
          <w:rFonts w:hint="eastAsia"/>
          <w:szCs w:val="28"/>
        </w:rPr>
        <w:t>（4）项目距离周围居民等环境敏感点较远，距离本项目最近环境敏感点为项目S</w:t>
      </w:r>
      <w:r>
        <w:rPr>
          <w:szCs w:val="28"/>
        </w:rPr>
        <w:t>S</w:t>
      </w:r>
      <w:r>
        <w:rPr>
          <w:rFonts w:hint="eastAsia"/>
          <w:szCs w:val="28"/>
        </w:rPr>
        <w:t>W方向 4</w:t>
      </w:r>
      <w:r>
        <w:rPr>
          <w:szCs w:val="28"/>
        </w:rPr>
        <w:t>2</w:t>
      </w:r>
      <w:r>
        <w:rPr>
          <w:rFonts w:hint="eastAsia"/>
          <w:szCs w:val="28"/>
        </w:rPr>
        <w:t>0</w:t>
      </w:r>
      <w:r>
        <w:rPr>
          <w:szCs w:val="28"/>
        </w:rPr>
        <w:t>m</w:t>
      </w:r>
      <w:r>
        <w:rPr>
          <w:rFonts w:hint="eastAsia"/>
          <w:szCs w:val="28"/>
        </w:rPr>
        <w:t>处的康呼村，其余环境敏感点距离本项目距离均在500m以上，项目在采取相应措施后对周边环境敏感点的影响较小。</w:t>
      </w:r>
      <w:r>
        <w:t>本项目无须设置大气环境防护距离。</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1.</w:t>
      </w:r>
      <w:r>
        <w:rPr>
          <w:rFonts w:hint="eastAsia" w:ascii="Times New Roman" w:hAnsi="Times New Roman" w:eastAsia="黑体"/>
          <w:sz w:val="28"/>
          <w:szCs w:val="28"/>
          <w:lang w:val="en-US" w:eastAsia="zh-CN"/>
        </w:rPr>
        <w:t>5</w:t>
      </w:r>
      <w:r>
        <w:rPr>
          <w:rFonts w:ascii="Times New Roman" w:hAnsi="Times New Roman" w:eastAsia="黑体"/>
          <w:sz w:val="28"/>
          <w:szCs w:val="28"/>
          <w:lang w:val="en-US" w:eastAsia="zh-CN"/>
        </w:rPr>
        <w:t xml:space="preserve">  关注的主要问题</w:t>
      </w:r>
    </w:p>
    <w:p>
      <w:pPr>
        <w:pStyle w:val="28"/>
        <w:spacing w:line="520" w:lineRule="exact"/>
        <w:ind w:firstLine="560" w:firstLineChars="200"/>
        <w:rPr>
          <w:rFonts w:ascii="Times New Roman" w:hAnsi="Times New Roman" w:cs="Times New Roman"/>
          <w:color w:val="auto"/>
          <w:kern w:val="2"/>
          <w:sz w:val="28"/>
          <w:szCs w:val="22"/>
        </w:rPr>
      </w:pPr>
      <w:r>
        <w:rPr>
          <w:rFonts w:hint="eastAsia" w:ascii="Times New Roman" w:hAnsi="Times New Roman" w:cs="Times New Roman"/>
          <w:color w:val="auto"/>
          <w:kern w:val="2"/>
          <w:sz w:val="28"/>
          <w:szCs w:val="22"/>
        </w:rPr>
        <w:t>项目排放的大气污染物主要为挥发性有机污染物，应关注VOC</w:t>
      </w:r>
      <w:r>
        <w:rPr>
          <w:rFonts w:hint="eastAsia" w:ascii="Times New Roman" w:hAnsi="Times New Roman" w:cs="Times New Roman"/>
          <w:color w:val="auto"/>
          <w:kern w:val="2"/>
          <w:sz w:val="28"/>
          <w:szCs w:val="22"/>
          <w:vertAlign w:val="subscript"/>
        </w:rPr>
        <w:t>S</w:t>
      </w:r>
      <w:r>
        <w:rPr>
          <w:rFonts w:hint="eastAsia" w:ascii="Times New Roman" w:hAnsi="Times New Roman" w:cs="Times New Roman"/>
          <w:color w:val="auto"/>
          <w:kern w:val="2"/>
          <w:sz w:val="28"/>
          <w:szCs w:val="22"/>
        </w:rPr>
        <w:t>废气治理措施的可行性和可靠性，尽量减少污染物的排放；同时本项目为中试装置，生产条件不唯一，应关注项目实验动态，降低事故发生概率。</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1.</w:t>
      </w:r>
      <w:r>
        <w:rPr>
          <w:rFonts w:hint="eastAsia" w:ascii="Times New Roman" w:hAnsi="Times New Roman" w:eastAsia="黑体"/>
          <w:sz w:val="28"/>
          <w:szCs w:val="28"/>
          <w:lang w:val="en-US" w:eastAsia="zh-CN"/>
        </w:rPr>
        <w:t>6</w:t>
      </w:r>
      <w:r>
        <w:rPr>
          <w:rFonts w:ascii="Times New Roman" w:hAnsi="Times New Roman" w:eastAsia="黑体"/>
          <w:sz w:val="28"/>
          <w:szCs w:val="28"/>
          <w:lang w:val="en-US" w:eastAsia="zh-CN"/>
        </w:rPr>
        <w:t xml:space="preserve">  主要结论</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（1）项目建设符合国家当前产业政策和环保政策；</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（2）项目位于</w:t>
      </w:r>
      <w:r>
        <w:rPr>
          <w:rFonts w:hint="eastAsia" w:ascii="Times New Roman" w:hAnsi="Times New Roman"/>
          <w:kern w:val="0"/>
          <w:sz w:val="28"/>
          <w:szCs w:val="28"/>
        </w:rPr>
        <w:t>濮阳经济技术产业集聚区</w:t>
      </w:r>
      <w:r>
        <w:rPr>
          <w:rFonts w:ascii="Times New Roman" w:hAnsi="Times New Roman"/>
          <w:kern w:val="0"/>
          <w:sz w:val="28"/>
          <w:szCs w:val="28"/>
        </w:rPr>
        <w:t>，符合园区产业定位、分区规划和土地利用规划，符合园区环境准入条件；</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（3）项目不在市级</w:t>
      </w:r>
      <w:r>
        <w:rPr>
          <w:rFonts w:hint="eastAsia" w:ascii="Times New Roman" w:hAnsi="Times New Roman"/>
          <w:kern w:val="0"/>
          <w:sz w:val="28"/>
          <w:szCs w:val="28"/>
        </w:rPr>
        <w:t>和</w:t>
      </w:r>
      <w:r>
        <w:rPr>
          <w:rFonts w:ascii="Times New Roman" w:hAnsi="Times New Roman"/>
          <w:kern w:val="0"/>
          <w:sz w:val="28"/>
          <w:szCs w:val="28"/>
        </w:rPr>
        <w:t>规划的乡镇级集中式饮用水水源保护区内，不会对其产生明显不利影响；</w:t>
      </w:r>
    </w:p>
    <w:p>
      <w:pPr>
        <w:pStyle w:val="28"/>
        <w:spacing w:line="520" w:lineRule="exact"/>
        <w:ind w:firstLine="560" w:firstLineChars="200"/>
        <w:rPr>
          <w:rFonts w:hAnsi="宋体"/>
          <w:color w:val="auto"/>
          <w:sz w:val="18"/>
          <w:szCs w:val="18"/>
        </w:rPr>
      </w:pPr>
      <w:r>
        <w:rPr>
          <w:rFonts w:ascii="Times New Roman" w:hAnsi="Times New Roman"/>
          <w:color w:val="auto"/>
          <w:sz w:val="28"/>
          <w:szCs w:val="28"/>
        </w:rPr>
        <w:t>（4）从项目的生产工艺装备水平和资源、能源利用水平来分析，总体可达到国</w:t>
      </w:r>
      <w:r>
        <w:rPr>
          <w:rFonts w:hint="eastAsia" w:ascii="Times New Roman" w:hAnsi="Times New Roman"/>
          <w:color w:val="auto"/>
          <w:sz w:val="28"/>
          <w:szCs w:val="28"/>
        </w:rPr>
        <w:t>内</w:t>
      </w:r>
      <w:r>
        <w:rPr>
          <w:rFonts w:ascii="Times New Roman" w:hAnsi="Times New Roman"/>
          <w:color w:val="auto"/>
          <w:sz w:val="28"/>
          <w:szCs w:val="28"/>
        </w:rPr>
        <w:t>清洁生产领先水平；</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（5）项目过程控制和污染防治技术较完备，污染防治措施可行，在实施了可行性研究报告和本环评提出的污染治理措施后，各种污染物均可以做到稳定、达标排放；</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（6）项目对区域环境空气、地表水、地下水和声环境的影响可以接受，因突发事故引起的环境风险在可接受范围内。</w:t>
      </w:r>
    </w:p>
    <w:p>
      <w:pPr>
        <w:spacing w:line="520" w:lineRule="exact"/>
        <w:ind w:firstLine="560" w:firstLineChars="200"/>
        <w:rPr>
          <w:rFonts w:hint="eastAsia"/>
          <w:szCs w:val="21"/>
        </w:rPr>
      </w:pPr>
      <w:r>
        <w:rPr>
          <w:rFonts w:ascii="Times New Roman" w:hAnsi="Times New Roman"/>
          <w:sz w:val="28"/>
          <w:szCs w:val="28"/>
        </w:rPr>
        <w:t>综上所述，</w:t>
      </w:r>
      <w:r>
        <w:rPr>
          <w:rFonts w:ascii="Times New Roman" w:hAnsi="Times New Roman"/>
          <w:kern w:val="0"/>
          <w:sz w:val="28"/>
          <w:szCs w:val="28"/>
        </w:rPr>
        <w:t>河南省中原大化集团有限责任公司千吨级秸秆糖制乙二醇中试项目</w:t>
      </w:r>
      <w:r>
        <w:rPr>
          <w:rFonts w:ascii="Times New Roman" w:hAnsi="Times New Roman"/>
          <w:sz w:val="28"/>
          <w:szCs w:val="28"/>
        </w:rPr>
        <w:t>，在认真执行“三同时”制度、落实评价提出的污染物防治措施及建议的前提下，从环保的角度考虑，该项目的建设可行。</w:t>
      </w:r>
      <w:bookmarkEnd w:id="2"/>
    </w:p>
    <w:p/>
    <w:p/>
    <w:p/>
    <w:p>
      <w:pPr>
        <w:pStyle w:val="26"/>
      </w:pPr>
      <w:r>
        <w:t>第2章  总则</w:t>
      </w:r>
    </w:p>
    <w:p>
      <w:pPr>
        <w:pStyle w:val="4"/>
        <w:spacing w:before="0" w:after="0" w:line="520" w:lineRule="exact"/>
        <w:rPr>
          <w:rFonts w:ascii="Times New Roman" w:hAnsi="Times New Roman" w:eastAsia="黑体"/>
          <w:sz w:val="28"/>
          <w:szCs w:val="28"/>
          <w:lang w:val="en-US" w:eastAsia="zh-CN"/>
        </w:rPr>
      </w:pPr>
      <w:bookmarkStart w:id="5" w:name="_Toc439060134"/>
      <w:r>
        <w:rPr>
          <w:rFonts w:ascii="Times New Roman" w:hAnsi="Times New Roman" w:eastAsia="黑体"/>
          <w:sz w:val="28"/>
          <w:szCs w:val="28"/>
          <w:lang w:val="en-US" w:eastAsia="zh-CN"/>
        </w:rPr>
        <w:t>2.1  编制依据</w:t>
      </w:r>
      <w:bookmarkEnd w:id="5"/>
    </w:p>
    <w:p>
      <w:pPr>
        <w:pStyle w:val="5"/>
        <w:spacing w:before="0" w:after="0" w:line="520" w:lineRule="exact"/>
        <w:rPr>
          <w:rFonts w:ascii="Times New Roman" w:hAnsi="Times New Roman" w:eastAsia="楷体_GB2312"/>
          <w:sz w:val="28"/>
          <w:szCs w:val="28"/>
          <w:lang w:val="en-US" w:eastAsia="zh-CN"/>
        </w:rPr>
      </w:pPr>
      <w:bookmarkStart w:id="6" w:name="_Toc439060135"/>
      <w:r>
        <w:rPr>
          <w:rFonts w:ascii="Times New Roman" w:hAnsi="Times New Roman" w:eastAsia="楷体_GB2312"/>
          <w:sz w:val="28"/>
          <w:szCs w:val="28"/>
          <w:lang w:val="en-US" w:eastAsia="zh-CN"/>
        </w:rPr>
        <w:t xml:space="preserve">2.1.1  </w:t>
      </w:r>
      <w:r>
        <w:rPr>
          <w:rFonts w:hint="eastAsia" w:ascii="Times New Roman" w:hAnsi="Times New Roman" w:eastAsia="楷体_GB2312"/>
          <w:sz w:val="28"/>
          <w:szCs w:val="28"/>
          <w:lang w:val="en-US" w:eastAsia="zh-CN"/>
        </w:rPr>
        <w:t>国家</w:t>
      </w:r>
      <w:r>
        <w:rPr>
          <w:rFonts w:ascii="Times New Roman" w:hAnsi="Times New Roman" w:eastAsia="楷体_GB2312"/>
          <w:sz w:val="28"/>
          <w:szCs w:val="28"/>
          <w:lang w:val="en-US" w:eastAsia="zh-CN"/>
        </w:rPr>
        <w:t>法律法规</w:t>
      </w:r>
      <w:bookmarkEnd w:id="6"/>
      <w:r>
        <w:rPr>
          <w:rFonts w:hint="eastAsia" w:ascii="Times New Roman" w:hAnsi="Times New Roman" w:eastAsia="楷体_GB2312"/>
          <w:sz w:val="28"/>
          <w:szCs w:val="28"/>
          <w:lang w:val="en-US" w:eastAsia="zh-CN"/>
        </w:rPr>
        <w:t>及规章</w:t>
      </w:r>
    </w:p>
    <w:p>
      <w:pPr>
        <w:pStyle w:val="27"/>
        <w:ind w:firstLine="560"/>
      </w:pPr>
      <w:r>
        <w:t>（1）《中华人民共和国环境保护法》（2015.1.1）；</w:t>
      </w:r>
    </w:p>
    <w:p>
      <w:pPr>
        <w:pStyle w:val="27"/>
        <w:ind w:firstLine="560"/>
      </w:pPr>
      <w:r>
        <w:t>（2）《中华人民共和国水污染防治法</w:t>
      </w:r>
      <w:r>
        <w:rPr>
          <w:rFonts w:hint="eastAsia"/>
        </w:rPr>
        <w:t>（修订）</w:t>
      </w:r>
      <w:r>
        <w:t>》（20</w:t>
      </w:r>
      <w:r>
        <w:rPr>
          <w:rFonts w:hint="eastAsia"/>
        </w:rPr>
        <w:t>17.6.27</w:t>
      </w:r>
      <w:r>
        <w:t>）；</w:t>
      </w:r>
    </w:p>
    <w:p>
      <w:pPr>
        <w:pStyle w:val="27"/>
        <w:ind w:firstLine="560"/>
      </w:pPr>
      <w:r>
        <w:t>（3）《中华人民共和国大气污染防治法》（2016.01.01）；</w:t>
      </w:r>
    </w:p>
    <w:p>
      <w:pPr>
        <w:pStyle w:val="27"/>
        <w:ind w:firstLine="560"/>
      </w:pPr>
      <w:r>
        <w:t>（4）《中华人民共和国环境噪声污染防治法》（修正）</w:t>
      </w:r>
      <w:r>
        <w:rPr>
          <w:rFonts w:hint="eastAsia"/>
        </w:rPr>
        <w:t>（2018.12.29）</w:t>
      </w:r>
      <w:r>
        <w:t>；</w:t>
      </w:r>
    </w:p>
    <w:p>
      <w:pPr>
        <w:pStyle w:val="27"/>
        <w:ind w:firstLine="560"/>
      </w:pPr>
      <w:r>
        <w:t>（5）《中华人民共和国固体废物污染环境防治法（修订）》（2016.11）；</w:t>
      </w:r>
    </w:p>
    <w:p>
      <w:pPr>
        <w:pStyle w:val="27"/>
        <w:ind w:firstLine="560"/>
      </w:pPr>
      <w:r>
        <w:t>（6）《中华人民共和国水法》（2016.7）；</w:t>
      </w:r>
    </w:p>
    <w:p>
      <w:pPr>
        <w:pStyle w:val="27"/>
        <w:ind w:firstLine="560"/>
      </w:pPr>
      <w:r>
        <w:t>（7）《中华人民共和国土地管理法》（2004.8.28）；</w:t>
      </w:r>
    </w:p>
    <w:p>
      <w:pPr>
        <w:pStyle w:val="27"/>
        <w:ind w:firstLine="560"/>
      </w:pPr>
      <w:r>
        <w:t>（8）《中华人民共和国环境影响评价法》（201</w:t>
      </w:r>
      <w:r>
        <w:rPr>
          <w:rFonts w:hint="eastAsia"/>
        </w:rPr>
        <w:t>8</w:t>
      </w:r>
      <w:r>
        <w:t>.</w:t>
      </w:r>
      <w:r>
        <w:rPr>
          <w:rFonts w:hint="eastAsia"/>
        </w:rPr>
        <w:t>12</w:t>
      </w:r>
      <w:r>
        <w:t>.</w:t>
      </w:r>
      <w:r>
        <w:rPr>
          <w:rFonts w:hint="eastAsia"/>
        </w:rPr>
        <w:t>29</w:t>
      </w:r>
      <w:r>
        <w:t>）；</w:t>
      </w:r>
    </w:p>
    <w:p>
      <w:pPr>
        <w:pStyle w:val="27"/>
        <w:ind w:firstLine="560"/>
      </w:pPr>
      <w:r>
        <w:t>（9）《中华人民共和国清洁生产促进法》（2012.07.01）；</w:t>
      </w:r>
    </w:p>
    <w:p>
      <w:pPr>
        <w:pStyle w:val="27"/>
        <w:ind w:firstLine="560"/>
      </w:pPr>
      <w:r>
        <w:t>（10）《中华人民共和国循环经济促进法》（2009.1.1）；</w:t>
      </w:r>
    </w:p>
    <w:p>
      <w:pPr>
        <w:pStyle w:val="27"/>
        <w:ind w:firstLine="560"/>
      </w:pPr>
      <w:r>
        <w:t>（11）《中华人民共和国节约能源法》（2016.7）；</w:t>
      </w:r>
    </w:p>
    <w:p>
      <w:pPr>
        <w:pStyle w:val="27"/>
        <w:ind w:firstLine="560"/>
      </w:pPr>
      <w:r>
        <w:t>（12）《建设项目环境保护管理条例》（2017.10.1）；</w:t>
      </w:r>
    </w:p>
    <w:p>
      <w:pPr>
        <w:pStyle w:val="27"/>
        <w:ind w:firstLine="560"/>
      </w:pPr>
      <w:r>
        <w:t>（1</w:t>
      </w:r>
      <w:r>
        <w:rPr>
          <w:rFonts w:hint="eastAsia"/>
        </w:rPr>
        <w:t>3</w:t>
      </w:r>
      <w:r>
        <w:t>）《国务院关于进一步加强淘汰落后产能工作的通知》（国发[2010]7号）；</w:t>
      </w:r>
    </w:p>
    <w:p>
      <w:pPr>
        <w:pStyle w:val="27"/>
        <w:ind w:firstLine="560"/>
      </w:pPr>
      <w:r>
        <w:t>（1</w:t>
      </w:r>
      <w:r>
        <w:rPr>
          <w:rFonts w:hint="eastAsia"/>
        </w:rPr>
        <w:t>4</w:t>
      </w:r>
      <w:r>
        <w:t>）《国务院关于加强环境保护重点工作的意见》（国发[2011]35号）；</w:t>
      </w:r>
    </w:p>
    <w:p>
      <w:pPr>
        <w:pStyle w:val="27"/>
        <w:ind w:firstLine="560"/>
      </w:pPr>
      <w:r>
        <w:t>（1</w:t>
      </w:r>
      <w:r>
        <w:rPr>
          <w:rFonts w:hint="eastAsia"/>
        </w:rPr>
        <w:t>5</w:t>
      </w:r>
      <w:r>
        <w:t>）《建设项目环境影响评价分类管理名录》（20</w:t>
      </w:r>
      <w:r>
        <w:rPr>
          <w:rFonts w:hint="eastAsia"/>
        </w:rPr>
        <w:t>21.1</w:t>
      </w:r>
      <w:r>
        <w:t>.</w:t>
      </w:r>
      <w:r>
        <w:rPr>
          <w:rFonts w:hint="eastAsia"/>
        </w:rPr>
        <w:t>1实施</w:t>
      </w:r>
      <w:r>
        <w:t>）；</w:t>
      </w:r>
    </w:p>
    <w:p>
      <w:pPr>
        <w:pStyle w:val="27"/>
        <w:ind w:firstLine="560"/>
      </w:pPr>
      <w:r>
        <w:t>（1</w:t>
      </w:r>
      <w:r>
        <w:rPr>
          <w:rFonts w:hint="eastAsia"/>
        </w:rPr>
        <w:t>6</w:t>
      </w:r>
      <w:r>
        <w:t>）《产业结构调整指导目录（201</w:t>
      </w:r>
      <w:r>
        <w:rPr>
          <w:rFonts w:hint="eastAsia"/>
        </w:rPr>
        <w:t>9</w:t>
      </w:r>
      <w:r>
        <w:t>年本）》（</w:t>
      </w:r>
      <w:r>
        <w:rPr>
          <w:rFonts w:hint="eastAsia"/>
        </w:rPr>
        <w:t>中华人民共和国国家发展和改革委员会令第29号</w:t>
      </w:r>
      <w:r>
        <w:t>）</w:t>
      </w:r>
    </w:p>
    <w:p>
      <w:pPr>
        <w:pStyle w:val="27"/>
        <w:ind w:firstLine="560"/>
      </w:pPr>
      <w:r>
        <w:t>（1</w:t>
      </w:r>
      <w:r>
        <w:rPr>
          <w:rFonts w:hint="eastAsia"/>
        </w:rPr>
        <w:t>7</w:t>
      </w:r>
      <w:r>
        <w:t>）《国务院关于印发大气污染防治行动计划的通知》（国发[201</w:t>
      </w:r>
      <w:r>
        <w:rPr>
          <w:rFonts w:hint="eastAsia"/>
        </w:rPr>
        <w:t>3</w:t>
      </w:r>
      <w:r>
        <w:t xml:space="preserve">]37号）； </w:t>
      </w:r>
    </w:p>
    <w:p>
      <w:pPr>
        <w:pStyle w:val="27"/>
        <w:ind w:firstLine="560"/>
      </w:pPr>
      <w:r>
        <w:t>（1</w:t>
      </w:r>
      <w:r>
        <w:rPr>
          <w:rFonts w:hint="eastAsia"/>
        </w:rPr>
        <w:t>8</w:t>
      </w:r>
      <w:r>
        <w:t>）《国务院关于印发水污染防治行动计划的通知》（国发[2015]17号）；</w:t>
      </w:r>
    </w:p>
    <w:p>
      <w:pPr>
        <w:pStyle w:val="27"/>
        <w:ind w:firstLine="560"/>
      </w:pPr>
      <w:r>
        <w:t>（</w:t>
      </w:r>
      <w:r>
        <w:rPr>
          <w:rFonts w:hint="eastAsia"/>
        </w:rPr>
        <w:t>19</w:t>
      </w:r>
      <w:r>
        <w:t>）《国务院关于印发土壤污染防治行动计划的通知》（国发[201</w:t>
      </w:r>
      <w:r>
        <w:rPr>
          <w:rFonts w:hint="eastAsia"/>
        </w:rPr>
        <w:t>6</w:t>
      </w:r>
      <w:r>
        <w:t>]31号）；</w:t>
      </w:r>
    </w:p>
    <w:p>
      <w:pPr>
        <w:pStyle w:val="27"/>
        <w:ind w:firstLine="560"/>
        <w:rPr>
          <w:rFonts w:hint="eastAsia"/>
        </w:rPr>
      </w:pPr>
      <w:r>
        <w:t>（</w:t>
      </w:r>
      <w:r>
        <w:rPr>
          <w:rFonts w:hint="eastAsia"/>
        </w:rPr>
        <w:t>20</w:t>
      </w:r>
      <w:r>
        <w:t>）《突发环境事件应急管理办法》 （环境保护部部令第34号， 2015 年6月5日起施行）</w:t>
      </w:r>
      <w:r>
        <w:rPr>
          <w:rFonts w:hint="eastAsia"/>
        </w:rPr>
        <w:t>；</w:t>
      </w:r>
    </w:p>
    <w:p>
      <w:pPr>
        <w:pStyle w:val="27"/>
        <w:ind w:firstLine="560"/>
        <w:rPr>
          <w:rFonts w:hint="eastAsia"/>
        </w:rPr>
      </w:pPr>
      <w:r>
        <w:rPr>
          <w:rFonts w:hint="eastAsia"/>
        </w:rPr>
        <w:t>（21）《国家危险废物名录》（2021年版）；</w:t>
      </w:r>
    </w:p>
    <w:p>
      <w:pPr>
        <w:pStyle w:val="27"/>
        <w:ind w:firstLine="560"/>
        <w:rPr>
          <w:rFonts w:hint="eastAsia"/>
        </w:rPr>
      </w:pPr>
      <w:r>
        <w:rPr>
          <w:rFonts w:hint="eastAsia"/>
        </w:rPr>
        <w:t>（22）《关于加强建设项目危险废物环境管理工作的通知》（豫环办[2012]5号）；</w:t>
      </w:r>
    </w:p>
    <w:p>
      <w:pPr>
        <w:pStyle w:val="27"/>
        <w:ind w:firstLine="560"/>
      </w:pPr>
      <w:r>
        <w:rPr>
          <w:rFonts w:hint="eastAsia"/>
        </w:rPr>
        <w:t>（23）《关于发布&lt;建设项目危险废物环境影响评价指南&gt;的公告》（环保部公告2</w:t>
      </w:r>
      <w:r>
        <w:t>017</w:t>
      </w:r>
      <w:r>
        <w:rPr>
          <w:rFonts w:hint="eastAsia"/>
        </w:rPr>
        <w:t>年第4</w:t>
      </w:r>
      <w:r>
        <w:t>3</w:t>
      </w:r>
      <w:r>
        <w:rPr>
          <w:rFonts w:hint="eastAsia"/>
        </w:rPr>
        <w:t>号）；</w:t>
      </w:r>
    </w:p>
    <w:p>
      <w:pPr>
        <w:pStyle w:val="27"/>
        <w:ind w:firstLine="560"/>
        <w:rPr>
          <w:rFonts w:hint="eastAsia"/>
        </w:rPr>
      </w:pPr>
      <w:r>
        <w:rPr>
          <w:rFonts w:hint="eastAsia"/>
        </w:rPr>
        <w:t>（24）</w:t>
      </w:r>
      <w:r>
        <w:t>《环境影响评价公众参与办法》（部令第4号）（2019年1月1日起实施）</w:t>
      </w:r>
      <w:r>
        <w:rPr>
          <w:rFonts w:hint="eastAsia"/>
        </w:rPr>
        <w:t>。</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2.1.</w:t>
      </w:r>
      <w:r>
        <w:rPr>
          <w:rFonts w:hint="eastAsia" w:ascii="Times New Roman" w:hAnsi="Times New Roman" w:eastAsia="楷体_GB2312"/>
          <w:sz w:val="28"/>
          <w:szCs w:val="28"/>
          <w:lang w:val="en-US" w:eastAsia="zh-CN"/>
        </w:rPr>
        <w:t>2</w:t>
      </w:r>
      <w:r>
        <w:rPr>
          <w:rFonts w:ascii="Times New Roman" w:hAnsi="Times New Roman" w:eastAsia="楷体_GB2312"/>
          <w:sz w:val="28"/>
          <w:szCs w:val="28"/>
          <w:lang w:val="en-US" w:eastAsia="zh-CN"/>
        </w:rPr>
        <w:t xml:space="preserve">  </w:t>
      </w:r>
      <w:r>
        <w:rPr>
          <w:rFonts w:hint="eastAsia" w:ascii="Times New Roman" w:hAnsi="Times New Roman" w:eastAsia="楷体_GB2312"/>
          <w:sz w:val="28"/>
          <w:szCs w:val="28"/>
          <w:lang w:val="en-US" w:eastAsia="zh-CN"/>
        </w:rPr>
        <w:t>地方法规及文件</w:t>
      </w:r>
    </w:p>
    <w:p>
      <w:pPr>
        <w:pStyle w:val="27"/>
        <w:ind w:firstLine="560"/>
      </w:pPr>
      <w:r>
        <w:t>（1）《河南省建设项目环境保护条例》（2017.10.1）；</w:t>
      </w:r>
    </w:p>
    <w:p>
      <w:pPr>
        <w:pStyle w:val="27"/>
        <w:ind w:firstLine="560"/>
      </w:pPr>
      <w:r>
        <w:t>（2）《河南省环境保护厅关于加快产业集聚区建设项目环评审批的意见》（豫环文[2011]146号）；</w:t>
      </w:r>
    </w:p>
    <w:p>
      <w:pPr>
        <w:pStyle w:val="27"/>
        <w:ind w:firstLine="560"/>
      </w:pPr>
      <w:r>
        <w:t>（3）《河南省固体废物污染环境防治条例》（2012年1月1日）；</w:t>
      </w:r>
    </w:p>
    <w:p>
      <w:pPr>
        <w:pStyle w:val="27"/>
        <w:ind w:firstLine="560"/>
      </w:pPr>
      <w:r>
        <w:t>（4）《河南省危险废物规范化管理工作指南（试行）》（豫环文[2012]18 号）；</w:t>
      </w:r>
    </w:p>
    <w:p>
      <w:pPr>
        <w:pStyle w:val="27"/>
        <w:ind w:firstLine="560"/>
      </w:pPr>
      <w:r>
        <w:t>（5）《河南省减少污染物排放条例》（2014年1月1日实施）；</w:t>
      </w:r>
    </w:p>
    <w:p>
      <w:pPr>
        <w:pStyle w:val="27"/>
        <w:ind w:firstLine="560"/>
      </w:pPr>
      <w:r>
        <w:t>（6）《河南省大气污染防治条例》（2018年3月1日实施）；</w:t>
      </w:r>
    </w:p>
    <w:p>
      <w:pPr>
        <w:pStyle w:val="27"/>
        <w:ind w:firstLine="560"/>
      </w:pPr>
      <w:r>
        <w:t>（7）《河南省环境保护厅审批环境影响评价文件的建设项目目录》（2016年本）；</w:t>
      </w:r>
    </w:p>
    <w:p>
      <w:pPr>
        <w:pStyle w:val="27"/>
        <w:ind w:firstLine="560"/>
      </w:pPr>
      <w:r>
        <w:t>（8）《河南省环境保护厅本次再下放的环境影响评价文件审批权限的建设项目目录》（2017年）；</w:t>
      </w:r>
    </w:p>
    <w:p>
      <w:pPr>
        <w:pStyle w:val="27"/>
        <w:ind w:firstLine="560"/>
      </w:pPr>
      <w:r>
        <w:t>（9）《河南省环境保护厅关于进一步下放部分建设项目环境影响评价文件审批权限的公告》（2019年）；</w:t>
      </w:r>
    </w:p>
    <w:p>
      <w:pPr>
        <w:pStyle w:val="27"/>
        <w:ind w:firstLine="560"/>
      </w:pPr>
      <w:r>
        <w:t>（10）《濮阳市环境保护局关于进一步明确建设项目环境影响评价文件审批权限的通知》（濮环[2018]54号）；</w:t>
      </w:r>
    </w:p>
    <w:p>
      <w:pPr>
        <w:pStyle w:val="27"/>
        <w:ind w:firstLine="560"/>
      </w:pPr>
      <w:r>
        <w:t>（11）《河南省环境保护厅关于深化建设项目环境影响评价审批制度改革实施意见》（豫环文[2015]33号）；</w:t>
      </w:r>
    </w:p>
    <w:p>
      <w:pPr>
        <w:pStyle w:val="27"/>
        <w:ind w:firstLine="560"/>
      </w:pPr>
      <w:r>
        <w:t>（12）《关于全省开展工业企业挥发性有机物专项治理工作中排放建议值的通知》（豫环攻坚办[2017]162号）；</w:t>
      </w:r>
    </w:p>
    <w:p>
      <w:pPr>
        <w:pStyle w:val="27"/>
        <w:ind w:firstLine="560"/>
      </w:pPr>
      <w:r>
        <w:t>（13）《河南省2019年挥发性有机物治理专项方案》；</w:t>
      </w:r>
    </w:p>
    <w:p>
      <w:pPr>
        <w:pStyle w:val="27"/>
        <w:ind w:firstLine="560"/>
      </w:pPr>
      <w:r>
        <w:t>（14）关于印发河南省2020年大气、水、土壤污染防治攻坚战实施方案的通知（豫环攻坚办[2020]7号）；</w:t>
      </w:r>
    </w:p>
    <w:p>
      <w:pPr>
        <w:pStyle w:val="27"/>
        <w:ind w:firstLine="560"/>
      </w:pPr>
      <w:r>
        <w:t>（15）《河南省人民政府关于印发河南省污染防治攻坚战三年行动计划（2018-2020）的通知》（豫政[2018]30号）；</w:t>
      </w:r>
    </w:p>
    <w:p>
      <w:pPr>
        <w:pStyle w:val="27"/>
        <w:ind w:firstLine="560"/>
      </w:pPr>
      <w:r>
        <w:t>（16）濮阳市人民政府关于印发《濮阳市污染防治攻坚战三年行动计划实施方案（2018-2020 年）的通知》（濮政[2018]17号）</w:t>
      </w:r>
      <w:r>
        <w:rPr>
          <w:rFonts w:hint="eastAsia"/>
        </w:rPr>
        <w:t>；</w:t>
      </w:r>
    </w:p>
    <w:p>
      <w:pPr>
        <w:pStyle w:val="27"/>
        <w:ind w:firstLine="560"/>
      </w:pPr>
      <w:r>
        <w:t>（17）濮阳市人民政府关于印发《濮阳市污染防治攻坚战三年行动计划实施方案（2018-2020 年）的通知》（濮政[2018]17号）</w:t>
      </w:r>
      <w:r>
        <w:rPr>
          <w:rFonts w:hint="eastAsia"/>
        </w:rPr>
        <w:t>；</w:t>
      </w:r>
    </w:p>
    <w:p>
      <w:pPr>
        <w:pStyle w:val="27"/>
        <w:ind w:firstLine="560"/>
        <w:rPr>
          <w:rFonts w:hint="eastAsia"/>
        </w:rPr>
      </w:pPr>
      <w:r>
        <w:t>（18）</w:t>
      </w:r>
      <w:r>
        <w:rPr>
          <w:szCs w:val="28"/>
        </w:rPr>
        <w:t>《濮阳市2016年度重点行业挥发性有机物治理方案</w:t>
      </w:r>
      <w:r>
        <w:rPr>
          <w:rFonts w:hint="eastAsia"/>
          <w:szCs w:val="28"/>
        </w:rPr>
        <w:t>（</w:t>
      </w:r>
      <w:r>
        <w:t>濮气联办[2016]5号</w:t>
      </w:r>
      <w:r>
        <w:rPr>
          <w:rFonts w:hint="eastAsia"/>
        </w:rPr>
        <w:t>）。</w:t>
      </w:r>
    </w:p>
    <w:p>
      <w:pPr>
        <w:pStyle w:val="5"/>
        <w:spacing w:before="0" w:after="0" w:line="520" w:lineRule="exact"/>
        <w:rPr>
          <w:rFonts w:ascii="Times New Roman" w:hAnsi="Times New Roman" w:eastAsia="楷体_GB2312"/>
          <w:sz w:val="28"/>
          <w:szCs w:val="28"/>
          <w:lang w:val="en-US" w:eastAsia="zh-CN"/>
        </w:rPr>
      </w:pPr>
      <w:bookmarkStart w:id="7" w:name="_Toc439060136"/>
      <w:r>
        <w:rPr>
          <w:rFonts w:ascii="Times New Roman" w:hAnsi="Times New Roman" w:eastAsia="楷体_GB2312"/>
          <w:sz w:val="28"/>
          <w:szCs w:val="28"/>
          <w:lang w:val="en-US" w:eastAsia="zh-CN"/>
        </w:rPr>
        <w:t>2.1.</w:t>
      </w: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 xml:space="preserve">  技术规范</w:t>
      </w:r>
      <w:bookmarkEnd w:id="7"/>
    </w:p>
    <w:p>
      <w:pPr>
        <w:pStyle w:val="27"/>
        <w:ind w:firstLine="560"/>
      </w:pPr>
      <w:r>
        <w:t>（1）《环境影响评价技术导则——总纲》（HJ2.1-2016）</w:t>
      </w:r>
    </w:p>
    <w:p>
      <w:pPr>
        <w:pStyle w:val="27"/>
        <w:ind w:firstLine="560"/>
      </w:pPr>
      <w:r>
        <w:t>（2）《环境影响评价技术导则——大气环境》（HJ2.2-20</w:t>
      </w:r>
      <w:r>
        <w:rPr>
          <w:rFonts w:hint="eastAsia"/>
        </w:rPr>
        <w:t>18</w:t>
      </w:r>
      <w:r>
        <w:t>）</w:t>
      </w:r>
    </w:p>
    <w:p>
      <w:pPr>
        <w:pStyle w:val="27"/>
        <w:ind w:firstLine="560"/>
      </w:pPr>
      <w:r>
        <w:t>（3）《环境影响评价技术导则——地表水环境》（HJ2.3-</w:t>
      </w:r>
      <w:r>
        <w:rPr>
          <w:rFonts w:hint="eastAsia"/>
        </w:rPr>
        <w:t>2018</w:t>
      </w:r>
      <w:r>
        <w:t>）</w:t>
      </w:r>
    </w:p>
    <w:p>
      <w:pPr>
        <w:pStyle w:val="27"/>
        <w:ind w:firstLine="560"/>
      </w:pPr>
      <w:r>
        <w:t>（4）《环境影响评价技术导则——声环境》（HJ2.4-2009）</w:t>
      </w:r>
    </w:p>
    <w:p>
      <w:pPr>
        <w:pStyle w:val="27"/>
        <w:ind w:firstLine="560"/>
      </w:pPr>
      <w:r>
        <w:t>（5）《建设项目环境风险评价技术导则》（HJ169-20</w:t>
      </w:r>
      <w:r>
        <w:rPr>
          <w:rFonts w:hint="eastAsia"/>
        </w:rPr>
        <w:t>18</w:t>
      </w:r>
      <w:r>
        <w:t>）</w:t>
      </w:r>
    </w:p>
    <w:p>
      <w:pPr>
        <w:pStyle w:val="27"/>
        <w:ind w:firstLine="560"/>
        <w:rPr>
          <w:rFonts w:hint="eastAsia"/>
        </w:rPr>
      </w:pPr>
      <w:r>
        <w:t>（6）《环境影响评价技术导则——地下水环境》（HJ610-2016）</w:t>
      </w:r>
    </w:p>
    <w:p>
      <w:pPr>
        <w:pStyle w:val="27"/>
        <w:ind w:firstLine="560"/>
      </w:pPr>
      <w:r>
        <w:rPr>
          <w:rFonts w:hint="eastAsia"/>
        </w:rPr>
        <w:t>（7）</w:t>
      </w:r>
      <w:r>
        <w:t>《环境影响评价技术导则——</w:t>
      </w:r>
      <w:r>
        <w:rPr>
          <w:rFonts w:hint="eastAsia"/>
        </w:rPr>
        <w:t>土壤</w:t>
      </w:r>
      <w:r>
        <w:t>环境》（HJ964-2018）</w:t>
      </w:r>
    </w:p>
    <w:p>
      <w:pPr>
        <w:pStyle w:val="27"/>
        <w:ind w:firstLine="560"/>
      </w:pPr>
      <w:r>
        <w:rPr>
          <w:rFonts w:hint="eastAsia"/>
        </w:rPr>
        <w:t>（8）</w:t>
      </w:r>
      <w:r>
        <w:t>《挥发性有机物无组织排放控制标准》（GB37822-2019）</w:t>
      </w:r>
    </w:p>
    <w:p>
      <w:pPr>
        <w:pStyle w:val="5"/>
        <w:spacing w:before="0" w:after="0" w:line="520" w:lineRule="exact"/>
        <w:rPr>
          <w:rFonts w:ascii="Times New Roman" w:hAnsi="Times New Roman" w:eastAsia="楷体_GB2312"/>
          <w:sz w:val="28"/>
          <w:szCs w:val="28"/>
          <w:lang w:val="en-US" w:eastAsia="zh-CN"/>
        </w:rPr>
      </w:pPr>
      <w:bookmarkStart w:id="8" w:name="_Toc439060137"/>
      <w:r>
        <w:rPr>
          <w:rFonts w:ascii="Times New Roman" w:hAnsi="Times New Roman" w:eastAsia="楷体_GB2312"/>
          <w:sz w:val="28"/>
          <w:szCs w:val="28"/>
          <w:lang w:val="en-US" w:eastAsia="zh-CN"/>
        </w:rPr>
        <w:t>2.1.</w:t>
      </w:r>
      <w:r>
        <w:rPr>
          <w:rFonts w:hint="eastAsia" w:ascii="Times New Roman" w:hAnsi="Times New Roman" w:eastAsia="楷体_GB2312"/>
          <w:sz w:val="28"/>
          <w:szCs w:val="28"/>
          <w:lang w:val="en-US" w:eastAsia="zh-CN"/>
        </w:rPr>
        <w:t>4</w:t>
      </w:r>
      <w:r>
        <w:rPr>
          <w:rFonts w:ascii="Times New Roman" w:hAnsi="Times New Roman" w:eastAsia="楷体_GB2312"/>
          <w:sz w:val="28"/>
          <w:szCs w:val="28"/>
          <w:lang w:val="en-US" w:eastAsia="zh-CN"/>
        </w:rPr>
        <w:t xml:space="preserve">  </w:t>
      </w:r>
      <w:bookmarkEnd w:id="8"/>
      <w:r>
        <w:rPr>
          <w:rFonts w:hint="eastAsia" w:ascii="Times New Roman" w:hAnsi="Times New Roman" w:eastAsia="楷体_GB2312"/>
          <w:sz w:val="28"/>
          <w:szCs w:val="28"/>
          <w:lang w:val="en-US" w:eastAsia="zh-CN"/>
        </w:rPr>
        <w:t>相关规划</w:t>
      </w:r>
    </w:p>
    <w:p>
      <w:pPr>
        <w:pStyle w:val="27"/>
        <w:ind w:firstLine="560"/>
      </w:pPr>
      <w:r>
        <w:t>（1）</w:t>
      </w:r>
      <w:r>
        <w:rPr>
          <w:rFonts w:hint="eastAsia"/>
        </w:rPr>
        <w:t>《濮阳市城市总体规划（2015-2030）》</w:t>
      </w:r>
    </w:p>
    <w:p>
      <w:pPr>
        <w:pStyle w:val="27"/>
        <w:ind w:firstLine="560"/>
      </w:pPr>
      <w:r>
        <w:t>（2）</w:t>
      </w:r>
      <w:r>
        <w:rPr>
          <w:rFonts w:hint="eastAsia"/>
        </w:rPr>
        <w:t>《濮阳经济技术产业集聚区总体规划（2012-2020）》；</w:t>
      </w:r>
    </w:p>
    <w:p>
      <w:pPr>
        <w:pStyle w:val="27"/>
        <w:ind w:firstLine="560"/>
      </w:pPr>
      <w:r>
        <w:rPr>
          <w:rFonts w:hint="eastAsia"/>
        </w:rPr>
        <w:t>（3）《河南省城市饮用水水源地环境保护规划》（2008-2020年）；</w:t>
      </w:r>
    </w:p>
    <w:p>
      <w:pPr>
        <w:pStyle w:val="27"/>
        <w:ind w:firstLine="560"/>
      </w:pPr>
      <w:r>
        <w:rPr>
          <w:rFonts w:hint="eastAsia"/>
        </w:rPr>
        <w:t>（4）《河南省</w:t>
      </w:r>
      <w:r>
        <w:t>濮阳市</w:t>
      </w:r>
      <w:r>
        <w:rPr>
          <w:rFonts w:hint="eastAsia"/>
        </w:rPr>
        <w:t>城市</w:t>
      </w:r>
      <w:r>
        <w:t>饮用</w:t>
      </w:r>
      <w:r>
        <w:rPr>
          <w:rFonts w:hint="eastAsia"/>
        </w:rPr>
        <w:t>水</w:t>
      </w:r>
      <w:r>
        <w:t>水源保护区划分技术报告</w:t>
      </w:r>
      <w:r>
        <w:rPr>
          <w:rFonts w:hint="eastAsia"/>
        </w:rPr>
        <w:t>》</w:t>
      </w:r>
      <w:r>
        <w:rPr>
          <w:szCs w:val="28"/>
        </w:rPr>
        <w:t>（2007 年）</w:t>
      </w:r>
      <w:r>
        <w:rPr>
          <w:rFonts w:hint="eastAsia"/>
        </w:rPr>
        <w:t>及</w:t>
      </w:r>
      <w:r>
        <w:t>《</w:t>
      </w:r>
      <w:r>
        <w:rPr>
          <w:rFonts w:hint="eastAsia"/>
        </w:rPr>
        <w:t>河南省</w:t>
      </w:r>
      <w:r>
        <w:t>濮阳市</w:t>
      </w:r>
      <w:r>
        <w:rPr>
          <w:rFonts w:hint="eastAsia"/>
        </w:rPr>
        <w:t>地下</w:t>
      </w:r>
      <w:r>
        <w:t>饮用水源</w:t>
      </w:r>
      <w:r>
        <w:rPr>
          <w:rFonts w:hint="eastAsia"/>
        </w:rPr>
        <w:t>地调整及</w:t>
      </w:r>
      <w:r>
        <w:t>保护区划分技术报告</w:t>
      </w:r>
      <w:r>
        <w:rPr>
          <w:szCs w:val="28"/>
        </w:rPr>
        <w:t>（20</w:t>
      </w:r>
      <w:r>
        <w:rPr>
          <w:rFonts w:hint="eastAsia"/>
          <w:szCs w:val="28"/>
        </w:rPr>
        <w:t>13</w:t>
      </w:r>
      <w:r>
        <w:rPr>
          <w:szCs w:val="28"/>
        </w:rPr>
        <w:t>年）</w:t>
      </w:r>
      <w:r>
        <w:t>》</w:t>
      </w:r>
      <w:r>
        <w:rPr>
          <w:rFonts w:hint="eastAsia"/>
        </w:rPr>
        <w:t>。</w:t>
      </w:r>
    </w:p>
    <w:p>
      <w:pPr>
        <w:pStyle w:val="5"/>
        <w:spacing w:before="0" w:after="0" w:line="520" w:lineRule="exact"/>
        <w:rPr>
          <w:rFonts w:ascii="Times New Roman" w:hAnsi="Times New Roman" w:eastAsia="楷体_GB2312"/>
          <w:sz w:val="28"/>
          <w:szCs w:val="28"/>
          <w:lang w:val="en-US" w:eastAsia="zh-CN"/>
        </w:rPr>
      </w:pPr>
      <w:bookmarkStart w:id="9" w:name="_Toc439060138"/>
      <w:r>
        <w:rPr>
          <w:rFonts w:ascii="Times New Roman" w:hAnsi="Times New Roman" w:eastAsia="楷体_GB2312"/>
          <w:sz w:val="28"/>
          <w:szCs w:val="28"/>
          <w:lang w:val="en-US" w:eastAsia="zh-CN"/>
        </w:rPr>
        <w:t>2.1.</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 xml:space="preserve">  项目文件</w:t>
      </w:r>
      <w:bookmarkEnd w:id="9"/>
    </w:p>
    <w:p>
      <w:pPr>
        <w:pStyle w:val="27"/>
        <w:ind w:firstLine="560"/>
        <w:rPr>
          <w:szCs w:val="28"/>
        </w:rPr>
      </w:pPr>
      <w:r>
        <w:rPr>
          <w:szCs w:val="28"/>
        </w:rPr>
        <w:t>（1）项目备案文件；</w:t>
      </w:r>
    </w:p>
    <w:p>
      <w:pPr>
        <w:pStyle w:val="27"/>
        <w:ind w:firstLine="560"/>
        <w:rPr>
          <w:szCs w:val="28"/>
        </w:rPr>
      </w:pPr>
      <w:r>
        <w:rPr>
          <w:szCs w:val="28"/>
        </w:rPr>
        <w:t>（2）项目委托书；</w:t>
      </w:r>
    </w:p>
    <w:p>
      <w:pPr>
        <w:pStyle w:val="27"/>
        <w:ind w:firstLine="560"/>
        <w:rPr>
          <w:szCs w:val="28"/>
        </w:rPr>
      </w:pPr>
      <w:r>
        <w:rPr>
          <w:szCs w:val="28"/>
        </w:rPr>
        <w:t>（3）《河南省中原大化集团有限责任公司千吨级秸秆糖制乙二醇中试项目可行性研究报告）》，</w:t>
      </w:r>
      <w:r>
        <w:rPr>
          <w:kern w:val="0"/>
          <w:szCs w:val="28"/>
        </w:rPr>
        <w:t>东华工程科技股份有限公司</w:t>
      </w:r>
      <w:r>
        <w:rPr>
          <w:szCs w:val="28"/>
        </w:rPr>
        <w:t>；</w:t>
      </w:r>
    </w:p>
    <w:p>
      <w:pPr>
        <w:pStyle w:val="27"/>
        <w:ind w:firstLine="560"/>
        <w:rPr>
          <w:szCs w:val="28"/>
        </w:rPr>
      </w:pPr>
      <w:r>
        <w:rPr>
          <w:szCs w:val="28"/>
        </w:rPr>
        <w:t>（4）《河南省中原大化集团有限责任公司千吨级秸秆糖制乙二醇中试项目初步设计说明书）》，</w:t>
      </w:r>
      <w:r>
        <w:rPr>
          <w:kern w:val="0"/>
          <w:szCs w:val="28"/>
        </w:rPr>
        <w:t>东华工程科技股份有限公司</w:t>
      </w:r>
      <w:r>
        <w:rPr>
          <w:szCs w:val="28"/>
        </w:rPr>
        <w:t>；</w:t>
      </w:r>
    </w:p>
    <w:p>
      <w:pPr>
        <w:pStyle w:val="27"/>
        <w:ind w:firstLine="560"/>
        <w:rPr>
          <w:szCs w:val="28"/>
        </w:rPr>
      </w:pPr>
      <w:r>
        <w:rPr>
          <w:szCs w:val="28"/>
        </w:rPr>
        <w:t>（5）现状监测报告；</w:t>
      </w:r>
    </w:p>
    <w:p>
      <w:pPr>
        <w:pStyle w:val="27"/>
        <w:ind w:firstLine="560"/>
        <w:rPr>
          <w:szCs w:val="28"/>
        </w:rPr>
      </w:pPr>
      <w:r>
        <w:rPr>
          <w:szCs w:val="28"/>
        </w:rPr>
        <w:t>（6）建设单位其他资料。</w:t>
      </w:r>
    </w:p>
    <w:p>
      <w:pPr>
        <w:pStyle w:val="4"/>
        <w:spacing w:before="0" w:after="0" w:line="520" w:lineRule="exact"/>
        <w:rPr>
          <w:rFonts w:ascii="Times New Roman" w:hAnsi="Times New Roman" w:eastAsia="黑体"/>
          <w:sz w:val="28"/>
          <w:szCs w:val="28"/>
          <w:lang w:val="en-US" w:eastAsia="zh-CN"/>
        </w:rPr>
      </w:pPr>
      <w:bookmarkStart w:id="10" w:name="_Toc439060139"/>
      <w:r>
        <w:rPr>
          <w:rFonts w:ascii="Times New Roman" w:hAnsi="Times New Roman" w:eastAsia="黑体"/>
          <w:sz w:val="28"/>
          <w:szCs w:val="28"/>
          <w:lang w:val="en-US" w:eastAsia="zh-CN"/>
        </w:rPr>
        <w:t>2.2  评价对象与工程性质</w:t>
      </w:r>
      <w:bookmarkEnd w:id="10"/>
    </w:p>
    <w:p>
      <w:pPr>
        <w:pStyle w:val="27"/>
        <w:ind w:firstLine="560"/>
        <w:rPr>
          <w:rFonts w:hint="eastAsia"/>
          <w:szCs w:val="28"/>
        </w:rPr>
      </w:pPr>
      <w:r>
        <w:rPr>
          <w:szCs w:val="28"/>
        </w:rPr>
        <w:t>评价对象：千吨级秸秆糖制乙二醇中试项目</w:t>
      </w:r>
    </w:p>
    <w:p>
      <w:pPr>
        <w:pStyle w:val="27"/>
        <w:ind w:firstLine="560"/>
        <w:rPr>
          <w:szCs w:val="28"/>
        </w:rPr>
      </w:pPr>
      <w:r>
        <w:rPr>
          <w:szCs w:val="28"/>
        </w:rPr>
        <w:t>工程性质：</w:t>
      </w:r>
      <w:r>
        <w:rPr>
          <w:rFonts w:hint="eastAsia"/>
          <w:szCs w:val="28"/>
        </w:rPr>
        <w:t>改扩建</w:t>
      </w:r>
      <w:r>
        <w:rPr>
          <w:szCs w:val="28"/>
        </w:rPr>
        <w:t>。</w:t>
      </w:r>
    </w:p>
    <w:p>
      <w:pPr>
        <w:pStyle w:val="4"/>
        <w:spacing w:before="0" w:after="0" w:line="520" w:lineRule="exact"/>
        <w:rPr>
          <w:rFonts w:ascii="Times New Roman" w:hAnsi="Times New Roman"/>
        </w:rPr>
      </w:pPr>
      <w:bookmarkStart w:id="11" w:name="_Toc439060140"/>
      <w:r>
        <w:rPr>
          <w:rFonts w:ascii="Times New Roman" w:hAnsi="Times New Roman" w:eastAsia="黑体"/>
          <w:sz w:val="28"/>
          <w:szCs w:val="28"/>
          <w:lang w:val="en-US" w:eastAsia="zh-CN"/>
        </w:rPr>
        <w:t>2.3  评价目的</w:t>
      </w:r>
      <w:bookmarkEnd w:id="11"/>
      <w:r>
        <w:rPr>
          <w:rFonts w:ascii="Times New Roman" w:hAnsi="Times New Roman" w:eastAsia="黑体"/>
          <w:sz w:val="28"/>
          <w:szCs w:val="28"/>
          <w:lang w:val="en-US" w:eastAsia="zh-CN"/>
        </w:rPr>
        <w:t>及评价原则</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2.3.1  评价目的</w:t>
      </w:r>
    </w:p>
    <w:p>
      <w:pPr>
        <w:pStyle w:val="27"/>
        <w:ind w:firstLine="560"/>
      </w:pPr>
      <w:r>
        <w:t>根据国家有关环保法律、法规，结合项目排污特点，分析预测工程项目建成投产后对区域环境的影响范围和影响程度；评价建设项目污染防治措施的可行性，提出切实可行的污染防治措施，最大限度地减少项目建设及运行对区域环境带来的不利影响；从环保角度论证项目建设的可行性，为工程环保设计及环境管理提供科学依据。</w:t>
      </w:r>
    </w:p>
    <w:p>
      <w:pPr>
        <w:pStyle w:val="5"/>
        <w:spacing w:before="0" w:after="0" w:line="520" w:lineRule="exact"/>
        <w:rPr>
          <w:rFonts w:ascii="Times New Roman" w:hAnsi="Times New Roman" w:eastAsia="楷体_GB2312"/>
          <w:sz w:val="28"/>
          <w:szCs w:val="28"/>
          <w:lang w:val="en-US" w:eastAsia="zh-CN"/>
        </w:rPr>
      </w:pPr>
      <w:bookmarkStart w:id="12" w:name="_Toc439060141"/>
      <w:r>
        <w:rPr>
          <w:rFonts w:ascii="Times New Roman" w:hAnsi="Times New Roman" w:eastAsia="楷体_GB2312"/>
          <w:sz w:val="28"/>
          <w:szCs w:val="28"/>
          <w:lang w:val="en-US" w:eastAsia="zh-CN"/>
        </w:rPr>
        <w:t>2.3.2  评价原则</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 xml:space="preserve">项目评价按照以人为本、建设资源节约型、环境友好型社会和科学发展的要求，遵循以下原则开展环境影响评价工作： </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 xml:space="preserve">（1）依法评价原则：项目评价贯彻执行我国环境保护相关的法律法规、标准、政策，分析建设项目与环境保护政策、国家产业政策等有关政策及相关规划的相符性，及与地方政策、规划及相关主体功能区划等方面的相符性。 </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2）科学评价原则：项目评价在染物源强核算方法、环境影响预测方法等方面认真执行污染源核算方法及各环境要素环境影响评价技术导则，优化环境影响评价文件编制内容，切实把环境影响评价关注的重点聚焦在建设项目的环境影响和环保措施上。</w:t>
      </w:r>
    </w:p>
    <w:p>
      <w:pPr>
        <w:autoSpaceDE w:val="0"/>
        <w:autoSpaceDN w:val="0"/>
        <w:adjustRightInd w:val="0"/>
        <w:spacing w:line="520" w:lineRule="exact"/>
        <w:ind w:firstLine="560" w:firstLineChars="200"/>
        <w:jc w:val="left"/>
        <w:rPr>
          <w:rFonts w:hint="eastAsia" w:ascii="Times New Roman" w:hAnsi="Times New Roman"/>
          <w:kern w:val="0"/>
          <w:sz w:val="28"/>
          <w:szCs w:val="28"/>
        </w:rPr>
      </w:pPr>
      <w:r>
        <w:rPr>
          <w:rFonts w:ascii="Times New Roman" w:hAnsi="Times New Roman"/>
          <w:kern w:val="0"/>
          <w:sz w:val="28"/>
          <w:szCs w:val="28"/>
        </w:rPr>
        <w:t xml:space="preserve">（3）突出重点原则：根据建设项目的工程内容及其特征，对工程内容、影响时段、影响因子进行分析、评价，突出工程以废气污染为主的特点，重点做好废气的污染控制分析。 </w:t>
      </w:r>
    </w:p>
    <w:bookmarkEnd w:id="12"/>
    <w:p>
      <w:pPr>
        <w:pStyle w:val="4"/>
        <w:spacing w:before="0" w:after="0" w:line="520" w:lineRule="exact"/>
        <w:rPr>
          <w:rFonts w:ascii="Times New Roman" w:hAnsi="Times New Roman" w:eastAsia="黑体"/>
          <w:sz w:val="28"/>
          <w:szCs w:val="28"/>
          <w:lang w:val="en-US" w:eastAsia="zh-CN"/>
        </w:rPr>
      </w:pPr>
      <w:bookmarkStart w:id="13" w:name="_Toc439060144"/>
      <w:r>
        <w:rPr>
          <w:rFonts w:ascii="Times New Roman" w:hAnsi="Times New Roman" w:eastAsia="黑体"/>
          <w:sz w:val="28"/>
          <w:szCs w:val="28"/>
          <w:lang w:val="en-US" w:eastAsia="zh-CN"/>
        </w:rPr>
        <w:t>2.4  环境影响因素识别与评价因子筛选</w:t>
      </w:r>
      <w:bookmarkEnd w:id="13"/>
    </w:p>
    <w:p>
      <w:pPr>
        <w:pStyle w:val="5"/>
        <w:spacing w:before="0" w:after="0" w:line="520" w:lineRule="exact"/>
        <w:rPr>
          <w:rFonts w:ascii="Times New Roman" w:hAnsi="Times New Roman"/>
        </w:rPr>
      </w:pPr>
      <w:bookmarkStart w:id="14" w:name="_Toc439060145"/>
      <w:r>
        <w:rPr>
          <w:rFonts w:ascii="Times New Roman" w:hAnsi="Times New Roman" w:eastAsia="楷体_GB2312"/>
          <w:sz w:val="28"/>
          <w:szCs w:val="28"/>
          <w:lang w:val="en-US" w:eastAsia="zh-CN"/>
        </w:rPr>
        <w:t>2.4.1  环境影响因素识别</w:t>
      </w:r>
      <w:bookmarkEnd w:id="14"/>
    </w:p>
    <w:p>
      <w:pPr>
        <w:pStyle w:val="27"/>
        <w:ind w:firstLine="560"/>
      </w:pPr>
      <w:r>
        <w:t>项目建设地点为</w:t>
      </w:r>
      <w:r>
        <w:rPr>
          <w:rFonts w:hint="eastAsia"/>
        </w:rPr>
        <w:t>濮阳经济技术产业集聚区，</w:t>
      </w:r>
      <w:r>
        <w:t>根据建设地点、周边环境及项目影响等，评价过程中使用“环境影响因素识别表”分析本项目对环境可能造成的影响，并将影响时期划分为施工期、营运期两个时段，具体情况见表2.4-1。</w:t>
      </w:r>
    </w:p>
    <w:p>
      <w:pPr>
        <w:pStyle w:val="32"/>
      </w:pPr>
      <w:r>
        <w:t xml:space="preserve">表2.4-1            </w:t>
      </w:r>
      <w:r>
        <w:rPr>
          <w:rFonts w:hint="eastAsia"/>
        </w:rPr>
        <w:t xml:space="preserve">    </w:t>
      </w:r>
      <w:r>
        <w:t xml:space="preserve">  环境影响因素识别一览表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6"/>
        <w:gridCol w:w="1641"/>
        <w:gridCol w:w="1277"/>
        <w:gridCol w:w="1097"/>
        <w:gridCol w:w="1071"/>
        <w:gridCol w:w="1070"/>
        <w:gridCol w:w="1071"/>
        <w:gridCol w:w="107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2517" w:type="dxa"/>
            <w:gridSpan w:val="2"/>
            <w:vMerge w:val="restart"/>
            <w:noWrap w:val="0"/>
            <w:vAlign w:val="center"/>
          </w:tcPr>
          <w:p>
            <w:pPr>
              <w:pStyle w:val="34"/>
            </w:pPr>
            <w:r>
              <w:t>项    目</w:t>
            </w:r>
          </w:p>
        </w:tc>
        <w:tc>
          <w:tcPr>
            <w:tcW w:w="1277" w:type="dxa"/>
            <w:noWrap w:val="0"/>
            <w:vAlign w:val="center"/>
          </w:tcPr>
          <w:p>
            <w:pPr>
              <w:pStyle w:val="34"/>
            </w:pPr>
            <w:r>
              <w:t>施工期</w:t>
            </w:r>
          </w:p>
        </w:tc>
        <w:tc>
          <w:tcPr>
            <w:tcW w:w="5380" w:type="dxa"/>
            <w:gridSpan w:val="5"/>
            <w:noWrap w:val="0"/>
            <w:vAlign w:val="center"/>
          </w:tcPr>
          <w:p>
            <w:pPr>
              <w:pStyle w:val="34"/>
            </w:pPr>
            <w:r>
              <w:t>营运期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2517" w:type="dxa"/>
            <w:gridSpan w:val="2"/>
            <w:vMerge w:val="continue"/>
            <w:noWrap w:val="0"/>
            <w:vAlign w:val="center"/>
          </w:tcPr>
          <w:p>
            <w:pPr>
              <w:pStyle w:val="34"/>
              <w:rPr>
                <w:kern w:val="0"/>
              </w:rPr>
            </w:pPr>
          </w:p>
        </w:tc>
        <w:tc>
          <w:tcPr>
            <w:tcW w:w="1277" w:type="dxa"/>
            <w:noWrap w:val="0"/>
            <w:vAlign w:val="center"/>
          </w:tcPr>
          <w:p>
            <w:pPr>
              <w:pStyle w:val="34"/>
            </w:pPr>
            <w:r>
              <w:t>施工</w:t>
            </w:r>
          </w:p>
        </w:tc>
        <w:tc>
          <w:tcPr>
            <w:tcW w:w="1097" w:type="dxa"/>
            <w:noWrap w:val="0"/>
            <w:vAlign w:val="center"/>
          </w:tcPr>
          <w:p>
            <w:pPr>
              <w:pStyle w:val="34"/>
            </w:pPr>
            <w:r>
              <w:t>废水</w:t>
            </w:r>
          </w:p>
        </w:tc>
        <w:tc>
          <w:tcPr>
            <w:tcW w:w="1071" w:type="dxa"/>
            <w:noWrap w:val="0"/>
            <w:vAlign w:val="center"/>
          </w:tcPr>
          <w:p>
            <w:pPr>
              <w:pStyle w:val="34"/>
            </w:pPr>
            <w:r>
              <w:t>废气</w:t>
            </w:r>
          </w:p>
        </w:tc>
        <w:tc>
          <w:tcPr>
            <w:tcW w:w="1070" w:type="dxa"/>
            <w:noWrap w:val="0"/>
            <w:vAlign w:val="center"/>
          </w:tcPr>
          <w:p>
            <w:pPr>
              <w:pStyle w:val="34"/>
            </w:pPr>
            <w:r>
              <w:t>固废</w:t>
            </w:r>
          </w:p>
        </w:tc>
        <w:tc>
          <w:tcPr>
            <w:tcW w:w="1071" w:type="dxa"/>
            <w:noWrap w:val="0"/>
            <w:vAlign w:val="center"/>
          </w:tcPr>
          <w:p>
            <w:pPr>
              <w:pStyle w:val="34"/>
            </w:pPr>
            <w:r>
              <w:t>噪声</w:t>
            </w:r>
          </w:p>
        </w:tc>
        <w:tc>
          <w:tcPr>
            <w:tcW w:w="1071" w:type="dxa"/>
            <w:noWrap w:val="0"/>
            <w:vAlign w:val="center"/>
          </w:tcPr>
          <w:p>
            <w:pPr>
              <w:pStyle w:val="34"/>
            </w:pPr>
            <w:r>
              <w:rPr>
                <w:rFonts w:hint="eastAsia"/>
              </w:rPr>
              <w:t>环境风险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restart"/>
            <w:noWrap w:val="0"/>
            <w:vAlign w:val="center"/>
          </w:tcPr>
          <w:p>
            <w:pPr>
              <w:pStyle w:val="35"/>
            </w:pPr>
            <w:r>
              <w:t>自然</w:t>
            </w:r>
          </w:p>
          <w:p>
            <w:pPr>
              <w:pStyle w:val="35"/>
              <w:rPr>
                <w:kern w:val="0"/>
              </w:rPr>
            </w:pPr>
            <w:r>
              <w:t>环境</w:t>
            </w:r>
          </w:p>
        </w:tc>
        <w:tc>
          <w:tcPr>
            <w:tcW w:w="1641" w:type="dxa"/>
            <w:noWrap w:val="0"/>
            <w:vAlign w:val="center"/>
          </w:tcPr>
          <w:p>
            <w:pPr>
              <w:pStyle w:val="35"/>
            </w:pPr>
            <w:r>
              <w:t>大  气</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r>
              <w:t>-2L</w:t>
            </w: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r>
              <w:t>-</w:t>
            </w:r>
            <w:r>
              <w:rPr>
                <w:rFonts w:hint="eastAsia"/>
              </w:rPr>
              <w:t>1</w:t>
            </w:r>
            <w:r>
              <w:t>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地表水</w:t>
            </w:r>
          </w:p>
        </w:tc>
        <w:tc>
          <w:tcPr>
            <w:tcW w:w="1277" w:type="dxa"/>
            <w:noWrap w:val="0"/>
            <w:vAlign w:val="center"/>
          </w:tcPr>
          <w:p>
            <w:pPr>
              <w:pStyle w:val="35"/>
            </w:pPr>
            <w:r>
              <w:t>-1S</w:t>
            </w:r>
          </w:p>
        </w:tc>
        <w:tc>
          <w:tcPr>
            <w:tcW w:w="1097" w:type="dxa"/>
            <w:noWrap w:val="0"/>
            <w:vAlign w:val="center"/>
          </w:tcPr>
          <w:p>
            <w:pPr>
              <w:pStyle w:val="35"/>
            </w:pPr>
            <w:r>
              <w:t>-1L</w:t>
            </w:r>
          </w:p>
        </w:tc>
        <w:tc>
          <w:tcPr>
            <w:tcW w:w="1071" w:type="dxa"/>
            <w:noWrap w:val="0"/>
            <w:vAlign w:val="center"/>
          </w:tcPr>
          <w:p>
            <w:pPr>
              <w:pStyle w:val="35"/>
            </w:pPr>
          </w:p>
        </w:tc>
        <w:tc>
          <w:tcPr>
            <w:tcW w:w="1070" w:type="dxa"/>
            <w:noWrap w:val="0"/>
            <w:vAlign w:val="center"/>
          </w:tcPr>
          <w:p>
            <w:pPr>
              <w:pStyle w:val="35"/>
            </w:pPr>
            <w:r>
              <w:t>-1L</w:t>
            </w:r>
          </w:p>
        </w:tc>
        <w:tc>
          <w:tcPr>
            <w:tcW w:w="1071" w:type="dxa"/>
            <w:noWrap w:val="0"/>
            <w:vAlign w:val="center"/>
          </w:tcPr>
          <w:p>
            <w:pPr>
              <w:pStyle w:val="35"/>
            </w:pPr>
          </w:p>
        </w:tc>
        <w:tc>
          <w:tcPr>
            <w:tcW w:w="1071" w:type="dxa"/>
            <w:noWrap w:val="0"/>
            <w:vAlign w:val="center"/>
          </w:tcPr>
          <w:p>
            <w:pPr>
              <w:pStyle w:val="35"/>
            </w:pPr>
            <w:r>
              <w:t>-</w:t>
            </w:r>
            <w:r>
              <w:rPr>
                <w:rFonts w:hint="eastAsia"/>
              </w:rPr>
              <w:t>1</w:t>
            </w:r>
            <w:r>
              <w:t>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地下水</w:t>
            </w:r>
          </w:p>
        </w:tc>
        <w:tc>
          <w:tcPr>
            <w:tcW w:w="1277" w:type="dxa"/>
            <w:noWrap w:val="0"/>
            <w:vAlign w:val="center"/>
          </w:tcPr>
          <w:p>
            <w:pPr>
              <w:pStyle w:val="35"/>
            </w:pPr>
          </w:p>
        </w:tc>
        <w:tc>
          <w:tcPr>
            <w:tcW w:w="1097" w:type="dxa"/>
            <w:noWrap w:val="0"/>
            <w:vAlign w:val="center"/>
          </w:tcPr>
          <w:p>
            <w:pPr>
              <w:pStyle w:val="35"/>
            </w:pPr>
            <w:r>
              <w:t>-1L</w:t>
            </w:r>
          </w:p>
        </w:tc>
        <w:tc>
          <w:tcPr>
            <w:tcW w:w="1071" w:type="dxa"/>
            <w:noWrap w:val="0"/>
            <w:vAlign w:val="center"/>
          </w:tcPr>
          <w:p>
            <w:pPr>
              <w:pStyle w:val="35"/>
            </w:pPr>
          </w:p>
        </w:tc>
        <w:tc>
          <w:tcPr>
            <w:tcW w:w="1070" w:type="dxa"/>
            <w:noWrap w:val="0"/>
            <w:vAlign w:val="center"/>
          </w:tcPr>
          <w:p>
            <w:pPr>
              <w:pStyle w:val="35"/>
            </w:pPr>
            <w:r>
              <w:t>-1L</w:t>
            </w:r>
          </w:p>
        </w:tc>
        <w:tc>
          <w:tcPr>
            <w:tcW w:w="1071" w:type="dxa"/>
            <w:noWrap w:val="0"/>
            <w:vAlign w:val="center"/>
          </w:tcPr>
          <w:p>
            <w:pPr>
              <w:pStyle w:val="35"/>
            </w:pPr>
          </w:p>
        </w:tc>
        <w:tc>
          <w:tcPr>
            <w:tcW w:w="1071" w:type="dxa"/>
            <w:noWrap w:val="0"/>
            <w:vAlign w:val="center"/>
          </w:tcPr>
          <w:p>
            <w:pPr>
              <w:pStyle w:val="35"/>
            </w:pPr>
            <w:r>
              <w:t>-</w:t>
            </w:r>
            <w:r>
              <w:rPr>
                <w:rFonts w:hint="eastAsia"/>
              </w:rPr>
              <w:t>1</w:t>
            </w:r>
            <w:r>
              <w:t>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rPr>
                <w:kern w:val="0"/>
              </w:rPr>
            </w:pPr>
          </w:p>
        </w:tc>
        <w:tc>
          <w:tcPr>
            <w:tcW w:w="1641" w:type="dxa"/>
            <w:noWrap w:val="0"/>
            <w:vAlign w:val="center"/>
          </w:tcPr>
          <w:p>
            <w:pPr>
              <w:pStyle w:val="35"/>
            </w:pPr>
            <w:r>
              <w:t>声环境</w:t>
            </w:r>
          </w:p>
        </w:tc>
        <w:tc>
          <w:tcPr>
            <w:tcW w:w="1277" w:type="dxa"/>
            <w:noWrap w:val="0"/>
            <w:vAlign w:val="center"/>
          </w:tcPr>
          <w:p>
            <w:pPr>
              <w:pStyle w:val="35"/>
            </w:pPr>
            <w:r>
              <w:t>-</w:t>
            </w:r>
            <w:r>
              <w:rPr>
                <w:rFonts w:hint="eastAsia"/>
              </w:rPr>
              <w:t>1</w:t>
            </w:r>
            <w:r>
              <w:t>S</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p>
        </w:tc>
        <w:tc>
          <w:tcPr>
            <w:tcW w:w="1071" w:type="dxa"/>
            <w:noWrap w:val="0"/>
            <w:vAlign w:val="center"/>
          </w:tcPr>
          <w:p>
            <w:pPr>
              <w:pStyle w:val="35"/>
            </w:pPr>
            <w:r>
              <w:t>-1L</w:t>
            </w: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restart"/>
            <w:noWrap w:val="0"/>
            <w:vAlign w:val="center"/>
          </w:tcPr>
          <w:p>
            <w:pPr>
              <w:pStyle w:val="35"/>
            </w:pPr>
            <w:r>
              <w:t>生态</w:t>
            </w:r>
          </w:p>
          <w:p>
            <w:pPr>
              <w:pStyle w:val="35"/>
              <w:rPr>
                <w:kern w:val="0"/>
              </w:rPr>
            </w:pPr>
            <w:r>
              <w:t>环境</w:t>
            </w:r>
          </w:p>
        </w:tc>
        <w:tc>
          <w:tcPr>
            <w:tcW w:w="1641" w:type="dxa"/>
            <w:noWrap w:val="0"/>
            <w:vAlign w:val="center"/>
          </w:tcPr>
          <w:p>
            <w:pPr>
              <w:pStyle w:val="35"/>
            </w:pPr>
            <w:r>
              <w:t>植  被</w:t>
            </w:r>
          </w:p>
        </w:tc>
        <w:tc>
          <w:tcPr>
            <w:tcW w:w="1277" w:type="dxa"/>
            <w:noWrap w:val="0"/>
            <w:vAlign w:val="center"/>
          </w:tcPr>
          <w:p>
            <w:pPr>
              <w:pStyle w:val="35"/>
            </w:pPr>
            <w:r>
              <w:t>0</w:t>
            </w:r>
          </w:p>
        </w:tc>
        <w:tc>
          <w:tcPr>
            <w:tcW w:w="1097" w:type="dxa"/>
            <w:noWrap w:val="0"/>
            <w:vAlign w:val="center"/>
          </w:tcPr>
          <w:p>
            <w:pPr>
              <w:pStyle w:val="35"/>
            </w:pPr>
          </w:p>
        </w:tc>
        <w:tc>
          <w:tcPr>
            <w:tcW w:w="1071" w:type="dxa"/>
            <w:noWrap w:val="0"/>
            <w:vAlign w:val="center"/>
          </w:tcPr>
          <w:p>
            <w:pPr>
              <w:pStyle w:val="35"/>
            </w:pPr>
            <w:r>
              <w:t>-1L</w:t>
            </w:r>
          </w:p>
        </w:tc>
        <w:tc>
          <w:tcPr>
            <w:tcW w:w="1070" w:type="dxa"/>
            <w:noWrap w:val="0"/>
            <w:vAlign w:val="center"/>
          </w:tcPr>
          <w:p>
            <w:pPr>
              <w:pStyle w:val="35"/>
            </w:pPr>
            <w:r>
              <w:t>-1L</w:t>
            </w: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土  壤</w:t>
            </w:r>
          </w:p>
        </w:tc>
        <w:tc>
          <w:tcPr>
            <w:tcW w:w="1277" w:type="dxa"/>
            <w:noWrap w:val="0"/>
            <w:vAlign w:val="center"/>
          </w:tcPr>
          <w:p>
            <w:pPr>
              <w:pStyle w:val="35"/>
            </w:pPr>
            <w:r>
              <w:t>0</w:t>
            </w:r>
          </w:p>
        </w:tc>
        <w:tc>
          <w:tcPr>
            <w:tcW w:w="1097" w:type="dxa"/>
            <w:noWrap w:val="0"/>
            <w:vAlign w:val="center"/>
          </w:tcPr>
          <w:p>
            <w:pPr>
              <w:pStyle w:val="35"/>
            </w:pPr>
          </w:p>
        </w:tc>
        <w:tc>
          <w:tcPr>
            <w:tcW w:w="1071" w:type="dxa"/>
            <w:noWrap w:val="0"/>
            <w:vAlign w:val="center"/>
          </w:tcPr>
          <w:p>
            <w:pPr>
              <w:pStyle w:val="35"/>
            </w:pPr>
            <w:r>
              <w:t>-1L</w:t>
            </w:r>
          </w:p>
        </w:tc>
        <w:tc>
          <w:tcPr>
            <w:tcW w:w="1070" w:type="dxa"/>
            <w:noWrap w:val="0"/>
            <w:vAlign w:val="center"/>
          </w:tcPr>
          <w:p>
            <w:pPr>
              <w:pStyle w:val="35"/>
            </w:pPr>
            <w:r>
              <w:t>-1L</w:t>
            </w: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农作物</w:t>
            </w:r>
          </w:p>
        </w:tc>
        <w:tc>
          <w:tcPr>
            <w:tcW w:w="1277" w:type="dxa"/>
            <w:noWrap w:val="0"/>
            <w:vAlign w:val="center"/>
          </w:tcPr>
          <w:p>
            <w:pPr>
              <w:pStyle w:val="35"/>
            </w:pPr>
            <w:r>
              <w:t>0</w:t>
            </w:r>
          </w:p>
        </w:tc>
        <w:tc>
          <w:tcPr>
            <w:tcW w:w="1097" w:type="dxa"/>
            <w:noWrap w:val="0"/>
            <w:vAlign w:val="center"/>
          </w:tcPr>
          <w:p>
            <w:pPr>
              <w:pStyle w:val="35"/>
            </w:pPr>
          </w:p>
        </w:tc>
        <w:tc>
          <w:tcPr>
            <w:tcW w:w="1071" w:type="dxa"/>
            <w:noWrap w:val="0"/>
            <w:vAlign w:val="center"/>
          </w:tcPr>
          <w:p>
            <w:pPr>
              <w:pStyle w:val="35"/>
            </w:pPr>
            <w:r>
              <w:t>-1L</w:t>
            </w: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rPr>
                <w:kern w:val="0"/>
              </w:rPr>
            </w:pPr>
          </w:p>
        </w:tc>
        <w:tc>
          <w:tcPr>
            <w:tcW w:w="1641" w:type="dxa"/>
            <w:noWrap w:val="0"/>
            <w:vAlign w:val="center"/>
          </w:tcPr>
          <w:p>
            <w:pPr>
              <w:pStyle w:val="35"/>
            </w:pPr>
            <w:r>
              <w:t>水土流失</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restart"/>
            <w:noWrap w:val="0"/>
            <w:vAlign w:val="center"/>
          </w:tcPr>
          <w:p>
            <w:pPr>
              <w:pStyle w:val="35"/>
            </w:pPr>
            <w:r>
              <w:t>社会</w:t>
            </w:r>
          </w:p>
          <w:p>
            <w:pPr>
              <w:pStyle w:val="35"/>
              <w:rPr>
                <w:kern w:val="0"/>
              </w:rPr>
            </w:pPr>
            <w:r>
              <w:t>环境</w:t>
            </w:r>
          </w:p>
        </w:tc>
        <w:tc>
          <w:tcPr>
            <w:tcW w:w="1641" w:type="dxa"/>
            <w:noWrap w:val="0"/>
            <w:vAlign w:val="center"/>
          </w:tcPr>
          <w:p>
            <w:pPr>
              <w:pStyle w:val="35"/>
            </w:pPr>
            <w:r>
              <w:t>工业生产</w:t>
            </w:r>
          </w:p>
        </w:tc>
        <w:tc>
          <w:tcPr>
            <w:tcW w:w="1277" w:type="dxa"/>
            <w:noWrap w:val="0"/>
            <w:vAlign w:val="center"/>
          </w:tcPr>
          <w:p>
            <w:pPr>
              <w:pStyle w:val="35"/>
            </w:pPr>
            <w:r>
              <w:t>0</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r>
              <w:t>+1L</w:t>
            </w: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农业生产</w:t>
            </w:r>
          </w:p>
        </w:tc>
        <w:tc>
          <w:tcPr>
            <w:tcW w:w="1277" w:type="dxa"/>
            <w:noWrap w:val="0"/>
            <w:vAlign w:val="center"/>
          </w:tcPr>
          <w:p>
            <w:pPr>
              <w:pStyle w:val="35"/>
            </w:pPr>
            <w:r>
              <w:t>0</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交通运输</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rPr>
                <w:kern w:val="0"/>
              </w:rPr>
            </w:pPr>
          </w:p>
        </w:tc>
        <w:tc>
          <w:tcPr>
            <w:tcW w:w="1641" w:type="dxa"/>
            <w:noWrap w:val="0"/>
            <w:vAlign w:val="center"/>
          </w:tcPr>
          <w:p>
            <w:pPr>
              <w:pStyle w:val="35"/>
            </w:pPr>
            <w:r>
              <w:t>就  业</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p>
        </w:tc>
        <w:tc>
          <w:tcPr>
            <w:tcW w:w="1070" w:type="dxa"/>
            <w:noWrap w:val="0"/>
            <w:vAlign w:val="center"/>
          </w:tcPr>
          <w:p>
            <w:pPr>
              <w:pStyle w:val="35"/>
            </w:pPr>
          </w:p>
        </w:tc>
        <w:tc>
          <w:tcPr>
            <w:tcW w:w="1071" w:type="dxa"/>
            <w:noWrap w:val="0"/>
            <w:vAlign w:val="center"/>
          </w:tcPr>
          <w:p>
            <w:pPr>
              <w:pStyle w:val="35"/>
            </w:pP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生活水平</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r>
              <w:t>-1L</w:t>
            </w:r>
          </w:p>
        </w:tc>
        <w:tc>
          <w:tcPr>
            <w:tcW w:w="1070" w:type="dxa"/>
            <w:noWrap w:val="0"/>
            <w:vAlign w:val="center"/>
          </w:tcPr>
          <w:p>
            <w:pPr>
              <w:pStyle w:val="35"/>
            </w:pPr>
            <w:r>
              <w:t>-1L</w:t>
            </w:r>
          </w:p>
        </w:tc>
        <w:tc>
          <w:tcPr>
            <w:tcW w:w="1071" w:type="dxa"/>
            <w:noWrap w:val="0"/>
            <w:vAlign w:val="center"/>
          </w:tcPr>
          <w:p>
            <w:pPr>
              <w:pStyle w:val="35"/>
            </w:pPr>
            <w:r>
              <w:t>-1L</w:t>
            </w:r>
          </w:p>
        </w:tc>
        <w:tc>
          <w:tcPr>
            <w:tcW w:w="1071" w:type="dxa"/>
            <w:noWrap w:val="0"/>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vMerge w:val="continue"/>
            <w:noWrap w:val="0"/>
            <w:vAlign w:val="center"/>
          </w:tcPr>
          <w:p>
            <w:pPr>
              <w:pStyle w:val="35"/>
            </w:pPr>
          </w:p>
        </w:tc>
        <w:tc>
          <w:tcPr>
            <w:tcW w:w="1641" w:type="dxa"/>
            <w:noWrap w:val="0"/>
            <w:vAlign w:val="center"/>
          </w:tcPr>
          <w:p>
            <w:pPr>
              <w:pStyle w:val="35"/>
            </w:pPr>
            <w:r>
              <w:t>人群健康</w:t>
            </w:r>
          </w:p>
        </w:tc>
        <w:tc>
          <w:tcPr>
            <w:tcW w:w="1277" w:type="dxa"/>
            <w:noWrap w:val="0"/>
            <w:vAlign w:val="center"/>
          </w:tcPr>
          <w:p>
            <w:pPr>
              <w:pStyle w:val="35"/>
            </w:pPr>
            <w:r>
              <w:t>-1S</w:t>
            </w:r>
          </w:p>
        </w:tc>
        <w:tc>
          <w:tcPr>
            <w:tcW w:w="1097" w:type="dxa"/>
            <w:noWrap w:val="0"/>
            <w:vAlign w:val="center"/>
          </w:tcPr>
          <w:p>
            <w:pPr>
              <w:pStyle w:val="35"/>
            </w:pPr>
          </w:p>
        </w:tc>
        <w:tc>
          <w:tcPr>
            <w:tcW w:w="1071" w:type="dxa"/>
            <w:noWrap w:val="0"/>
            <w:vAlign w:val="center"/>
          </w:tcPr>
          <w:p>
            <w:pPr>
              <w:pStyle w:val="35"/>
            </w:pPr>
            <w:r>
              <w:t>-1L</w:t>
            </w:r>
          </w:p>
        </w:tc>
        <w:tc>
          <w:tcPr>
            <w:tcW w:w="1070" w:type="dxa"/>
            <w:noWrap w:val="0"/>
            <w:vAlign w:val="center"/>
          </w:tcPr>
          <w:p>
            <w:pPr>
              <w:pStyle w:val="35"/>
            </w:pPr>
            <w:r>
              <w:t>-1L</w:t>
            </w:r>
          </w:p>
        </w:tc>
        <w:tc>
          <w:tcPr>
            <w:tcW w:w="1071" w:type="dxa"/>
            <w:noWrap w:val="0"/>
            <w:vAlign w:val="center"/>
          </w:tcPr>
          <w:p>
            <w:pPr>
              <w:pStyle w:val="35"/>
            </w:pPr>
            <w:r>
              <w:t>-1L</w:t>
            </w:r>
          </w:p>
        </w:tc>
        <w:tc>
          <w:tcPr>
            <w:tcW w:w="1071" w:type="dxa"/>
            <w:noWrap w:val="0"/>
            <w:vAlign w:val="center"/>
          </w:tcPr>
          <w:p>
            <w:pPr>
              <w:pStyle w:val="35"/>
            </w:pPr>
            <w:r>
              <w:t>-1L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6" w:type="dxa"/>
            <w:noWrap w:val="0"/>
            <w:vAlign w:val="center"/>
          </w:tcPr>
          <w:p>
            <w:pPr>
              <w:pStyle w:val="35"/>
            </w:pPr>
            <w:r>
              <w:t>备注</w:t>
            </w:r>
          </w:p>
        </w:tc>
        <w:tc>
          <w:tcPr>
            <w:tcW w:w="8298" w:type="dxa"/>
            <w:gridSpan w:val="7"/>
            <w:noWrap w:val="0"/>
            <w:vAlign w:val="center"/>
          </w:tcPr>
          <w:p>
            <w:pPr>
              <w:pStyle w:val="35"/>
              <w:jc w:val="left"/>
            </w:pPr>
            <w:r>
              <w:t>+、-分别表示工程的影响属于正、负效应；S、L分别代表暂时、长期影响；0—无影响、1—影响较小、2—影响中等、3—显著影响。</w:t>
            </w:r>
          </w:p>
        </w:tc>
      </w:tr>
    </w:tbl>
    <w:p>
      <w:pPr>
        <w:pStyle w:val="5"/>
        <w:spacing w:before="0" w:after="0" w:line="530" w:lineRule="exact"/>
        <w:rPr>
          <w:rFonts w:ascii="Times New Roman" w:hAnsi="Times New Roman" w:eastAsia="楷体_GB2312"/>
          <w:sz w:val="28"/>
          <w:szCs w:val="28"/>
          <w:lang w:val="en-US" w:eastAsia="zh-CN"/>
        </w:rPr>
      </w:pPr>
      <w:bookmarkStart w:id="15" w:name="_Toc439060146"/>
      <w:r>
        <w:rPr>
          <w:rFonts w:ascii="Times New Roman" w:hAnsi="Times New Roman" w:eastAsia="楷体_GB2312"/>
          <w:sz w:val="28"/>
          <w:szCs w:val="28"/>
          <w:lang w:val="en-US" w:eastAsia="zh-CN"/>
        </w:rPr>
        <w:t>2.4.2  评价因子筛选</w:t>
      </w:r>
      <w:bookmarkEnd w:id="15"/>
    </w:p>
    <w:p>
      <w:pPr>
        <w:pStyle w:val="27"/>
        <w:ind w:firstLine="560"/>
        <w:rPr>
          <w:szCs w:val="20"/>
        </w:rPr>
      </w:pPr>
      <w:r>
        <w:rPr>
          <w:szCs w:val="20"/>
        </w:rPr>
        <w:t>根据</w:t>
      </w:r>
      <w:r>
        <w:t>环境影响</w:t>
      </w:r>
      <w:r>
        <w:rPr>
          <w:szCs w:val="20"/>
        </w:rPr>
        <w:t>因素识别情况和项目排污特征，筛选得到本次评价的现状评价因子和预测评价因子，详见表2.4-2。</w:t>
      </w:r>
    </w:p>
    <w:p>
      <w:pPr>
        <w:pStyle w:val="32"/>
        <w:rPr>
          <w:rFonts w:hint="eastAsia"/>
        </w:rPr>
      </w:pPr>
      <w:r>
        <w:t>表2.4-2                评价因子筛选结果一览表</w:t>
      </w:r>
    </w:p>
    <w:tbl>
      <w:tblPr>
        <w:tblStyle w:val="21"/>
        <w:tblW w:w="5005"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09"/>
        <w:gridCol w:w="4003"/>
        <w:gridCol w:w="2839"/>
        <w:gridCol w:w="147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b/>
                <w:color w:val="auto"/>
                <w:szCs w:val="21"/>
              </w:rPr>
            </w:pPr>
            <w:r>
              <w:rPr>
                <w:b/>
                <w:color w:val="auto"/>
                <w:szCs w:val="21"/>
              </w:rPr>
              <w:t>类别</w:t>
            </w:r>
          </w:p>
        </w:tc>
        <w:tc>
          <w:tcPr>
            <w:tcW w:w="2218" w:type="pct"/>
            <w:noWrap w:val="0"/>
            <w:vAlign w:val="center"/>
          </w:tcPr>
          <w:p>
            <w:pPr>
              <w:pStyle w:val="36"/>
              <w:rPr>
                <w:b/>
                <w:color w:val="auto"/>
                <w:szCs w:val="21"/>
              </w:rPr>
            </w:pPr>
            <w:r>
              <w:rPr>
                <w:b/>
                <w:color w:val="auto"/>
                <w:szCs w:val="21"/>
              </w:rPr>
              <w:t>现状评价因子</w:t>
            </w:r>
          </w:p>
        </w:tc>
        <w:tc>
          <w:tcPr>
            <w:tcW w:w="1573" w:type="pct"/>
            <w:noWrap w:val="0"/>
            <w:vAlign w:val="center"/>
          </w:tcPr>
          <w:p>
            <w:pPr>
              <w:pStyle w:val="36"/>
              <w:rPr>
                <w:b/>
                <w:color w:val="auto"/>
                <w:szCs w:val="21"/>
              </w:rPr>
            </w:pPr>
            <w:r>
              <w:rPr>
                <w:b/>
                <w:color w:val="auto"/>
                <w:szCs w:val="21"/>
              </w:rPr>
              <w:t>影响预测因子</w:t>
            </w:r>
          </w:p>
        </w:tc>
        <w:tc>
          <w:tcPr>
            <w:tcW w:w="817" w:type="pct"/>
            <w:noWrap w:val="0"/>
            <w:vAlign w:val="center"/>
          </w:tcPr>
          <w:p>
            <w:pPr>
              <w:pStyle w:val="36"/>
              <w:rPr>
                <w:b/>
                <w:color w:val="auto"/>
                <w:szCs w:val="21"/>
              </w:rPr>
            </w:pPr>
            <w:r>
              <w:rPr>
                <w:b/>
                <w:color w:val="auto"/>
                <w:szCs w:val="21"/>
              </w:rPr>
              <w:t>总量控制因子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color w:val="auto"/>
                <w:szCs w:val="21"/>
              </w:rPr>
            </w:pPr>
            <w:r>
              <w:rPr>
                <w:color w:val="auto"/>
                <w:szCs w:val="21"/>
              </w:rPr>
              <w:t>环境</w:t>
            </w:r>
          </w:p>
          <w:p>
            <w:pPr>
              <w:pStyle w:val="36"/>
              <w:rPr>
                <w:color w:val="auto"/>
                <w:szCs w:val="21"/>
              </w:rPr>
            </w:pPr>
            <w:r>
              <w:rPr>
                <w:color w:val="auto"/>
                <w:szCs w:val="21"/>
              </w:rPr>
              <w:t>空气</w:t>
            </w:r>
          </w:p>
        </w:tc>
        <w:tc>
          <w:tcPr>
            <w:tcW w:w="2218" w:type="pct"/>
            <w:noWrap w:val="0"/>
            <w:vAlign w:val="center"/>
          </w:tcPr>
          <w:p>
            <w:pPr>
              <w:pStyle w:val="36"/>
              <w:jc w:val="left"/>
              <w:rPr>
                <w:snapToGrid w:val="0"/>
                <w:color w:val="auto"/>
                <w:szCs w:val="21"/>
              </w:rPr>
            </w:pPr>
            <w:r>
              <w:rPr>
                <w:color w:val="auto"/>
                <w:szCs w:val="21"/>
              </w:rPr>
              <w:t>非甲烷总烃、甲醇</w:t>
            </w:r>
            <w:r>
              <w:rPr>
                <w:rFonts w:hint="eastAsia"/>
                <w:color w:val="auto"/>
                <w:szCs w:val="21"/>
              </w:rPr>
              <w:t>、乙二醇</w:t>
            </w:r>
          </w:p>
        </w:tc>
        <w:tc>
          <w:tcPr>
            <w:tcW w:w="1573" w:type="pct"/>
            <w:noWrap w:val="0"/>
            <w:vAlign w:val="center"/>
          </w:tcPr>
          <w:p>
            <w:pPr>
              <w:pStyle w:val="36"/>
              <w:rPr>
                <w:color w:val="auto"/>
                <w:szCs w:val="21"/>
              </w:rPr>
            </w:pPr>
            <w:r>
              <w:rPr>
                <w:color w:val="auto"/>
                <w:szCs w:val="21"/>
              </w:rPr>
              <w:t>非甲烷总烃</w:t>
            </w:r>
          </w:p>
        </w:tc>
        <w:tc>
          <w:tcPr>
            <w:tcW w:w="817" w:type="pct"/>
            <w:noWrap w:val="0"/>
            <w:vAlign w:val="center"/>
          </w:tcPr>
          <w:p>
            <w:pPr>
              <w:pStyle w:val="36"/>
              <w:rPr>
                <w:color w:val="auto"/>
                <w:szCs w:val="21"/>
              </w:rPr>
            </w:pPr>
            <w:r>
              <w:rPr>
                <w:rFonts w:hint="eastAsia"/>
                <w:color w:val="auto"/>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color w:val="auto"/>
                <w:szCs w:val="21"/>
              </w:rPr>
            </w:pPr>
            <w:r>
              <w:rPr>
                <w:color w:val="auto"/>
                <w:szCs w:val="21"/>
              </w:rPr>
              <w:t>地表水</w:t>
            </w:r>
          </w:p>
        </w:tc>
        <w:tc>
          <w:tcPr>
            <w:tcW w:w="2218" w:type="pct"/>
            <w:noWrap w:val="0"/>
            <w:vAlign w:val="center"/>
          </w:tcPr>
          <w:p>
            <w:pPr>
              <w:pStyle w:val="36"/>
              <w:jc w:val="left"/>
              <w:rPr>
                <w:rFonts w:hint="eastAsia"/>
                <w:color w:val="auto"/>
                <w:szCs w:val="21"/>
              </w:rPr>
            </w:pPr>
            <w:r>
              <w:rPr>
                <w:color w:val="auto"/>
                <w:kern w:val="0"/>
                <w:szCs w:val="21"/>
              </w:rPr>
              <w:t>COD、氨氮、总磷</w:t>
            </w:r>
          </w:p>
        </w:tc>
        <w:tc>
          <w:tcPr>
            <w:tcW w:w="1573" w:type="pct"/>
            <w:noWrap w:val="0"/>
            <w:vAlign w:val="center"/>
          </w:tcPr>
          <w:p>
            <w:pPr>
              <w:pStyle w:val="36"/>
              <w:rPr>
                <w:color w:val="auto"/>
                <w:szCs w:val="21"/>
              </w:rPr>
            </w:pPr>
            <w:r>
              <w:rPr>
                <w:color w:val="auto"/>
                <w:szCs w:val="21"/>
              </w:rPr>
              <w:t>/</w:t>
            </w:r>
          </w:p>
        </w:tc>
        <w:tc>
          <w:tcPr>
            <w:tcW w:w="817" w:type="pct"/>
            <w:noWrap w:val="0"/>
            <w:vAlign w:val="center"/>
          </w:tcPr>
          <w:p>
            <w:pPr>
              <w:pStyle w:val="36"/>
              <w:jc w:val="left"/>
              <w:rPr>
                <w:color w:val="auto"/>
                <w:szCs w:val="21"/>
              </w:rPr>
            </w:pPr>
            <w:r>
              <w:rPr>
                <w:color w:val="auto"/>
                <w:szCs w:val="21"/>
              </w:rPr>
              <w:t>COD、氨氮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color w:val="auto"/>
                <w:szCs w:val="21"/>
              </w:rPr>
            </w:pPr>
            <w:r>
              <w:rPr>
                <w:color w:val="auto"/>
                <w:szCs w:val="21"/>
              </w:rPr>
              <w:t>地下水</w:t>
            </w:r>
          </w:p>
        </w:tc>
        <w:tc>
          <w:tcPr>
            <w:tcW w:w="2218" w:type="pct"/>
            <w:noWrap w:val="0"/>
            <w:vAlign w:val="center"/>
          </w:tcPr>
          <w:p>
            <w:pPr>
              <w:pStyle w:val="36"/>
              <w:jc w:val="left"/>
              <w:rPr>
                <w:rFonts w:hint="eastAsia"/>
                <w:color w:val="auto"/>
                <w:szCs w:val="21"/>
              </w:rPr>
            </w:pPr>
            <w:r>
              <w:rPr>
                <w:color w:val="auto"/>
                <w:szCs w:val="21"/>
              </w:rPr>
              <w:t>K</w:t>
            </w:r>
            <w:r>
              <w:rPr>
                <w:color w:val="auto"/>
                <w:szCs w:val="21"/>
                <w:vertAlign w:val="superscript"/>
              </w:rPr>
              <w:t>+</w:t>
            </w:r>
            <w:r>
              <w:rPr>
                <w:color w:val="auto"/>
                <w:szCs w:val="21"/>
              </w:rPr>
              <w:t>Na</w:t>
            </w:r>
            <w:r>
              <w:rPr>
                <w:color w:val="auto"/>
                <w:szCs w:val="21"/>
                <w:vertAlign w:val="superscript"/>
              </w:rPr>
              <w:t>+</w:t>
            </w:r>
            <w:r>
              <w:rPr>
                <w:color w:val="auto"/>
                <w:szCs w:val="21"/>
              </w:rPr>
              <w:t>、Ga</w:t>
            </w:r>
            <w:r>
              <w:rPr>
                <w:color w:val="auto"/>
                <w:szCs w:val="21"/>
                <w:vertAlign w:val="superscript"/>
              </w:rPr>
              <w:t>2+</w:t>
            </w:r>
            <w:r>
              <w:rPr>
                <w:color w:val="auto"/>
                <w:szCs w:val="21"/>
              </w:rPr>
              <w:t>、Mg</w:t>
            </w:r>
            <w:r>
              <w:rPr>
                <w:color w:val="auto"/>
                <w:szCs w:val="21"/>
                <w:vertAlign w:val="superscript"/>
              </w:rPr>
              <w:t>2+</w:t>
            </w:r>
            <w:r>
              <w:rPr>
                <w:color w:val="auto"/>
                <w:szCs w:val="21"/>
              </w:rPr>
              <w:t>、CO</w:t>
            </w:r>
            <w:r>
              <w:rPr>
                <w:color w:val="auto"/>
                <w:szCs w:val="21"/>
                <w:vertAlign w:val="subscript"/>
              </w:rPr>
              <w:t>3</w:t>
            </w:r>
            <w:r>
              <w:rPr>
                <w:color w:val="auto"/>
                <w:szCs w:val="21"/>
                <w:vertAlign w:val="superscript"/>
              </w:rPr>
              <w:t>2-</w:t>
            </w:r>
            <w:r>
              <w:rPr>
                <w:color w:val="auto"/>
                <w:szCs w:val="21"/>
              </w:rPr>
              <w:t>、HCO</w:t>
            </w:r>
            <w:r>
              <w:rPr>
                <w:color w:val="auto"/>
                <w:szCs w:val="21"/>
                <w:vertAlign w:val="subscript"/>
              </w:rPr>
              <w:t>3</w:t>
            </w:r>
            <w:r>
              <w:rPr>
                <w:color w:val="auto"/>
                <w:szCs w:val="21"/>
                <w:vertAlign w:val="superscript"/>
              </w:rPr>
              <w:t>-</w:t>
            </w:r>
            <w:r>
              <w:rPr>
                <w:color w:val="auto"/>
                <w:szCs w:val="21"/>
              </w:rPr>
              <w:t>、Cl</w:t>
            </w:r>
            <w:r>
              <w:rPr>
                <w:color w:val="auto"/>
                <w:szCs w:val="21"/>
                <w:vertAlign w:val="superscript"/>
              </w:rPr>
              <w:t>-</w:t>
            </w:r>
            <w:r>
              <w:rPr>
                <w:color w:val="auto"/>
                <w:szCs w:val="21"/>
              </w:rPr>
              <w:t>、SO</w:t>
            </w:r>
            <w:r>
              <w:rPr>
                <w:color w:val="auto"/>
                <w:szCs w:val="21"/>
                <w:vertAlign w:val="subscript"/>
              </w:rPr>
              <w:t>4</w:t>
            </w:r>
            <w:r>
              <w:rPr>
                <w:color w:val="auto"/>
                <w:szCs w:val="21"/>
                <w:vertAlign w:val="superscript"/>
              </w:rPr>
              <w:t>2-</w:t>
            </w:r>
            <w:r>
              <w:rPr>
                <w:color w:val="auto"/>
                <w:szCs w:val="21"/>
              </w:rPr>
              <w:t>、pH值、氨氮、硝酸盐、亚硝酸盐、挥发性酚类、氰化物、砷、汞、六价铬、总硬度、铅、氟化物、镉、铁、锰、溶解性总固体、高锰酸盐指数、总大肠菌群、细菌总数</w:t>
            </w:r>
            <w:r>
              <w:rPr>
                <w:rFonts w:hint="eastAsia"/>
                <w:color w:val="auto"/>
                <w:szCs w:val="21"/>
              </w:rPr>
              <w:t>；</w:t>
            </w:r>
            <w:r>
              <w:rPr>
                <w:rFonts w:hint="eastAsia"/>
                <w:color w:val="auto"/>
              </w:rPr>
              <w:t>甲醛、甲苯、石油类、硫化物</w:t>
            </w:r>
          </w:p>
        </w:tc>
        <w:tc>
          <w:tcPr>
            <w:tcW w:w="1573" w:type="pct"/>
            <w:noWrap w:val="0"/>
            <w:vAlign w:val="center"/>
          </w:tcPr>
          <w:p>
            <w:pPr>
              <w:pStyle w:val="36"/>
              <w:rPr>
                <w:color w:val="auto"/>
                <w:szCs w:val="21"/>
              </w:rPr>
            </w:pPr>
            <w:r>
              <w:rPr>
                <w:color w:val="auto"/>
                <w:szCs w:val="21"/>
              </w:rPr>
              <w:t>COD、氨氮</w:t>
            </w:r>
          </w:p>
        </w:tc>
        <w:tc>
          <w:tcPr>
            <w:tcW w:w="817" w:type="pct"/>
            <w:noWrap w:val="0"/>
            <w:vAlign w:val="center"/>
          </w:tcPr>
          <w:p>
            <w:pPr>
              <w:pStyle w:val="36"/>
              <w:rPr>
                <w:color w:val="auto"/>
                <w:szCs w:val="21"/>
              </w:rPr>
            </w:pPr>
            <w:r>
              <w:rPr>
                <w:color w:val="auto"/>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color w:val="auto"/>
                <w:szCs w:val="21"/>
              </w:rPr>
            </w:pPr>
            <w:r>
              <w:rPr>
                <w:color w:val="auto"/>
                <w:szCs w:val="21"/>
              </w:rPr>
              <w:t>声环境</w:t>
            </w:r>
          </w:p>
        </w:tc>
        <w:tc>
          <w:tcPr>
            <w:tcW w:w="2218" w:type="pct"/>
            <w:noWrap w:val="0"/>
            <w:vAlign w:val="center"/>
          </w:tcPr>
          <w:p>
            <w:pPr>
              <w:pStyle w:val="36"/>
              <w:rPr>
                <w:color w:val="auto"/>
                <w:szCs w:val="21"/>
              </w:rPr>
            </w:pPr>
            <w:r>
              <w:rPr>
                <w:color w:val="auto"/>
                <w:szCs w:val="21"/>
              </w:rPr>
              <w:t>环境噪声（等效声级）</w:t>
            </w:r>
          </w:p>
        </w:tc>
        <w:tc>
          <w:tcPr>
            <w:tcW w:w="1573" w:type="pct"/>
            <w:noWrap w:val="0"/>
            <w:vAlign w:val="center"/>
          </w:tcPr>
          <w:p>
            <w:pPr>
              <w:pStyle w:val="36"/>
              <w:rPr>
                <w:color w:val="auto"/>
                <w:szCs w:val="21"/>
              </w:rPr>
            </w:pPr>
            <w:r>
              <w:rPr>
                <w:color w:val="auto"/>
                <w:szCs w:val="21"/>
              </w:rPr>
              <w:t>厂界噪声（等效声级）</w:t>
            </w:r>
          </w:p>
        </w:tc>
        <w:tc>
          <w:tcPr>
            <w:tcW w:w="817" w:type="pct"/>
            <w:noWrap w:val="0"/>
            <w:vAlign w:val="center"/>
          </w:tcPr>
          <w:p>
            <w:pPr>
              <w:pStyle w:val="36"/>
              <w:rPr>
                <w:color w:val="auto"/>
                <w:szCs w:val="21"/>
              </w:rPr>
            </w:pPr>
            <w:r>
              <w:rPr>
                <w:color w:val="auto"/>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393" w:type="pct"/>
            <w:noWrap w:val="0"/>
            <w:vAlign w:val="center"/>
          </w:tcPr>
          <w:p>
            <w:pPr>
              <w:pStyle w:val="36"/>
              <w:rPr>
                <w:color w:val="auto"/>
                <w:szCs w:val="21"/>
              </w:rPr>
            </w:pPr>
            <w:r>
              <w:rPr>
                <w:color w:val="auto"/>
                <w:szCs w:val="21"/>
              </w:rPr>
              <w:t>土壤</w:t>
            </w:r>
          </w:p>
        </w:tc>
        <w:tc>
          <w:tcPr>
            <w:tcW w:w="2218" w:type="pct"/>
            <w:noWrap w:val="0"/>
            <w:vAlign w:val="center"/>
          </w:tcPr>
          <w:p>
            <w:pPr>
              <w:pStyle w:val="36"/>
              <w:jc w:val="left"/>
              <w:rPr>
                <w:color w:val="auto"/>
                <w:szCs w:val="21"/>
              </w:rPr>
            </w:pPr>
            <w:r>
              <w:rPr>
                <w:color w:val="auto"/>
                <w:szCs w:val="21"/>
              </w:rPr>
              <w:t>《土壤环境质量 建设用地土壤污染风险管控标准》（GB36600-2018）45项基本因子；《土壤环境质量 农用地土壤污染风险管控标准》（GB15618-2018）8项基本因子；</w:t>
            </w:r>
          </w:p>
          <w:p>
            <w:pPr>
              <w:pStyle w:val="36"/>
              <w:jc w:val="left"/>
              <w:rPr>
                <w:rFonts w:hint="eastAsia"/>
                <w:color w:val="auto"/>
                <w:szCs w:val="21"/>
              </w:rPr>
            </w:pPr>
            <w:r>
              <w:rPr>
                <w:color w:val="auto"/>
                <w:szCs w:val="21"/>
              </w:rPr>
              <w:t>特征因子：石油烃</w:t>
            </w:r>
          </w:p>
        </w:tc>
        <w:tc>
          <w:tcPr>
            <w:tcW w:w="1573" w:type="pct"/>
            <w:noWrap w:val="0"/>
            <w:vAlign w:val="center"/>
          </w:tcPr>
          <w:p>
            <w:pPr>
              <w:pStyle w:val="36"/>
              <w:rPr>
                <w:color w:val="auto"/>
                <w:szCs w:val="21"/>
              </w:rPr>
            </w:pPr>
          </w:p>
        </w:tc>
        <w:tc>
          <w:tcPr>
            <w:tcW w:w="817" w:type="pct"/>
            <w:noWrap w:val="0"/>
            <w:vAlign w:val="center"/>
          </w:tcPr>
          <w:p>
            <w:pPr>
              <w:pStyle w:val="36"/>
              <w:rPr>
                <w:color w:val="auto"/>
                <w:szCs w:val="21"/>
              </w:rPr>
            </w:pPr>
            <w:r>
              <w:rPr>
                <w:color w:val="auto"/>
                <w:szCs w:val="21"/>
              </w:rPr>
              <w:t>/</w:t>
            </w:r>
          </w:p>
        </w:tc>
      </w:tr>
    </w:tbl>
    <w:p>
      <w:pPr>
        <w:pStyle w:val="4"/>
        <w:spacing w:before="0" w:after="0" w:line="520" w:lineRule="exact"/>
        <w:rPr>
          <w:rFonts w:ascii="Times New Roman" w:hAnsi="Times New Roman" w:eastAsia="黑体"/>
          <w:sz w:val="28"/>
          <w:szCs w:val="28"/>
          <w:lang w:val="en-US" w:eastAsia="zh-CN"/>
        </w:rPr>
      </w:pPr>
      <w:bookmarkStart w:id="16" w:name="_Toc439060147"/>
      <w:r>
        <w:rPr>
          <w:rFonts w:ascii="Times New Roman" w:hAnsi="Times New Roman" w:eastAsia="黑体"/>
          <w:sz w:val="28"/>
          <w:szCs w:val="28"/>
          <w:lang w:val="en-US" w:eastAsia="zh-CN"/>
        </w:rPr>
        <w:t>2.5  环境保护目标</w:t>
      </w:r>
      <w:bookmarkEnd w:id="16"/>
    </w:p>
    <w:p>
      <w:pPr>
        <w:pStyle w:val="27"/>
        <w:ind w:firstLine="560"/>
      </w:pPr>
      <w:r>
        <w:t>本项目环境保护目标分布情况详见表2.5-1。</w:t>
      </w:r>
    </w:p>
    <w:p>
      <w:pPr>
        <w:pStyle w:val="32"/>
      </w:pPr>
      <w:r>
        <w:t>表2.5-1              环境保护目标分布一览表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701"/>
        <w:gridCol w:w="1701"/>
        <w:gridCol w:w="1842"/>
        <w:gridCol w:w="1560"/>
        <w:gridCol w:w="169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tblHeader/>
          <w:jc w:val="center"/>
        </w:trPr>
        <w:tc>
          <w:tcPr>
            <w:tcW w:w="368" w:type="pct"/>
            <w:noWrap w:val="0"/>
            <w:vAlign w:val="center"/>
          </w:tcPr>
          <w:p>
            <w:pPr>
              <w:pStyle w:val="34"/>
              <w:spacing w:line="320" w:lineRule="exact"/>
            </w:pPr>
            <w:r>
              <w:t>编号</w:t>
            </w:r>
          </w:p>
        </w:tc>
        <w:tc>
          <w:tcPr>
            <w:tcW w:w="927" w:type="pct"/>
            <w:noWrap w:val="0"/>
            <w:vAlign w:val="center"/>
          </w:tcPr>
          <w:p>
            <w:pPr>
              <w:pStyle w:val="34"/>
              <w:spacing w:line="320" w:lineRule="exact"/>
              <w:ind w:left="-97" w:leftChars="-46"/>
            </w:pPr>
            <w:r>
              <w:t>敏感点名称</w:t>
            </w:r>
          </w:p>
        </w:tc>
        <w:tc>
          <w:tcPr>
            <w:tcW w:w="927" w:type="pct"/>
            <w:noWrap w:val="0"/>
            <w:vAlign w:val="center"/>
          </w:tcPr>
          <w:p>
            <w:pPr>
              <w:pStyle w:val="34"/>
              <w:spacing w:line="320" w:lineRule="exact"/>
            </w:pPr>
            <w:r>
              <w:t>方位</w:t>
            </w:r>
          </w:p>
        </w:tc>
        <w:tc>
          <w:tcPr>
            <w:tcW w:w="1004" w:type="pct"/>
            <w:noWrap w:val="0"/>
            <w:vAlign w:val="center"/>
          </w:tcPr>
          <w:p>
            <w:pPr>
              <w:pStyle w:val="36"/>
              <w:rPr>
                <w:b/>
                <w:bCs/>
                <w:color w:val="auto"/>
              </w:rPr>
            </w:pPr>
            <w:r>
              <w:rPr>
                <w:rFonts w:hint="eastAsia"/>
                <w:b/>
                <w:bCs/>
                <w:color w:val="auto"/>
              </w:rPr>
              <w:t>与项目边界</w:t>
            </w:r>
            <w:r>
              <w:rPr>
                <w:b/>
                <w:bCs/>
                <w:color w:val="auto"/>
              </w:rPr>
              <w:t>距离/m</w:t>
            </w:r>
          </w:p>
        </w:tc>
        <w:tc>
          <w:tcPr>
            <w:tcW w:w="850" w:type="pct"/>
            <w:noWrap w:val="0"/>
            <w:vAlign w:val="center"/>
          </w:tcPr>
          <w:p>
            <w:pPr>
              <w:pStyle w:val="34"/>
              <w:spacing w:line="320" w:lineRule="exact"/>
            </w:pPr>
            <w:r>
              <w:t>人口（人）</w:t>
            </w:r>
          </w:p>
        </w:tc>
        <w:tc>
          <w:tcPr>
            <w:tcW w:w="924" w:type="pct"/>
            <w:noWrap w:val="0"/>
            <w:vAlign w:val="center"/>
          </w:tcPr>
          <w:p>
            <w:pPr>
              <w:pStyle w:val="34"/>
              <w:spacing w:line="320" w:lineRule="exact"/>
            </w:pPr>
            <w:r>
              <w:t>功  能</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5000" w:type="pct"/>
            <w:gridSpan w:val="6"/>
            <w:noWrap w:val="0"/>
            <w:vAlign w:val="center"/>
          </w:tcPr>
          <w:p>
            <w:pPr>
              <w:pStyle w:val="35"/>
              <w:spacing w:line="320" w:lineRule="exact"/>
              <w:rPr>
                <w:b/>
              </w:rPr>
            </w:pPr>
            <w:r>
              <w:rPr>
                <w:b/>
              </w:rPr>
              <w:t>一、大气环境保护目标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1</w:t>
            </w:r>
          </w:p>
        </w:tc>
        <w:tc>
          <w:tcPr>
            <w:tcW w:w="927" w:type="pct"/>
            <w:noWrap w:val="0"/>
            <w:vAlign w:val="center"/>
          </w:tcPr>
          <w:p>
            <w:pPr>
              <w:jc w:val="center"/>
            </w:pPr>
            <w:r>
              <w:rPr>
                <w:rFonts w:hint="eastAsia"/>
              </w:rPr>
              <w:t>康呼村</w:t>
            </w:r>
          </w:p>
        </w:tc>
        <w:tc>
          <w:tcPr>
            <w:tcW w:w="927" w:type="pct"/>
            <w:noWrap w:val="0"/>
            <w:vAlign w:val="center"/>
          </w:tcPr>
          <w:p>
            <w:pPr>
              <w:pStyle w:val="35"/>
              <w:spacing w:line="320" w:lineRule="exact"/>
            </w:pPr>
            <w:r>
              <w:t>SSW</w:t>
            </w:r>
          </w:p>
        </w:tc>
        <w:tc>
          <w:tcPr>
            <w:tcW w:w="1004" w:type="pct"/>
            <w:noWrap w:val="0"/>
            <w:vAlign w:val="center"/>
          </w:tcPr>
          <w:p>
            <w:pPr>
              <w:pStyle w:val="35"/>
              <w:spacing w:line="320" w:lineRule="exact"/>
            </w:pPr>
            <w:r>
              <w:rPr>
                <w:rFonts w:hint="eastAsia"/>
              </w:rPr>
              <w:t>420</w:t>
            </w:r>
          </w:p>
        </w:tc>
        <w:tc>
          <w:tcPr>
            <w:tcW w:w="850" w:type="pct"/>
            <w:noWrap w:val="0"/>
            <w:vAlign w:val="center"/>
          </w:tcPr>
          <w:p>
            <w:pPr>
              <w:pStyle w:val="35"/>
              <w:spacing w:line="320" w:lineRule="exact"/>
            </w:pPr>
            <w:r>
              <w:rPr>
                <w:rFonts w:hint="eastAsia"/>
              </w:rPr>
              <w:t>1320</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2</w:t>
            </w:r>
          </w:p>
        </w:tc>
        <w:tc>
          <w:tcPr>
            <w:tcW w:w="927" w:type="pct"/>
            <w:noWrap w:val="0"/>
            <w:vAlign w:val="center"/>
          </w:tcPr>
          <w:p>
            <w:pPr>
              <w:jc w:val="center"/>
            </w:pPr>
            <w:r>
              <w:rPr>
                <w:rFonts w:hint="eastAsia"/>
              </w:rPr>
              <w:t>西油坊</w:t>
            </w:r>
          </w:p>
        </w:tc>
        <w:tc>
          <w:tcPr>
            <w:tcW w:w="927" w:type="pct"/>
            <w:noWrap w:val="0"/>
            <w:vAlign w:val="center"/>
          </w:tcPr>
          <w:p>
            <w:pPr>
              <w:pStyle w:val="35"/>
              <w:spacing w:line="320" w:lineRule="exact"/>
            </w:pPr>
            <w:r>
              <w:t>SW</w:t>
            </w:r>
          </w:p>
        </w:tc>
        <w:tc>
          <w:tcPr>
            <w:tcW w:w="1004" w:type="pct"/>
            <w:noWrap w:val="0"/>
            <w:vAlign w:val="center"/>
          </w:tcPr>
          <w:p>
            <w:pPr>
              <w:pStyle w:val="35"/>
              <w:spacing w:line="320" w:lineRule="exact"/>
            </w:pPr>
            <w:r>
              <w:rPr>
                <w:rFonts w:hint="eastAsia"/>
              </w:rPr>
              <w:t>860</w:t>
            </w:r>
          </w:p>
        </w:tc>
        <w:tc>
          <w:tcPr>
            <w:tcW w:w="850" w:type="pct"/>
            <w:noWrap w:val="0"/>
            <w:vAlign w:val="center"/>
          </w:tcPr>
          <w:p>
            <w:pPr>
              <w:pStyle w:val="35"/>
              <w:spacing w:line="320" w:lineRule="exact"/>
            </w:pPr>
            <w:r>
              <w:rPr>
                <w:rFonts w:hint="eastAsia"/>
              </w:rPr>
              <w:t>647</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3</w:t>
            </w:r>
          </w:p>
        </w:tc>
        <w:tc>
          <w:tcPr>
            <w:tcW w:w="927" w:type="pct"/>
            <w:noWrap w:val="0"/>
            <w:vAlign w:val="top"/>
          </w:tcPr>
          <w:p>
            <w:pPr>
              <w:jc w:val="center"/>
            </w:pPr>
            <w:r>
              <w:rPr>
                <w:rFonts w:hint="eastAsia"/>
              </w:rPr>
              <w:t>前漳消</w:t>
            </w:r>
          </w:p>
        </w:tc>
        <w:tc>
          <w:tcPr>
            <w:tcW w:w="927" w:type="pct"/>
            <w:noWrap w:val="0"/>
            <w:vAlign w:val="center"/>
          </w:tcPr>
          <w:p>
            <w:pPr>
              <w:pStyle w:val="35"/>
              <w:spacing w:line="320" w:lineRule="exact"/>
            </w:pPr>
            <w:r>
              <w:t>ESE</w:t>
            </w:r>
          </w:p>
        </w:tc>
        <w:tc>
          <w:tcPr>
            <w:tcW w:w="1004" w:type="pct"/>
            <w:noWrap w:val="0"/>
            <w:vAlign w:val="center"/>
          </w:tcPr>
          <w:p>
            <w:pPr>
              <w:pStyle w:val="35"/>
              <w:spacing w:line="320" w:lineRule="exact"/>
            </w:pPr>
            <w:r>
              <w:rPr>
                <w:rFonts w:hint="eastAsia"/>
              </w:rPr>
              <w:t>1080</w:t>
            </w:r>
          </w:p>
        </w:tc>
        <w:tc>
          <w:tcPr>
            <w:tcW w:w="850" w:type="pct"/>
            <w:noWrap w:val="0"/>
            <w:vAlign w:val="center"/>
          </w:tcPr>
          <w:p>
            <w:pPr>
              <w:pStyle w:val="35"/>
              <w:spacing w:line="320" w:lineRule="exact"/>
            </w:pPr>
            <w:r>
              <w:t>2100</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4</w:t>
            </w:r>
          </w:p>
        </w:tc>
        <w:tc>
          <w:tcPr>
            <w:tcW w:w="927" w:type="pct"/>
            <w:noWrap w:val="0"/>
            <w:vAlign w:val="center"/>
          </w:tcPr>
          <w:p>
            <w:pPr>
              <w:jc w:val="center"/>
            </w:pPr>
            <w:r>
              <w:rPr>
                <w:rFonts w:hint="eastAsia"/>
              </w:rPr>
              <w:t>丁寨村</w:t>
            </w:r>
          </w:p>
        </w:tc>
        <w:tc>
          <w:tcPr>
            <w:tcW w:w="927" w:type="pct"/>
            <w:noWrap w:val="0"/>
            <w:vAlign w:val="center"/>
          </w:tcPr>
          <w:p>
            <w:pPr>
              <w:pStyle w:val="35"/>
              <w:spacing w:line="320" w:lineRule="exact"/>
            </w:pPr>
            <w:r>
              <w:t>S</w:t>
            </w:r>
          </w:p>
        </w:tc>
        <w:tc>
          <w:tcPr>
            <w:tcW w:w="1004" w:type="pct"/>
            <w:noWrap w:val="0"/>
            <w:vAlign w:val="center"/>
          </w:tcPr>
          <w:p>
            <w:pPr>
              <w:pStyle w:val="35"/>
              <w:spacing w:line="320" w:lineRule="exact"/>
            </w:pPr>
            <w:r>
              <w:rPr>
                <w:rFonts w:hint="eastAsia"/>
              </w:rPr>
              <w:t>1120</w:t>
            </w:r>
          </w:p>
        </w:tc>
        <w:tc>
          <w:tcPr>
            <w:tcW w:w="850" w:type="pct"/>
            <w:noWrap w:val="0"/>
            <w:vAlign w:val="center"/>
          </w:tcPr>
          <w:p>
            <w:pPr>
              <w:pStyle w:val="35"/>
              <w:spacing w:line="320" w:lineRule="exact"/>
            </w:pPr>
            <w:r>
              <w:rPr>
                <w:rFonts w:hint="eastAsia"/>
              </w:rPr>
              <w:t>1404</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5</w:t>
            </w:r>
          </w:p>
        </w:tc>
        <w:tc>
          <w:tcPr>
            <w:tcW w:w="927" w:type="pct"/>
            <w:noWrap w:val="0"/>
            <w:vAlign w:val="center"/>
          </w:tcPr>
          <w:p>
            <w:pPr>
              <w:jc w:val="center"/>
            </w:pPr>
            <w:r>
              <w:rPr>
                <w:rFonts w:hint="eastAsia"/>
              </w:rPr>
              <w:t>徐北旺</w:t>
            </w:r>
          </w:p>
        </w:tc>
        <w:tc>
          <w:tcPr>
            <w:tcW w:w="927" w:type="pct"/>
            <w:noWrap w:val="0"/>
            <w:vAlign w:val="center"/>
          </w:tcPr>
          <w:p>
            <w:pPr>
              <w:pStyle w:val="35"/>
              <w:spacing w:line="320" w:lineRule="exact"/>
            </w:pPr>
            <w:r>
              <w:t>SSE</w:t>
            </w:r>
          </w:p>
        </w:tc>
        <w:tc>
          <w:tcPr>
            <w:tcW w:w="1004" w:type="pct"/>
            <w:noWrap w:val="0"/>
            <w:vAlign w:val="center"/>
          </w:tcPr>
          <w:p>
            <w:pPr>
              <w:pStyle w:val="35"/>
              <w:spacing w:line="320" w:lineRule="exact"/>
            </w:pPr>
            <w:r>
              <w:rPr>
                <w:rFonts w:hint="eastAsia"/>
              </w:rPr>
              <w:t>1560</w:t>
            </w:r>
          </w:p>
        </w:tc>
        <w:tc>
          <w:tcPr>
            <w:tcW w:w="850" w:type="pct"/>
            <w:noWrap w:val="0"/>
            <w:vAlign w:val="center"/>
          </w:tcPr>
          <w:p>
            <w:pPr>
              <w:pStyle w:val="35"/>
              <w:spacing w:line="320" w:lineRule="exact"/>
            </w:pPr>
            <w:r>
              <w:t>1400</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6</w:t>
            </w:r>
          </w:p>
        </w:tc>
        <w:tc>
          <w:tcPr>
            <w:tcW w:w="927" w:type="pct"/>
            <w:noWrap w:val="0"/>
            <w:vAlign w:val="center"/>
          </w:tcPr>
          <w:p>
            <w:pPr>
              <w:jc w:val="center"/>
            </w:pPr>
            <w:r>
              <w:rPr>
                <w:rFonts w:hint="eastAsia"/>
              </w:rPr>
              <w:t>职业技术学校</w:t>
            </w:r>
          </w:p>
        </w:tc>
        <w:tc>
          <w:tcPr>
            <w:tcW w:w="927" w:type="pct"/>
            <w:noWrap w:val="0"/>
            <w:vAlign w:val="center"/>
          </w:tcPr>
          <w:p>
            <w:pPr>
              <w:pStyle w:val="35"/>
              <w:spacing w:line="320" w:lineRule="exact"/>
            </w:pPr>
            <w:r>
              <w:t>NNW</w:t>
            </w:r>
          </w:p>
        </w:tc>
        <w:tc>
          <w:tcPr>
            <w:tcW w:w="1004" w:type="pct"/>
            <w:noWrap w:val="0"/>
            <w:vAlign w:val="center"/>
          </w:tcPr>
          <w:p>
            <w:pPr>
              <w:pStyle w:val="35"/>
              <w:spacing w:line="320" w:lineRule="exact"/>
            </w:pPr>
            <w:r>
              <w:rPr>
                <w:rFonts w:hint="eastAsia"/>
              </w:rPr>
              <w:t>2250</w:t>
            </w:r>
          </w:p>
        </w:tc>
        <w:tc>
          <w:tcPr>
            <w:tcW w:w="850" w:type="pct"/>
            <w:noWrap w:val="0"/>
            <w:vAlign w:val="center"/>
          </w:tcPr>
          <w:p>
            <w:pPr>
              <w:pStyle w:val="35"/>
              <w:spacing w:line="320" w:lineRule="exact"/>
            </w:pPr>
            <w:r>
              <w:t>12000</w:t>
            </w:r>
          </w:p>
        </w:tc>
        <w:tc>
          <w:tcPr>
            <w:tcW w:w="924" w:type="pct"/>
            <w:noWrap w:val="0"/>
            <w:vAlign w:val="center"/>
          </w:tcPr>
          <w:p>
            <w:pPr>
              <w:pStyle w:val="35"/>
              <w:spacing w:line="320" w:lineRule="exact"/>
            </w:pPr>
            <w:r>
              <w:rPr>
                <w:rFonts w:hint="eastAsia"/>
              </w:rPr>
              <w:t>学校</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7</w:t>
            </w:r>
          </w:p>
        </w:tc>
        <w:tc>
          <w:tcPr>
            <w:tcW w:w="927" w:type="pct"/>
            <w:noWrap w:val="0"/>
            <w:vAlign w:val="center"/>
          </w:tcPr>
          <w:p>
            <w:pPr>
              <w:jc w:val="center"/>
            </w:pPr>
            <w:r>
              <w:rPr>
                <w:rFonts w:hint="eastAsia"/>
              </w:rPr>
              <w:t>前黄甫</w:t>
            </w:r>
          </w:p>
        </w:tc>
        <w:tc>
          <w:tcPr>
            <w:tcW w:w="927" w:type="pct"/>
            <w:noWrap w:val="0"/>
            <w:vAlign w:val="center"/>
          </w:tcPr>
          <w:p>
            <w:pPr>
              <w:pStyle w:val="35"/>
              <w:spacing w:line="320" w:lineRule="exact"/>
            </w:pPr>
            <w:r>
              <w:t>NW</w:t>
            </w:r>
          </w:p>
        </w:tc>
        <w:tc>
          <w:tcPr>
            <w:tcW w:w="1004" w:type="pct"/>
            <w:noWrap w:val="0"/>
            <w:vAlign w:val="center"/>
          </w:tcPr>
          <w:p>
            <w:pPr>
              <w:pStyle w:val="35"/>
              <w:spacing w:line="320" w:lineRule="exact"/>
            </w:pPr>
            <w:r>
              <w:rPr>
                <w:rFonts w:hint="eastAsia"/>
              </w:rPr>
              <w:t>1960</w:t>
            </w:r>
          </w:p>
        </w:tc>
        <w:tc>
          <w:tcPr>
            <w:tcW w:w="850" w:type="pct"/>
            <w:noWrap w:val="0"/>
            <w:vAlign w:val="center"/>
          </w:tcPr>
          <w:p>
            <w:pPr>
              <w:pStyle w:val="35"/>
              <w:spacing w:line="320" w:lineRule="exact"/>
            </w:pPr>
            <w:r>
              <w:rPr>
                <w:rFonts w:hint="eastAsia"/>
              </w:rPr>
              <w:t>1080</w:t>
            </w:r>
          </w:p>
        </w:tc>
        <w:tc>
          <w:tcPr>
            <w:tcW w:w="924" w:type="pct"/>
            <w:noWrap w:val="0"/>
            <w:vAlign w:val="center"/>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8</w:t>
            </w:r>
          </w:p>
        </w:tc>
        <w:tc>
          <w:tcPr>
            <w:tcW w:w="927" w:type="pct"/>
            <w:noWrap w:val="0"/>
            <w:vAlign w:val="center"/>
          </w:tcPr>
          <w:p>
            <w:pPr>
              <w:jc w:val="center"/>
            </w:pPr>
            <w:r>
              <w:rPr>
                <w:rFonts w:hint="eastAsia"/>
              </w:rPr>
              <w:t>蔡王合</w:t>
            </w:r>
          </w:p>
        </w:tc>
        <w:tc>
          <w:tcPr>
            <w:tcW w:w="927" w:type="pct"/>
            <w:noWrap w:val="0"/>
            <w:vAlign w:val="center"/>
          </w:tcPr>
          <w:p>
            <w:pPr>
              <w:pStyle w:val="35"/>
              <w:spacing w:line="320" w:lineRule="exact"/>
            </w:pPr>
            <w:r>
              <w:t>ESE</w:t>
            </w:r>
          </w:p>
        </w:tc>
        <w:tc>
          <w:tcPr>
            <w:tcW w:w="1004" w:type="pct"/>
            <w:noWrap w:val="0"/>
            <w:vAlign w:val="center"/>
          </w:tcPr>
          <w:p>
            <w:pPr>
              <w:pStyle w:val="35"/>
              <w:spacing w:line="320" w:lineRule="exact"/>
            </w:pPr>
            <w:r>
              <w:rPr>
                <w:rFonts w:hint="eastAsia"/>
              </w:rPr>
              <w:t>2050</w:t>
            </w:r>
          </w:p>
        </w:tc>
        <w:tc>
          <w:tcPr>
            <w:tcW w:w="850" w:type="pct"/>
            <w:noWrap w:val="0"/>
            <w:vAlign w:val="center"/>
          </w:tcPr>
          <w:p>
            <w:pPr>
              <w:pStyle w:val="35"/>
              <w:spacing w:line="320" w:lineRule="exact"/>
            </w:pPr>
            <w:r>
              <w:rPr>
                <w:rFonts w:hint="eastAsia"/>
              </w:rPr>
              <w:t>970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9</w:t>
            </w:r>
          </w:p>
        </w:tc>
        <w:tc>
          <w:tcPr>
            <w:tcW w:w="927" w:type="pct"/>
            <w:noWrap w:val="0"/>
            <w:vAlign w:val="center"/>
          </w:tcPr>
          <w:p>
            <w:pPr>
              <w:jc w:val="center"/>
            </w:pPr>
            <w:r>
              <w:rPr>
                <w:rFonts w:hint="eastAsia"/>
              </w:rPr>
              <w:t>后黄甫</w:t>
            </w:r>
          </w:p>
        </w:tc>
        <w:tc>
          <w:tcPr>
            <w:tcW w:w="927" w:type="pct"/>
            <w:noWrap w:val="0"/>
            <w:vAlign w:val="center"/>
          </w:tcPr>
          <w:p>
            <w:pPr>
              <w:pStyle w:val="35"/>
              <w:spacing w:line="320" w:lineRule="exact"/>
            </w:pPr>
            <w:r>
              <w:t>NW</w:t>
            </w:r>
          </w:p>
        </w:tc>
        <w:tc>
          <w:tcPr>
            <w:tcW w:w="1004" w:type="pct"/>
            <w:noWrap w:val="0"/>
            <w:vAlign w:val="center"/>
          </w:tcPr>
          <w:p>
            <w:pPr>
              <w:pStyle w:val="35"/>
              <w:spacing w:line="320" w:lineRule="exact"/>
            </w:pPr>
            <w:r>
              <w:rPr>
                <w:rFonts w:hint="eastAsia"/>
              </w:rPr>
              <w:t>2030</w:t>
            </w:r>
          </w:p>
        </w:tc>
        <w:tc>
          <w:tcPr>
            <w:tcW w:w="850" w:type="pct"/>
            <w:noWrap w:val="0"/>
            <w:vAlign w:val="center"/>
          </w:tcPr>
          <w:p>
            <w:pPr>
              <w:pStyle w:val="35"/>
              <w:spacing w:line="320" w:lineRule="exact"/>
            </w:pPr>
            <w:r>
              <w:rPr>
                <w:rFonts w:hint="eastAsia"/>
              </w:rPr>
              <w:t>2200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10</w:t>
            </w:r>
          </w:p>
        </w:tc>
        <w:tc>
          <w:tcPr>
            <w:tcW w:w="927" w:type="pct"/>
            <w:noWrap w:val="0"/>
            <w:vAlign w:val="center"/>
          </w:tcPr>
          <w:p>
            <w:pPr>
              <w:jc w:val="center"/>
            </w:pPr>
            <w:r>
              <w:rPr>
                <w:rFonts w:hint="eastAsia"/>
              </w:rPr>
              <w:t>胡北旺</w:t>
            </w:r>
          </w:p>
        </w:tc>
        <w:tc>
          <w:tcPr>
            <w:tcW w:w="927" w:type="pct"/>
            <w:noWrap w:val="0"/>
            <w:vAlign w:val="center"/>
          </w:tcPr>
          <w:p>
            <w:pPr>
              <w:pStyle w:val="35"/>
              <w:spacing w:line="320" w:lineRule="exact"/>
            </w:pPr>
            <w:r>
              <w:t>SE</w:t>
            </w:r>
          </w:p>
        </w:tc>
        <w:tc>
          <w:tcPr>
            <w:tcW w:w="1004" w:type="pct"/>
            <w:noWrap w:val="0"/>
            <w:vAlign w:val="center"/>
          </w:tcPr>
          <w:p>
            <w:pPr>
              <w:pStyle w:val="35"/>
              <w:spacing w:line="320" w:lineRule="exact"/>
            </w:pPr>
            <w:r>
              <w:rPr>
                <w:rFonts w:hint="eastAsia"/>
              </w:rPr>
              <w:t>1860</w:t>
            </w:r>
          </w:p>
        </w:tc>
        <w:tc>
          <w:tcPr>
            <w:tcW w:w="850" w:type="pct"/>
            <w:noWrap w:val="0"/>
            <w:vAlign w:val="center"/>
          </w:tcPr>
          <w:p>
            <w:pPr>
              <w:pStyle w:val="35"/>
              <w:spacing w:line="320" w:lineRule="exact"/>
            </w:pPr>
            <w:r>
              <w:rPr>
                <w:rFonts w:hint="eastAsia"/>
              </w:rPr>
              <w:t>1600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11</w:t>
            </w:r>
          </w:p>
        </w:tc>
        <w:tc>
          <w:tcPr>
            <w:tcW w:w="927" w:type="pct"/>
            <w:noWrap w:val="0"/>
            <w:vAlign w:val="center"/>
          </w:tcPr>
          <w:p>
            <w:pPr>
              <w:jc w:val="center"/>
            </w:pPr>
            <w:r>
              <w:rPr>
                <w:rFonts w:hint="eastAsia"/>
              </w:rPr>
              <w:t>崔北旺</w:t>
            </w:r>
          </w:p>
        </w:tc>
        <w:tc>
          <w:tcPr>
            <w:tcW w:w="927" w:type="pct"/>
            <w:noWrap w:val="0"/>
            <w:vAlign w:val="center"/>
          </w:tcPr>
          <w:p>
            <w:pPr>
              <w:pStyle w:val="35"/>
              <w:spacing w:line="320" w:lineRule="exact"/>
            </w:pPr>
            <w:r>
              <w:t>SE</w:t>
            </w:r>
          </w:p>
        </w:tc>
        <w:tc>
          <w:tcPr>
            <w:tcW w:w="1004" w:type="pct"/>
            <w:noWrap w:val="0"/>
            <w:vAlign w:val="center"/>
          </w:tcPr>
          <w:p>
            <w:pPr>
              <w:pStyle w:val="35"/>
              <w:spacing w:line="320" w:lineRule="exact"/>
            </w:pPr>
            <w:r>
              <w:rPr>
                <w:rFonts w:hint="eastAsia"/>
              </w:rPr>
              <w:t>2160</w:t>
            </w:r>
          </w:p>
        </w:tc>
        <w:tc>
          <w:tcPr>
            <w:tcW w:w="850" w:type="pct"/>
            <w:noWrap w:val="0"/>
            <w:vAlign w:val="center"/>
          </w:tcPr>
          <w:p>
            <w:pPr>
              <w:pStyle w:val="35"/>
              <w:spacing w:line="320" w:lineRule="exact"/>
            </w:pPr>
            <w:r>
              <w:t>1400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12</w:t>
            </w:r>
          </w:p>
        </w:tc>
        <w:tc>
          <w:tcPr>
            <w:tcW w:w="927" w:type="pct"/>
            <w:noWrap w:val="0"/>
            <w:vAlign w:val="center"/>
          </w:tcPr>
          <w:p>
            <w:pPr>
              <w:jc w:val="center"/>
            </w:pPr>
            <w:r>
              <w:rPr>
                <w:rFonts w:hint="eastAsia"/>
              </w:rPr>
              <w:t>乜村</w:t>
            </w:r>
          </w:p>
        </w:tc>
        <w:tc>
          <w:tcPr>
            <w:tcW w:w="927" w:type="pct"/>
            <w:noWrap w:val="0"/>
            <w:vAlign w:val="center"/>
          </w:tcPr>
          <w:p>
            <w:pPr>
              <w:pStyle w:val="35"/>
              <w:spacing w:line="320" w:lineRule="exact"/>
            </w:pPr>
            <w:r>
              <w:t>S</w:t>
            </w:r>
          </w:p>
        </w:tc>
        <w:tc>
          <w:tcPr>
            <w:tcW w:w="1004" w:type="pct"/>
            <w:noWrap w:val="0"/>
            <w:vAlign w:val="center"/>
          </w:tcPr>
          <w:p>
            <w:pPr>
              <w:pStyle w:val="35"/>
              <w:spacing w:line="320" w:lineRule="exact"/>
            </w:pPr>
            <w:r>
              <w:t>2</w:t>
            </w:r>
            <w:r>
              <w:rPr>
                <w:rFonts w:hint="eastAsia"/>
              </w:rPr>
              <w:t>350</w:t>
            </w:r>
          </w:p>
        </w:tc>
        <w:tc>
          <w:tcPr>
            <w:tcW w:w="850" w:type="pct"/>
            <w:noWrap w:val="0"/>
            <w:vAlign w:val="center"/>
          </w:tcPr>
          <w:p>
            <w:pPr>
              <w:pStyle w:val="35"/>
              <w:spacing w:line="320" w:lineRule="exact"/>
            </w:pPr>
            <w:r>
              <w:t>1700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13</w:t>
            </w:r>
          </w:p>
        </w:tc>
        <w:tc>
          <w:tcPr>
            <w:tcW w:w="927" w:type="pct"/>
            <w:noWrap w:val="0"/>
            <w:vAlign w:val="center"/>
          </w:tcPr>
          <w:p>
            <w:pPr>
              <w:jc w:val="center"/>
            </w:pPr>
            <w:r>
              <w:rPr>
                <w:rFonts w:hint="eastAsia"/>
              </w:rPr>
              <w:t>胡王合</w:t>
            </w:r>
          </w:p>
        </w:tc>
        <w:tc>
          <w:tcPr>
            <w:tcW w:w="927" w:type="pct"/>
            <w:noWrap w:val="0"/>
            <w:vAlign w:val="center"/>
          </w:tcPr>
          <w:p>
            <w:pPr>
              <w:pStyle w:val="35"/>
              <w:spacing w:line="320" w:lineRule="exact"/>
            </w:pPr>
            <w:r>
              <w:t>S</w:t>
            </w:r>
          </w:p>
        </w:tc>
        <w:tc>
          <w:tcPr>
            <w:tcW w:w="1004" w:type="pct"/>
            <w:noWrap w:val="0"/>
            <w:vAlign w:val="center"/>
          </w:tcPr>
          <w:p>
            <w:pPr>
              <w:pStyle w:val="35"/>
              <w:spacing w:line="320" w:lineRule="exact"/>
            </w:pPr>
            <w:r>
              <w:rPr>
                <w:rFonts w:hint="eastAsia"/>
              </w:rPr>
              <w:t>2720</w:t>
            </w:r>
          </w:p>
        </w:tc>
        <w:tc>
          <w:tcPr>
            <w:tcW w:w="850" w:type="pct"/>
            <w:noWrap w:val="0"/>
            <w:vAlign w:val="center"/>
          </w:tcPr>
          <w:p>
            <w:pPr>
              <w:pStyle w:val="35"/>
              <w:spacing w:line="320" w:lineRule="exact"/>
            </w:pPr>
            <w:r>
              <w:t>1200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14</w:t>
            </w:r>
          </w:p>
        </w:tc>
        <w:tc>
          <w:tcPr>
            <w:tcW w:w="927" w:type="pct"/>
            <w:noWrap w:val="0"/>
            <w:vAlign w:val="center"/>
          </w:tcPr>
          <w:p>
            <w:pPr>
              <w:jc w:val="center"/>
            </w:pPr>
            <w:r>
              <w:rPr>
                <w:rFonts w:hint="eastAsia"/>
              </w:rPr>
              <w:t>后铁丘</w:t>
            </w:r>
          </w:p>
        </w:tc>
        <w:tc>
          <w:tcPr>
            <w:tcW w:w="927" w:type="pct"/>
            <w:noWrap w:val="0"/>
            <w:vAlign w:val="center"/>
          </w:tcPr>
          <w:p>
            <w:pPr>
              <w:pStyle w:val="35"/>
              <w:spacing w:line="320" w:lineRule="exact"/>
            </w:pPr>
            <w:r>
              <w:t>SE</w:t>
            </w:r>
          </w:p>
        </w:tc>
        <w:tc>
          <w:tcPr>
            <w:tcW w:w="1004" w:type="pct"/>
            <w:noWrap w:val="0"/>
            <w:vAlign w:val="center"/>
          </w:tcPr>
          <w:p>
            <w:pPr>
              <w:pStyle w:val="35"/>
              <w:spacing w:line="320" w:lineRule="exact"/>
            </w:pPr>
            <w:r>
              <w:rPr>
                <w:rFonts w:hint="eastAsia"/>
              </w:rPr>
              <w:t>2560</w:t>
            </w:r>
          </w:p>
        </w:tc>
        <w:tc>
          <w:tcPr>
            <w:tcW w:w="850" w:type="pct"/>
            <w:noWrap w:val="0"/>
            <w:vAlign w:val="center"/>
          </w:tcPr>
          <w:p>
            <w:pPr>
              <w:pStyle w:val="35"/>
              <w:spacing w:line="320" w:lineRule="exact"/>
            </w:pPr>
            <w:r>
              <w:t>1640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15</w:t>
            </w:r>
          </w:p>
        </w:tc>
        <w:tc>
          <w:tcPr>
            <w:tcW w:w="927" w:type="pct"/>
            <w:noWrap w:val="0"/>
            <w:vAlign w:val="center"/>
          </w:tcPr>
          <w:p>
            <w:pPr>
              <w:jc w:val="center"/>
            </w:pPr>
            <w:r>
              <w:rPr>
                <w:rFonts w:hint="eastAsia"/>
              </w:rPr>
              <w:t>西郭寨</w:t>
            </w:r>
          </w:p>
        </w:tc>
        <w:tc>
          <w:tcPr>
            <w:tcW w:w="927" w:type="pct"/>
            <w:noWrap w:val="0"/>
            <w:vAlign w:val="center"/>
          </w:tcPr>
          <w:p>
            <w:pPr>
              <w:pStyle w:val="35"/>
              <w:spacing w:line="320" w:lineRule="exact"/>
            </w:pPr>
            <w:r>
              <w:t>SW</w:t>
            </w:r>
          </w:p>
        </w:tc>
        <w:tc>
          <w:tcPr>
            <w:tcW w:w="1004" w:type="pct"/>
            <w:noWrap w:val="0"/>
            <w:vAlign w:val="center"/>
          </w:tcPr>
          <w:p>
            <w:pPr>
              <w:pStyle w:val="35"/>
              <w:spacing w:line="320" w:lineRule="exact"/>
            </w:pPr>
            <w:r>
              <w:rPr>
                <w:rFonts w:hint="eastAsia"/>
              </w:rPr>
              <w:t>2360</w:t>
            </w:r>
          </w:p>
        </w:tc>
        <w:tc>
          <w:tcPr>
            <w:tcW w:w="850" w:type="pct"/>
            <w:noWrap w:val="0"/>
            <w:vAlign w:val="center"/>
          </w:tcPr>
          <w:p>
            <w:pPr>
              <w:pStyle w:val="35"/>
              <w:spacing w:line="320" w:lineRule="exact"/>
            </w:pPr>
            <w:r>
              <w:t>1700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16</w:t>
            </w:r>
          </w:p>
        </w:tc>
        <w:tc>
          <w:tcPr>
            <w:tcW w:w="927" w:type="pct"/>
            <w:noWrap w:val="0"/>
            <w:vAlign w:val="center"/>
          </w:tcPr>
          <w:p>
            <w:pPr>
              <w:jc w:val="center"/>
            </w:pPr>
            <w:r>
              <w:rPr>
                <w:rFonts w:hint="eastAsia"/>
              </w:rPr>
              <w:t>胡乜村</w:t>
            </w:r>
          </w:p>
        </w:tc>
        <w:tc>
          <w:tcPr>
            <w:tcW w:w="927" w:type="pct"/>
            <w:noWrap w:val="0"/>
            <w:vAlign w:val="center"/>
          </w:tcPr>
          <w:p>
            <w:pPr>
              <w:pStyle w:val="35"/>
              <w:spacing w:line="320" w:lineRule="exact"/>
            </w:pPr>
            <w:r>
              <w:t>ENE</w:t>
            </w:r>
          </w:p>
        </w:tc>
        <w:tc>
          <w:tcPr>
            <w:tcW w:w="1004" w:type="pct"/>
            <w:noWrap w:val="0"/>
            <w:vAlign w:val="center"/>
          </w:tcPr>
          <w:p>
            <w:pPr>
              <w:pStyle w:val="35"/>
              <w:spacing w:line="320" w:lineRule="exact"/>
            </w:pPr>
            <w:r>
              <w:rPr>
                <w:rFonts w:hint="eastAsia"/>
              </w:rPr>
              <w:t>3000</w:t>
            </w:r>
          </w:p>
        </w:tc>
        <w:tc>
          <w:tcPr>
            <w:tcW w:w="850" w:type="pct"/>
            <w:noWrap w:val="0"/>
            <w:vAlign w:val="center"/>
          </w:tcPr>
          <w:p>
            <w:pPr>
              <w:pStyle w:val="35"/>
              <w:spacing w:line="320" w:lineRule="exact"/>
            </w:pPr>
            <w:r>
              <w:t>960</w:t>
            </w:r>
          </w:p>
        </w:tc>
        <w:tc>
          <w:tcPr>
            <w:tcW w:w="924" w:type="pct"/>
            <w:noWrap w:val="0"/>
            <w:vAlign w:val="top"/>
          </w:tcPr>
          <w:p>
            <w:pPr>
              <w:pStyle w:val="35"/>
              <w:spacing w:line="320" w:lineRule="exact"/>
            </w:pPr>
            <w:r>
              <w:t>村庄</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5000" w:type="pct"/>
            <w:gridSpan w:val="6"/>
            <w:noWrap w:val="0"/>
            <w:vAlign w:val="center"/>
          </w:tcPr>
          <w:p>
            <w:pPr>
              <w:pStyle w:val="35"/>
              <w:spacing w:line="320" w:lineRule="exact"/>
              <w:rPr>
                <w:b/>
              </w:rPr>
            </w:pPr>
            <w:r>
              <w:rPr>
                <w:b/>
              </w:rPr>
              <w:t>二、地表水环境保护目标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t>编号</w:t>
            </w:r>
          </w:p>
        </w:tc>
        <w:tc>
          <w:tcPr>
            <w:tcW w:w="927" w:type="pct"/>
            <w:noWrap w:val="0"/>
            <w:vAlign w:val="center"/>
          </w:tcPr>
          <w:p>
            <w:pPr>
              <w:pStyle w:val="35"/>
              <w:spacing w:line="320" w:lineRule="exact"/>
            </w:pPr>
            <w:r>
              <w:t>敏感点名称</w:t>
            </w:r>
          </w:p>
        </w:tc>
        <w:tc>
          <w:tcPr>
            <w:tcW w:w="927" w:type="pct"/>
            <w:noWrap w:val="0"/>
            <w:vAlign w:val="center"/>
          </w:tcPr>
          <w:p>
            <w:pPr>
              <w:pStyle w:val="35"/>
              <w:spacing w:line="320" w:lineRule="exact"/>
            </w:pPr>
            <w:r>
              <w:t>方位</w:t>
            </w:r>
          </w:p>
        </w:tc>
        <w:tc>
          <w:tcPr>
            <w:tcW w:w="1004" w:type="pct"/>
            <w:noWrap w:val="0"/>
            <w:vAlign w:val="center"/>
          </w:tcPr>
          <w:p>
            <w:pPr>
              <w:pStyle w:val="35"/>
              <w:spacing w:line="320" w:lineRule="exact"/>
            </w:pPr>
            <w:r>
              <w:t>距厂界最近距离</w:t>
            </w:r>
          </w:p>
        </w:tc>
        <w:tc>
          <w:tcPr>
            <w:tcW w:w="850" w:type="pct"/>
            <w:noWrap w:val="0"/>
            <w:vAlign w:val="center"/>
          </w:tcPr>
          <w:p>
            <w:pPr>
              <w:pStyle w:val="35"/>
              <w:spacing w:line="320" w:lineRule="exact"/>
            </w:pPr>
            <w:r>
              <w:t>保护级别</w:t>
            </w:r>
          </w:p>
        </w:tc>
        <w:tc>
          <w:tcPr>
            <w:tcW w:w="924" w:type="pct"/>
            <w:noWrap w:val="0"/>
            <w:vAlign w:val="center"/>
          </w:tcPr>
          <w:p>
            <w:pPr>
              <w:pStyle w:val="35"/>
              <w:spacing w:line="320" w:lineRule="exact"/>
            </w:pPr>
            <w:r>
              <w:t>功能</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pPr>
            <w:r>
              <w:rPr>
                <w:rFonts w:hint="eastAsia"/>
              </w:rPr>
              <w:t>1</w:t>
            </w:r>
          </w:p>
        </w:tc>
        <w:tc>
          <w:tcPr>
            <w:tcW w:w="927" w:type="pct"/>
            <w:noWrap w:val="0"/>
            <w:vAlign w:val="center"/>
          </w:tcPr>
          <w:p>
            <w:pPr>
              <w:pStyle w:val="35"/>
              <w:spacing w:line="320" w:lineRule="exact"/>
            </w:pPr>
            <w:r>
              <w:rPr>
                <w:rFonts w:hint="eastAsia"/>
              </w:rPr>
              <w:t>濮清南干渠</w:t>
            </w:r>
          </w:p>
        </w:tc>
        <w:tc>
          <w:tcPr>
            <w:tcW w:w="927" w:type="pct"/>
            <w:noWrap w:val="0"/>
            <w:vAlign w:val="center"/>
          </w:tcPr>
          <w:p>
            <w:pPr>
              <w:pStyle w:val="35"/>
              <w:spacing w:line="320" w:lineRule="exact"/>
            </w:pPr>
            <w:r>
              <w:rPr>
                <w:rFonts w:hint="eastAsia"/>
              </w:rPr>
              <w:t>W</w:t>
            </w:r>
          </w:p>
        </w:tc>
        <w:tc>
          <w:tcPr>
            <w:tcW w:w="1004" w:type="pct"/>
            <w:noWrap w:val="0"/>
            <w:vAlign w:val="center"/>
          </w:tcPr>
          <w:p>
            <w:pPr>
              <w:pStyle w:val="35"/>
              <w:spacing w:line="320" w:lineRule="exact"/>
            </w:pPr>
            <w:r>
              <w:rPr>
                <w:rFonts w:hint="eastAsia"/>
              </w:rPr>
              <w:t>1290</w:t>
            </w:r>
          </w:p>
        </w:tc>
        <w:tc>
          <w:tcPr>
            <w:tcW w:w="850" w:type="pct"/>
            <w:noWrap w:val="0"/>
            <w:vAlign w:val="center"/>
          </w:tcPr>
          <w:p>
            <w:pPr>
              <w:pStyle w:val="35"/>
              <w:spacing w:line="320" w:lineRule="exact"/>
            </w:pPr>
            <w:r>
              <w:rPr>
                <w:rFonts w:hint="eastAsia"/>
              </w:rPr>
              <w:t>/</w:t>
            </w:r>
          </w:p>
        </w:tc>
        <w:tc>
          <w:tcPr>
            <w:tcW w:w="924" w:type="pct"/>
            <w:noWrap w:val="0"/>
            <w:vAlign w:val="center"/>
          </w:tcPr>
          <w:p>
            <w:pPr>
              <w:pStyle w:val="35"/>
              <w:spacing w:line="320" w:lineRule="exact"/>
            </w:pPr>
            <w:r>
              <w:rPr>
                <w:rFonts w:hint="eastAsia" w:ascii="宋体" w:hAnsi="宋体" w:cs="宋体"/>
              </w:rPr>
              <w:t>Ⅲ</w:t>
            </w:r>
            <w:r>
              <w:t>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5000" w:type="pct"/>
            <w:gridSpan w:val="6"/>
            <w:noWrap w:val="0"/>
            <w:vAlign w:val="center"/>
          </w:tcPr>
          <w:p>
            <w:pPr>
              <w:pStyle w:val="35"/>
              <w:spacing w:line="320" w:lineRule="exact"/>
              <w:rPr>
                <w:rFonts w:hint="eastAsia" w:ascii="宋体" w:hAnsi="宋体" w:cs="宋体"/>
              </w:rPr>
            </w:pPr>
            <w:r>
              <w:rPr>
                <w:rFonts w:hint="eastAsia"/>
                <w:b/>
              </w:rPr>
              <w:t>三</w:t>
            </w:r>
            <w:r>
              <w:rPr>
                <w:b/>
              </w:rPr>
              <w:t>、地</w:t>
            </w:r>
            <w:r>
              <w:rPr>
                <w:rFonts w:hint="eastAsia"/>
                <w:b/>
              </w:rPr>
              <w:t>下</w:t>
            </w:r>
            <w:r>
              <w:rPr>
                <w:b/>
              </w:rPr>
              <w:t>水环境保护目标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rPr>
                <w:rFonts w:hint="eastAsia"/>
              </w:rPr>
            </w:pPr>
            <w:r>
              <w:t>序号</w:t>
            </w:r>
          </w:p>
        </w:tc>
        <w:tc>
          <w:tcPr>
            <w:tcW w:w="927" w:type="pct"/>
            <w:noWrap w:val="0"/>
            <w:vAlign w:val="center"/>
          </w:tcPr>
          <w:p>
            <w:pPr>
              <w:pStyle w:val="35"/>
              <w:spacing w:line="320" w:lineRule="exact"/>
              <w:rPr>
                <w:rFonts w:hint="eastAsia"/>
                <w:highlight w:val="yellow"/>
              </w:rPr>
            </w:pPr>
            <w:r>
              <w:t>环境敏感区名称</w:t>
            </w:r>
          </w:p>
        </w:tc>
        <w:tc>
          <w:tcPr>
            <w:tcW w:w="927" w:type="pct"/>
            <w:noWrap w:val="0"/>
            <w:vAlign w:val="center"/>
          </w:tcPr>
          <w:p>
            <w:pPr>
              <w:pStyle w:val="35"/>
              <w:spacing w:line="320" w:lineRule="exact"/>
              <w:rPr>
                <w:rFonts w:hint="eastAsia"/>
              </w:rPr>
            </w:pPr>
            <w:r>
              <w:t>环境敏感特征</w:t>
            </w:r>
          </w:p>
        </w:tc>
        <w:tc>
          <w:tcPr>
            <w:tcW w:w="1004" w:type="pct"/>
            <w:noWrap w:val="0"/>
            <w:vAlign w:val="center"/>
          </w:tcPr>
          <w:p>
            <w:pPr>
              <w:pStyle w:val="35"/>
              <w:spacing w:line="320" w:lineRule="exact"/>
              <w:rPr>
                <w:rFonts w:hint="eastAsia"/>
              </w:rPr>
            </w:pPr>
            <w:r>
              <w:t>水质目标</w:t>
            </w:r>
          </w:p>
        </w:tc>
        <w:tc>
          <w:tcPr>
            <w:tcW w:w="850" w:type="pct"/>
            <w:noWrap w:val="0"/>
            <w:vAlign w:val="center"/>
          </w:tcPr>
          <w:p>
            <w:pPr>
              <w:pStyle w:val="35"/>
              <w:spacing w:line="320" w:lineRule="exact"/>
              <w:rPr>
                <w:rFonts w:hint="eastAsia"/>
              </w:rPr>
            </w:pPr>
            <w:r>
              <w:rPr>
                <w:rFonts w:hint="eastAsia"/>
              </w:rPr>
              <w:t>方位</w:t>
            </w:r>
          </w:p>
        </w:tc>
        <w:tc>
          <w:tcPr>
            <w:tcW w:w="924" w:type="pct"/>
            <w:noWrap w:val="0"/>
            <w:vAlign w:val="center"/>
          </w:tcPr>
          <w:p>
            <w:pPr>
              <w:pStyle w:val="35"/>
              <w:spacing w:line="320" w:lineRule="exact"/>
              <w:rPr>
                <w:rFonts w:hint="eastAsia" w:ascii="宋体" w:hAnsi="宋体" w:cs="宋体"/>
              </w:rPr>
            </w:pPr>
            <w:r>
              <w:rPr>
                <w:rFonts w:hint="eastAsia" w:ascii="宋体" w:hAnsi="宋体" w:cs="宋体"/>
              </w:rPr>
              <w:t>距离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rPr>
                <w:rFonts w:hint="eastAsia"/>
              </w:rPr>
            </w:pPr>
            <w:r>
              <w:rPr>
                <w:rFonts w:hint="eastAsia"/>
              </w:rPr>
              <w:t>1</w:t>
            </w:r>
          </w:p>
        </w:tc>
        <w:tc>
          <w:tcPr>
            <w:tcW w:w="927" w:type="pct"/>
            <w:noWrap w:val="0"/>
            <w:vAlign w:val="center"/>
          </w:tcPr>
          <w:p>
            <w:pPr>
              <w:pStyle w:val="35"/>
              <w:spacing w:line="320" w:lineRule="exact"/>
              <w:rPr>
                <w:rFonts w:hint="eastAsia"/>
                <w:highlight w:val="yellow"/>
              </w:rPr>
            </w:pPr>
            <w:r>
              <w:rPr>
                <w:szCs w:val="21"/>
              </w:rPr>
              <w:t>西水坡地表水饮用水源保护区</w:t>
            </w:r>
          </w:p>
        </w:tc>
        <w:tc>
          <w:tcPr>
            <w:tcW w:w="927" w:type="pct"/>
            <w:noWrap w:val="0"/>
            <w:vAlign w:val="center"/>
          </w:tcPr>
          <w:p>
            <w:pPr>
              <w:pStyle w:val="35"/>
              <w:spacing w:line="320" w:lineRule="exact"/>
              <w:rPr>
                <w:rFonts w:hint="eastAsia"/>
              </w:rPr>
            </w:pPr>
            <w:r>
              <w:t>集中式饮用水源径流补给区</w:t>
            </w:r>
          </w:p>
        </w:tc>
        <w:tc>
          <w:tcPr>
            <w:tcW w:w="1004" w:type="pct"/>
            <w:noWrap w:val="0"/>
            <w:vAlign w:val="center"/>
          </w:tcPr>
          <w:p>
            <w:pPr>
              <w:pStyle w:val="35"/>
              <w:spacing w:line="320" w:lineRule="exact"/>
              <w:rPr>
                <w:rFonts w:hint="eastAsia"/>
              </w:rPr>
            </w:pPr>
            <w:r>
              <w:rPr>
                <w:rFonts w:hint="eastAsia" w:ascii="宋体" w:hAnsi="宋体" w:cs="宋体"/>
              </w:rPr>
              <w:t>Ⅲ</w:t>
            </w:r>
            <w:r>
              <w:t>类</w:t>
            </w:r>
          </w:p>
        </w:tc>
        <w:tc>
          <w:tcPr>
            <w:tcW w:w="850" w:type="pct"/>
            <w:noWrap w:val="0"/>
            <w:vAlign w:val="center"/>
          </w:tcPr>
          <w:p>
            <w:pPr>
              <w:pStyle w:val="35"/>
              <w:spacing w:line="320" w:lineRule="exact"/>
              <w:rPr>
                <w:rFonts w:hint="eastAsia"/>
              </w:rPr>
            </w:pPr>
            <w:r>
              <w:rPr>
                <w:rFonts w:hint="eastAsia"/>
              </w:rPr>
              <w:t>S</w:t>
            </w:r>
          </w:p>
        </w:tc>
        <w:tc>
          <w:tcPr>
            <w:tcW w:w="924" w:type="pct"/>
            <w:noWrap w:val="0"/>
            <w:vAlign w:val="center"/>
          </w:tcPr>
          <w:p>
            <w:pPr>
              <w:pStyle w:val="35"/>
              <w:spacing w:line="320" w:lineRule="exact"/>
              <w:rPr>
                <w:rFonts w:hint="eastAsia" w:ascii="宋体" w:hAnsi="宋体" w:cs="宋体"/>
              </w:rPr>
            </w:pPr>
            <w:r>
              <w:rPr>
                <w:szCs w:val="21"/>
              </w:rPr>
              <w:t>距二级保护区</w:t>
            </w:r>
            <w:r>
              <w:rPr>
                <w:rFonts w:hint="eastAsia"/>
                <w:szCs w:val="21"/>
              </w:rPr>
              <w:t>约</w:t>
            </w:r>
            <w:r>
              <w:rPr>
                <w:szCs w:val="21"/>
              </w:rPr>
              <w:t>4km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rPr>
                <w:rFonts w:hint="eastAsia"/>
              </w:rPr>
            </w:pPr>
            <w:r>
              <w:rPr>
                <w:rFonts w:hint="eastAsia"/>
              </w:rPr>
              <w:t>2</w:t>
            </w:r>
          </w:p>
        </w:tc>
        <w:tc>
          <w:tcPr>
            <w:tcW w:w="927" w:type="pct"/>
            <w:noWrap w:val="0"/>
            <w:vAlign w:val="center"/>
          </w:tcPr>
          <w:p>
            <w:pPr>
              <w:pStyle w:val="35"/>
              <w:spacing w:line="320" w:lineRule="exact"/>
              <w:rPr>
                <w:rFonts w:hint="eastAsia"/>
                <w:highlight w:val="yellow"/>
              </w:rPr>
            </w:pPr>
            <w:r>
              <w:rPr>
                <w:szCs w:val="21"/>
              </w:rPr>
              <w:t>王助镇水厂地下水井</w:t>
            </w:r>
          </w:p>
        </w:tc>
        <w:tc>
          <w:tcPr>
            <w:tcW w:w="927" w:type="pct"/>
            <w:noWrap w:val="0"/>
            <w:vAlign w:val="center"/>
          </w:tcPr>
          <w:p>
            <w:pPr>
              <w:pStyle w:val="35"/>
              <w:spacing w:line="320" w:lineRule="exact"/>
              <w:rPr>
                <w:rFonts w:hint="eastAsia"/>
              </w:rPr>
            </w:pPr>
            <w:r>
              <w:t>集中式饮用水源径流补给区</w:t>
            </w:r>
          </w:p>
        </w:tc>
        <w:tc>
          <w:tcPr>
            <w:tcW w:w="1004" w:type="pct"/>
            <w:noWrap w:val="0"/>
            <w:vAlign w:val="center"/>
          </w:tcPr>
          <w:p>
            <w:pPr>
              <w:pStyle w:val="35"/>
              <w:spacing w:line="320" w:lineRule="exact"/>
              <w:rPr>
                <w:rFonts w:hint="eastAsia"/>
              </w:rPr>
            </w:pPr>
            <w:r>
              <w:rPr>
                <w:rFonts w:hint="eastAsia" w:ascii="宋体" w:hAnsi="宋体" w:cs="宋体"/>
              </w:rPr>
              <w:t>Ⅲ</w:t>
            </w:r>
            <w:r>
              <w:t>类</w:t>
            </w:r>
          </w:p>
        </w:tc>
        <w:tc>
          <w:tcPr>
            <w:tcW w:w="850" w:type="pct"/>
            <w:noWrap w:val="0"/>
            <w:vAlign w:val="center"/>
          </w:tcPr>
          <w:p>
            <w:pPr>
              <w:pStyle w:val="35"/>
              <w:spacing w:line="320" w:lineRule="exact"/>
              <w:rPr>
                <w:rFonts w:hint="eastAsia"/>
              </w:rPr>
            </w:pPr>
            <w:r>
              <w:rPr>
                <w:rFonts w:hint="eastAsia"/>
              </w:rPr>
              <w:t>S</w:t>
            </w:r>
          </w:p>
        </w:tc>
        <w:tc>
          <w:tcPr>
            <w:tcW w:w="924" w:type="pct"/>
            <w:noWrap w:val="0"/>
            <w:vAlign w:val="center"/>
          </w:tcPr>
          <w:p>
            <w:pPr>
              <w:pStyle w:val="35"/>
              <w:spacing w:line="320" w:lineRule="exact"/>
              <w:rPr>
                <w:rFonts w:hint="eastAsia" w:ascii="宋体" w:hAnsi="宋体" w:cs="宋体"/>
              </w:rPr>
            </w:pPr>
            <w:r>
              <w:rPr>
                <w:szCs w:val="21"/>
              </w:rPr>
              <w:t>距保护区</w:t>
            </w:r>
            <w:r>
              <w:rPr>
                <w:rFonts w:hint="eastAsia"/>
                <w:szCs w:val="21"/>
              </w:rPr>
              <w:t>约</w:t>
            </w:r>
            <w:r>
              <w:rPr>
                <w:szCs w:val="21"/>
              </w:rPr>
              <w:t>4km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368" w:type="pct"/>
            <w:noWrap w:val="0"/>
            <w:vAlign w:val="center"/>
          </w:tcPr>
          <w:p>
            <w:pPr>
              <w:pStyle w:val="35"/>
              <w:spacing w:line="320" w:lineRule="exact"/>
              <w:rPr>
                <w:rFonts w:hint="eastAsia"/>
              </w:rPr>
            </w:pPr>
          </w:p>
        </w:tc>
        <w:tc>
          <w:tcPr>
            <w:tcW w:w="927" w:type="pct"/>
            <w:noWrap w:val="0"/>
            <w:vAlign w:val="center"/>
          </w:tcPr>
          <w:p>
            <w:pPr>
              <w:pStyle w:val="35"/>
              <w:spacing w:line="320" w:lineRule="exact"/>
              <w:rPr>
                <w:rFonts w:hint="eastAsia"/>
                <w:highlight w:val="yellow"/>
              </w:rPr>
            </w:pPr>
          </w:p>
        </w:tc>
        <w:tc>
          <w:tcPr>
            <w:tcW w:w="927" w:type="pct"/>
            <w:noWrap w:val="0"/>
            <w:vAlign w:val="center"/>
          </w:tcPr>
          <w:p>
            <w:pPr>
              <w:pStyle w:val="35"/>
              <w:spacing w:line="320" w:lineRule="exact"/>
              <w:rPr>
                <w:rFonts w:hint="eastAsia"/>
              </w:rPr>
            </w:pPr>
          </w:p>
        </w:tc>
        <w:tc>
          <w:tcPr>
            <w:tcW w:w="1004" w:type="pct"/>
            <w:noWrap w:val="0"/>
            <w:vAlign w:val="center"/>
          </w:tcPr>
          <w:p>
            <w:pPr>
              <w:pStyle w:val="35"/>
              <w:spacing w:line="320" w:lineRule="exact"/>
              <w:rPr>
                <w:rFonts w:hint="eastAsia"/>
              </w:rPr>
            </w:pPr>
          </w:p>
        </w:tc>
        <w:tc>
          <w:tcPr>
            <w:tcW w:w="850" w:type="pct"/>
            <w:noWrap w:val="0"/>
            <w:vAlign w:val="center"/>
          </w:tcPr>
          <w:p>
            <w:pPr>
              <w:pStyle w:val="35"/>
              <w:spacing w:line="320" w:lineRule="exact"/>
              <w:rPr>
                <w:rFonts w:hint="eastAsia"/>
              </w:rPr>
            </w:pPr>
          </w:p>
        </w:tc>
        <w:tc>
          <w:tcPr>
            <w:tcW w:w="924" w:type="pct"/>
            <w:noWrap w:val="0"/>
            <w:vAlign w:val="center"/>
          </w:tcPr>
          <w:p>
            <w:pPr>
              <w:pStyle w:val="35"/>
              <w:spacing w:line="320" w:lineRule="exact"/>
              <w:rPr>
                <w:rFonts w:hint="eastAsia" w:ascii="宋体" w:hAnsi="宋体" w:cs="宋体"/>
              </w:rPr>
            </w:pPr>
          </w:p>
        </w:tc>
      </w:tr>
    </w:tbl>
    <w:p>
      <w:pPr>
        <w:pStyle w:val="4"/>
        <w:spacing w:before="0" w:after="0" w:line="500" w:lineRule="exact"/>
        <w:rPr>
          <w:rFonts w:ascii="Times New Roman" w:hAnsi="Times New Roman" w:eastAsia="黑体"/>
          <w:sz w:val="28"/>
          <w:szCs w:val="28"/>
          <w:lang w:val="en-US" w:eastAsia="zh-CN"/>
        </w:rPr>
      </w:pPr>
      <w:bookmarkStart w:id="17" w:name="_Toc439060150"/>
      <w:r>
        <w:rPr>
          <w:rFonts w:ascii="Times New Roman" w:hAnsi="Times New Roman" w:eastAsia="黑体"/>
          <w:sz w:val="28"/>
          <w:szCs w:val="28"/>
          <w:lang w:val="en-US" w:eastAsia="zh-CN"/>
        </w:rPr>
        <w:t>2.6  评价标准</w:t>
      </w:r>
      <w:bookmarkEnd w:id="17"/>
    </w:p>
    <w:p>
      <w:pPr>
        <w:pStyle w:val="5"/>
        <w:spacing w:before="0" w:after="0" w:line="500" w:lineRule="exact"/>
        <w:rPr>
          <w:rFonts w:ascii="Times New Roman" w:hAnsi="Times New Roman" w:eastAsia="楷体_GB2312"/>
          <w:sz w:val="28"/>
          <w:szCs w:val="28"/>
          <w:lang w:val="en-US" w:eastAsia="zh-CN"/>
        </w:rPr>
      </w:pPr>
      <w:bookmarkStart w:id="18" w:name="_Toc439060151"/>
      <w:r>
        <w:rPr>
          <w:rFonts w:ascii="Times New Roman" w:hAnsi="Times New Roman" w:eastAsia="楷体_GB2312"/>
          <w:sz w:val="28"/>
          <w:szCs w:val="28"/>
          <w:lang w:val="en-US" w:eastAsia="zh-CN"/>
        </w:rPr>
        <w:t>2.6.1  环境质量标准</w:t>
      </w:r>
      <w:bookmarkEnd w:id="18"/>
    </w:p>
    <w:p>
      <w:pPr>
        <w:pStyle w:val="27"/>
        <w:spacing w:line="500" w:lineRule="exact"/>
        <w:ind w:firstLine="560"/>
      </w:pPr>
      <w:r>
        <w:t>本次评价执行的环境质量标准见表2.6-1、表2.6-2。</w:t>
      </w:r>
    </w:p>
    <w:p>
      <w:pPr>
        <w:pStyle w:val="32"/>
        <w:spacing w:line="500" w:lineRule="exact"/>
      </w:pPr>
      <w:r>
        <w:t>表2.6-1                   环境质量标准一览表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35"/>
        <w:gridCol w:w="3045"/>
        <w:gridCol w:w="1312"/>
        <w:gridCol w:w="1110"/>
        <w:gridCol w:w="245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026" w:type="dxa"/>
            <w:noWrap w:val="0"/>
            <w:vAlign w:val="center"/>
          </w:tcPr>
          <w:p>
            <w:pPr>
              <w:pStyle w:val="34"/>
              <w:adjustRightInd w:val="0"/>
              <w:snapToGrid w:val="0"/>
              <w:rPr>
                <w:szCs w:val="21"/>
              </w:rPr>
            </w:pPr>
            <w:r>
              <w:rPr>
                <w:szCs w:val="21"/>
              </w:rPr>
              <w:t>环境要素</w:t>
            </w:r>
          </w:p>
        </w:tc>
        <w:tc>
          <w:tcPr>
            <w:tcW w:w="3048" w:type="dxa"/>
            <w:noWrap w:val="0"/>
            <w:vAlign w:val="center"/>
          </w:tcPr>
          <w:p>
            <w:pPr>
              <w:pStyle w:val="34"/>
              <w:adjustRightInd w:val="0"/>
              <w:snapToGrid w:val="0"/>
              <w:rPr>
                <w:szCs w:val="21"/>
              </w:rPr>
            </w:pPr>
            <w:r>
              <w:rPr>
                <w:szCs w:val="21"/>
              </w:rPr>
              <w:t>执行标准</w:t>
            </w:r>
          </w:p>
        </w:tc>
        <w:tc>
          <w:tcPr>
            <w:tcW w:w="2424" w:type="dxa"/>
            <w:gridSpan w:val="2"/>
            <w:noWrap w:val="0"/>
            <w:vAlign w:val="center"/>
          </w:tcPr>
          <w:p>
            <w:pPr>
              <w:pStyle w:val="34"/>
              <w:adjustRightInd w:val="0"/>
              <w:snapToGrid w:val="0"/>
              <w:rPr>
                <w:szCs w:val="21"/>
              </w:rPr>
            </w:pPr>
            <w:r>
              <w:rPr>
                <w:szCs w:val="21"/>
              </w:rPr>
              <w:t>污染因子</w:t>
            </w:r>
          </w:p>
        </w:tc>
        <w:tc>
          <w:tcPr>
            <w:tcW w:w="2460" w:type="dxa"/>
            <w:noWrap w:val="0"/>
            <w:vAlign w:val="center"/>
          </w:tcPr>
          <w:p>
            <w:pPr>
              <w:pStyle w:val="34"/>
              <w:adjustRightInd w:val="0"/>
              <w:snapToGrid w:val="0"/>
              <w:rPr>
                <w:szCs w:val="21"/>
              </w:rPr>
            </w:pPr>
            <w:r>
              <w:rPr>
                <w:szCs w:val="21"/>
              </w:rPr>
              <w:t>标准限值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restart"/>
            <w:noWrap w:val="0"/>
            <w:vAlign w:val="center"/>
          </w:tcPr>
          <w:p>
            <w:pPr>
              <w:pStyle w:val="35"/>
              <w:rPr>
                <w:szCs w:val="21"/>
              </w:rPr>
            </w:pPr>
            <w:r>
              <w:rPr>
                <w:szCs w:val="21"/>
              </w:rPr>
              <w:t>环境</w:t>
            </w:r>
          </w:p>
          <w:p>
            <w:pPr>
              <w:pStyle w:val="35"/>
              <w:rPr>
                <w:szCs w:val="21"/>
              </w:rPr>
            </w:pPr>
            <w:r>
              <w:rPr>
                <w:szCs w:val="21"/>
              </w:rPr>
              <w:t>空气</w:t>
            </w:r>
          </w:p>
        </w:tc>
        <w:tc>
          <w:tcPr>
            <w:tcW w:w="3048" w:type="dxa"/>
            <w:vMerge w:val="restart"/>
            <w:noWrap w:val="0"/>
            <w:vAlign w:val="center"/>
          </w:tcPr>
          <w:p>
            <w:pPr>
              <w:pStyle w:val="35"/>
              <w:rPr>
                <w:szCs w:val="21"/>
              </w:rPr>
            </w:pPr>
            <w:r>
              <w:rPr>
                <w:szCs w:val="21"/>
              </w:rPr>
              <w:t>《环境空气质量标准》（GB3095-2012）二级标准</w:t>
            </w:r>
          </w:p>
        </w:tc>
        <w:tc>
          <w:tcPr>
            <w:tcW w:w="1313" w:type="dxa"/>
            <w:vMerge w:val="restart"/>
            <w:noWrap w:val="0"/>
            <w:vAlign w:val="center"/>
          </w:tcPr>
          <w:p>
            <w:pPr>
              <w:pStyle w:val="35"/>
              <w:adjustRightInd w:val="0"/>
              <w:snapToGrid w:val="0"/>
              <w:rPr>
                <w:kern w:val="0"/>
                <w:szCs w:val="21"/>
              </w:rPr>
            </w:pPr>
            <w:r>
              <w:rPr>
                <w:szCs w:val="21"/>
              </w:rPr>
              <w:t>PM</w:t>
            </w:r>
            <w:r>
              <w:rPr>
                <w:rFonts w:hint="eastAsia"/>
                <w:kern w:val="0"/>
                <w:szCs w:val="21"/>
                <w:vertAlign w:val="subscript"/>
              </w:rPr>
              <w:t>2.5</w:t>
            </w:r>
          </w:p>
        </w:tc>
        <w:tc>
          <w:tcPr>
            <w:tcW w:w="1111" w:type="dxa"/>
            <w:noWrap w:val="0"/>
            <w:vAlign w:val="center"/>
          </w:tcPr>
          <w:p>
            <w:pPr>
              <w:pStyle w:val="35"/>
              <w:adjustRightInd w:val="0"/>
              <w:snapToGrid w:val="0"/>
              <w:rPr>
                <w:kern w:val="0"/>
                <w:szCs w:val="21"/>
              </w:rPr>
            </w:pPr>
            <w:r>
              <w:rPr>
                <w:szCs w:val="21"/>
              </w:rPr>
              <w:t>日平均</w:t>
            </w:r>
          </w:p>
        </w:tc>
        <w:tc>
          <w:tcPr>
            <w:tcW w:w="2460" w:type="dxa"/>
            <w:noWrap w:val="0"/>
            <w:vAlign w:val="center"/>
          </w:tcPr>
          <w:p>
            <w:pPr>
              <w:pStyle w:val="35"/>
              <w:adjustRightInd w:val="0"/>
              <w:snapToGrid w:val="0"/>
              <w:rPr>
                <w:kern w:val="0"/>
                <w:szCs w:val="21"/>
              </w:rPr>
            </w:pPr>
            <w:r>
              <w:rPr>
                <w:rFonts w:hint="eastAsia"/>
                <w:szCs w:val="21"/>
              </w:rPr>
              <w:t>75u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rPr>
                <w:szCs w:val="21"/>
              </w:rPr>
            </w:pPr>
          </w:p>
        </w:tc>
        <w:tc>
          <w:tcPr>
            <w:tcW w:w="3048" w:type="dxa"/>
            <w:vMerge w:val="continue"/>
            <w:noWrap w:val="0"/>
            <w:vAlign w:val="center"/>
          </w:tcPr>
          <w:p>
            <w:pPr>
              <w:pStyle w:val="35"/>
              <w:rPr>
                <w:szCs w:val="21"/>
              </w:rPr>
            </w:pPr>
          </w:p>
        </w:tc>
        <w:tc>
          <w:tcPr>
            <w:tcW w:w="1313" w:type="dxa"/>
            <w:vMerge w:val="continue"/>
            <w:noWrap w:val="0"/>
            <w:vAlign w:val="center"/>
          </w:tcPr>
          <w:p>
            <w:pPr>
              <w:pStyle w:val="35"/>
              <w:adjustRightInd w:val="0"/>
              <w:snapToGrid w:val="0"/>
              <w:rPr>
                <w:szCs w:val="21"/>
              </w:rPr>
            </w:pPr>
          </w:p>
        </w:tc>
        <w:tc>
          <w:tcPr>
            <w:tcW w:w="1111" w:type="dxa"/>
            <w:noWrap w:val="0"/>
            <w:vAlign w:val="center"/>
          </w:tcPr>
          <w:p>
            <w:pPr>
              <w:pStyle w:val="35"/>
              <w:adjustRightInd w:val="0"/>
              <w:snapToGrid w:val="0"/>
              <w:rPr>
                <w:szCs w:val="21"/>
              </w:rPr>
            </w:pPr>
            <w:r>
              <w:rPr>
                <w:rFonts w:hint="eastAsia"/>
                <w:szCs w:val="21"/>
              </w:rPr>
              <w:t>年平均</w:t>
            </w:r>
          </w:p>
        </w:tc>
        <w:tc>
          <w:tcPr>
            <w:tcW w:w="2460" w:type="dxa"/>
            <w:noWrap w:val="0"/>
            <w:vAlign w:val="center"/>
          </w:tcPr>
          <w:p>
            <w:pPr>
              <w:pStyle w:val="35"/>
              <w:adjustRightInd w:val="0"/>
              <w:snapToGrid w:val="0"/>
              <w:rPr>
                <w:rFonts w:hint="eastAsia"/>
                <w:szCs w:val="21"/>
              </w:rPr>
            </w:pPr>
            <w:r>
              <w:rPr>
                <w:rFonts w:hint="eastAsia"/>
                <w:szCs w:val="21"/>
              </w:rPr>
              <w:t>35u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rPr>
                <w:szCs w:val="21"/>
              </w:rPr>
            </w:pPr>
          </w:p>
        </w:tc>
        <w:tc>
          <w:tcPr>
            <w:tcW w:w="3048" w:type="dxa"/>
            <w:vMerge w:val="continue"/>
            <w:noWrap w:val="0"/>
            <w:vAlign w:val="center"/>
          </w:tcPr>
          <w:p>
            <w:pPr>
              <w:pStyle w:val="35"/>
              <w:rPr>
                <w:szCs w:val="21"/>
              </w:rPr>
            </w:pPr>
          </w:p>
        </w:tc>
        <w:tc>
          <w:tcPr>
            <w:tcW w:w="1313" w:type="dxa"/>
            <w:vMerge w:val="restart"/>
            <w:noWrap w:val="0"/>
            <w:vAlign w:val="center"/>
          </w:tcPr>
          <w:p>
            <w:pPr>
              <w:pStyle w:val="35"/>
              <w:adjustRightInd w:val="0"/>
              <w:snapToGrid w:val="0"/>
              <w:rPr>
                <w:kern w:val="0"/>
                <w:szCs w:val="21"/>
              </w:rPr>
            </w:pPr>
            <w:r>
              <w:rPr>
                <w:szCs w:val="21"/>
              </w:rPr>
              <w:t>PM</w:t>
            </w:r>
            <w:r>
              <w:rPr>
                <w:kern w:val="0"/>
                <w:szCs w:val="21"/>
                <w:vertAlign w:val="subscript"/>
              </w:rPr>
              <w:t>10</w:t>
            </w:r>
          </w:p>
        </w:tc>
        <w:tc>
          <w:tcPr>
            <w:tcW w:w="1111" w:type="dxa"/>
            <w:noWrap w:val="0"/>
            <w:vAlign w:val="center"/>
          </w:tcPr>
          <w:p>
            <w:pPr>
              <w:pStyle w:val="35"/>
              <w:adjustRightInd w:val="0"/>
              <w:snapToGrid w:val="0"/>
              <w:rPr>
                <w:kern w:val="0"/>
                <w:szCs w:val="21"/>
              </w:rPr>
            </w:pPr>
            <w:r>
              <w:rPr>
                <w:szCs w:val="21"/>
              </w:rPr>
              <w:t>日平均</w:t>
            </w:r>
          </w:p>
        </w:tc>
        <w:tc>
          <w:tcPr>
            <w:tcW w:w="2460" w:type="dxa"/>
            <w:noWrap w:val="0"/>
            <w:vAlign w:val="center"/>
          </w:tcPr>
          <w:p>
            <w:pPr>
              <w:pStyle w:val="35"/>
              <w:adjustRightInd w:val="0"/>
              <w:snapToGrid w:val="0"/>
              <w:rPr>
                <w:kern w:val="0"/>
                <w:szCs w:val="21"/>
              </w:rPr>
            </w:pPr>
            <w:r>
              <w:rPr>
                <w:rFonts w:hint="eastAsia"/>
                <w:szCs w:val="21"/>
              </w:rPr>
              <w:t>150u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rPr>
                <w:szCs w:val="21"/>
              </w:rPr>
            </w:pPr>
          </w:p>
        </w:tc>
        <w:tc>
          <w:tcPr>
            <w:tcW w:w="3048" w:type="dxa"/>
            <w:vMerge w:val="continue"/>
            <w:noWrap w:val="0"/>
            <w:vAlign w:val="center"/>
          </w:tcPr>
          <w:p>
            <w:pPr>
              <w:pStyle w:val="35"/>
              <w:rPr>
                <w:szCs w:val="21"/>
              </w:rPr>
            </w:pPr>
          </w:p>
        </w:tc>
        <w:tc>
          <w:tcPr>
            <w:tcW w:w="1313" w:type="dxa"/>
            <w:vMerge w:val="continue"/>
            <w:noWrap w:val="0"/>
            <w:vAlign w:val="center"/>
          </w:tcPr>
          <w:p>
            <w:pPr>
              <w:pStyle w:val="35"/>
              <w:adjustRightInd w:val="0"/>
              <w:snapToGrid w:val="0"/>
              <w:rPr>
                <w:szCs w:val="21"/>
              </w:rPr>
            </w:pPr>
          </w:p>
        </w:tc>
        <w:tc>
          <w:tcPr>
            <w:tcW w:w="1111" w:type="dxa"/>
            <w:noWrap w:val="0"/>
            <w:vAlign w:val="center"/>
          </w:tcPr>
          <w:p>
            <w:pPr>
              <w:pStyle w:val="35"/>
              <w:adjustRightInd w:val="0"/>
              <w:snapToGrid w:val="0"/>
              <w:rPr>
                <w:szCs w:val="21"/>
              </w:rPr>
            </w:pPr>
            <w:r>
              <w:rPr>
                <w:rFonts w:hint="eastAsia"/>
                <w:szCs w:val="21"/>
              </w:rPr>
              <w:t>年平均</w:t>
            </w:r>
          </w:p>
        </w:tc>
        <w:tc>
          <w:tcPr>
            <w:tcW w:w="2460" w:type="dxa"/>
            <w:noWrap w:val="0"/>
            <w:vAlign w:val="center"/>
          </w:tcPr>
          <w:p>
            <w:pPr>
              <w:pStyle w:val="35"/>
              <w:adjustRightInd w:val="0"/>
              <w:snapToGrid w:val="0"/>
              <w:rPr>
                <w:rFonts w:hint="eastAsia"/>
                <w:szCs w:val="21"/>
              </w:rPr>
            </w:pPr>
            <w:r>
              <w:rPr>
                <w:rFonts w:hint="eastAsia"/>
                <w:szCs w:val="21"/>
              </w:rPr>
              <w:t>70u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restart"/>
            <w:noWrap w:val="0"/>
            <w:vAlign w:val="center"/>
          </w:tcPr>
          <w:p>
            <w:pPr>
              <w:pStyle w:val="35"/>
              <w:adjustRightInd w:val="0"/>
              <w:snapToGrid w:val="0"/>
              <w:rPr>
                <w:kern w:val="0"/>
                <w:szCs w:val="21"/>
              </w:rPr>
            </w:pPr>
            <w:r>
              <w:rPr>
                <w:szCs w:val="21"/>
              </w:rPr>
              <w:t>SO</w:t>
            </w:r>
            <w:r>
              <w:rPr>
                <w:kern w:val="0"/>
                <w:szCs w:val="21"/>
                <w:vertAlign w:val="subscript"/>
              </w:rPr>
              <w:t>2</w:t>
            </w:r>
          </w:p>
        </w:tc>
        <w:tc>
          <w:tcPr>
            <w:tcW w:w="1111" w:type="dxa"/>
            <w:noWrap w:val="0"/>
            <w:vAlign w:val="center"/>
          </w:tcPr>
          <w:p>
            <w:pPr>
              <w:pStyle w:val="35"/>
              <w:adjustRightInd w:val="0"/>
              <w:snapToGrid w:val="0"/>
              <w:rPr>
                <w:kern w:val="0"/>
                <w:szCs w:val="21"/>
              </w:rPr>
            </w:pPr>
            <w:r>
              <w:rPr>
                <w:szCs w:val="21"/>
              </w:rPr>
              <w:t>小时平均</w:t>
            </w:r>
          </w:p>
        </w:tc>
        <w:tc>
          <w:tcPr>
            <w:tcW w:w="2460" w:type="dxa"/>
            <w:noWrap w:val="0"/>
            <w:vAlign w:val="center"/>
          </w:tcPr>
          <w:p>
            <w:pPr>
              <w:pStyle w:val="35"/>
              <w:adjustRightInd w:val="0"/>
              <w:snapToGrid w:val="0"/>
              <w:rPr>
                <w:kern w:val="0"/>
                <w:szCs w:val="21"/>
              </w:rPr>
            </w:pPr>
            <w:r>
              <w:rPr>
                <w:rFonts w:hint="eastAsia"/>
                <w:szCs w:val="21"/>
              </w:rPr>
              <w:t>500u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kern w:val="0"/>
                <w:szCs w:val="21"/>
              </w:rPr>
            </w:pPr>
            <w:r>
              <w:rPr>
                <w:szCs w:val="21"/>
              </w:rPr>
              <w:t>日平均</w:t>
            </w:r>
          </w:p>
        </w:tc>
        <w:tc>
          <w:tcPr>
            <w:tcW w:w="2460" w:type="dxa"/>
            <w:noWrap w:val="0"/>
            <w:vAlign w:val="center"/>
          </w:tcPr>
          <w:p>
            <w:pPr>
              <w:pStyle w:val="35"/>
              <w:adjustRightInd w:val="0"/>
              <w:snapToGrid w:val="0"/>
              <w:rPr>
                <w:rFonts w:hint="eastAsia"/>
                <w:szCs w:val="21"/>
              </w:rPr>
            </w:pPr>
            <w:r>
              <w:rPr>
                <w:rFonts w:hint="eastAsia"/>
                <w:szCs w:val="21"/>
              </w:rPr>
              <w:t>150u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rFonts w:hint="eastAsia"/>
                <w:szCs w:val="21"/>
              </w:rPr>
              <w:t>年平均</w:t>
            </w:r>
          </w:p>
        </w:tc>
        <w:tc>
          <w:tcPr>
            <w:tcW w:w="2460" w:type="dxa"/>
            <w:noWrap w:val="0"/>
            <w:vAlign w:val="center"/>
          </w:tcPr>
          <w:p>
            <w:pPr>
              <w:pStyle w:val="35"/>
              <w:adjustRightInd w:val="0"/>
              <w:snapToGrid w:val="0"/>
              <w:rPr>
                <w:kern w:val="0"/>
                <w:szCs w:val="21"/>
              </w:rPr>
            </w:pPr>
            <w:r>
              <w:rPr>
                <w:rFonts w:hint="eastAsia"/>
                <w:szCs w:val="21"/>
              </w:rPr>
              <w:t>60u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restart"/>
            <w:noWrap w:val="0"/>
            <w:vAlign w:val="center"/>
          </w:tcPr>
          <w:p>
            <w:pPr>
              <w:pStyle w:val="35"/>
              <w:adjustRightInd w:val="0"/>
              <w:snapToGrid w:val="0"/>
              <w:rPr>
                <w:kern w:val="0"/>
                <w:szCs w:val="21"/>
              </w:rPr>
            </w:pPr>
            <w:r>
              <w:rPr>
                <w:szCs w:val="21"/>
              </w:rPr>
              <w:t>NO</w:t>
            </w:r>
            <w:r>
              <w:rPr>
                <w:szCs w:val="21"/>
                <w:vertAlign w:val="subscript"/>
              </w:rPr>
              <w:t>2</w:t>
            </w:r>
          </w:p>
        </w:tc>
        <w:tc>
          <w:tcPr>
            <w:tcW w:w="1111" w:type="dxa"/>
            <w:noWrap w:val="0"/>
            <w:vAlign w:val="center"/>
          </w:tcPr>
          <w:p>
            <w:pPr>
              <w:pStyle w:val="35"/>
              <w:adjustRightInd w:val="0"/>
              <w:snapToGrid w:val="0"/>
              <w:rPr>
                <w:szCs w:val="21"/>
              </w:rPr>
            </w:pPr>
            <w:r>
              <w:rPr>
                <w:szCs w:val="21"/>
              </w:rPr>
              <w:t>小时平均</w:t>
            </w:r>
          </w:p>
        </w:tc>
        <w:tc>
          <w:tcPr>
            <w:tcW w:w="2460" w:type="dxa"/>
            <w:noWrap w:val="0"/>
            <w:vAlign w:val="center"/>
          </w:tcPr>
          <w:p>
            <w:pPr>
              <w:pStyle w:val="35"/>
              <w:adjustRightInd w:val="0"/>
              <w:snapToGrid w:val="0"/>
              <w:rPr>
                <w:kern w:val="0"/>
                <w:szCs w:val="21"/>
              </w:rPr>
            </w:pPr>
            <w:r>
              <w:rPr>
                <w:rFonts w:hint="eastAsia"/>
                <w:szCs w:val="21"/>
              </w:rPr>
              <w:t>200u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szCs w:val="21"/>
              </w:rPr>
              <w:t>日平均</w:t>
            </w:r>
          </w:p>
        </w:tc>
        <w:tc>
          <w:tcPr>
            <w:tcW w:w="2460" w:type="dxa"/>
            <w:noWrap w:val="0"/>
            <w:vAlign w:val="center"/>
          </w:tcPr>
          <w:p>
            <w:pPr>
              <w:pStyle w:val="35"/>
              <w:adjustRightInd w:val="0"/>
              <w:snapToGrid w:val="0"/>
              <w:rPr>
                <w:rFonts w:hint="eastAsia"/>
                <w:szCs w:val="21"/>
              </w:rPr>
            </w:pPr>
            <w:r>
              <w:rPr>
                <w:rFonts w:hint="eastAsia"/>
                <w:szCs w:val="21"/>
              </w:rPr>
              <w:t>80u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rFonts w:hint="eastAsia"/>
                <w:szCs w:val="21"/>
              </w:rPr>
              <w:t>年平均</w:t>
            </w:r>
          </w:p>
        </w:tc>
        <w:tc>
          <w:tcPr>
            <w:tcW w:w="2460" w:type="dxa"/>
            <w:noWrap w:val="0"/>
            <w:vAlign w:val="center"/>
          </w:tcPr>
          <w:p>
            <w:pPr>
              <w:pStyle w:val="35"/>
              <w:adjustRightInd w:val="0"/>
              <w:snapToGrid w:val="0"/>
              <w:rPr>
                <w:kern w:val="0"/>
                <w:szCs w:val="21"/>
              </w:rPr>
            </w:pPr>
            <w:r>
              <w:rPr>
                <w:rFonts w:hint="eastAsia"/>
                <w:szCs w:val="21"/>
              </w:rPr>
              <w:t>40u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restart"/>
            <w:noWrap w:val="0"/>
            <w:vAlign w:val="center"/>
          </w:tcPr>
          <w:p>
            <w:pPr>
              <w:pStyle w:val="35"/>
              <w:adjustRightInd w:val="0"/>
              <w:snapToGrid w:val="0"/>
              <w:rPr>
                <w:kern w:val="0"/>
                <w:szCs w:val="21"/>
              </w:rPr>
            </w:pPr>
            <w:r>
              <w:rPr>
                <w:kern w:val="0"/>
                <w:szCs w:val="21"/>
              </w:rPr>
              <w:t>CO</w:t>
            </w:r>
          </w:p>
        </w:tc>
        <w:tc>
          <w:tcPr>
            <w:tcW w:w="1111" w:type="dxa"/>
            <w:noWrap w:val="0"/>
            <w:vAlign w:val="center"/>
          </w:tcPr>
          <w:p>
            <w:pPr>
              <w:pStyle w:val="35"/>
              <w:adjustRightInd w:val="0"/>
              <w:snapToGrid w:val="0"/>
              <w:rPr>
                <w:szCs w:val="21"/>
              </w:rPr>
            </w:pPr>
            <w:r>
              <w:rPr>
                <w:szCs w:val="21"/>
              </w:rPr>
              <w:t>小时平均</w:t>
            </w:r>
          </w:p>
        </w:tc>
        <w:tc>
          <w:tcPr>
            <w:tcW w:w="2460" w:type="dxa"/>
            <w:noWrap w:val="0"/>
            <w:vAlign w:val="center"/>
          </w:tcPr>
          <w:p>
            <w:pPr>
              <w:pStyle w:val="35"/>
              <w:adjustRightInd w:val="0"/>
              <w:snapToGrid w:val="0"/>
              <w:rPr>
                <w:szCs w:val="21"/>
              </w:rPr>
            </w:pPr>
            <w:r>
              <w:rPr>
                <w:szCs w:val="21"/>
              </w:rPr>
              <w:t>10mg/Nm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szCs w:val="21"/>
              </w:rPr>
              <w:t>日平均</w:t>
            </w:r>
          </w:p>
        </w:tc>
        <w:tc>
          <w:tcPr>
            <w:tcW w:w="2460" w:type="dxa"/>
            <w:noWrap w:val="0"/>
            <w:vAlign w:val="center"/>
          </w:tcPr>
          <w:p>
            <w:pPr>
              <w:pStyle w:val="35"/>
              <w:adjustRightInd w:val="0"/>
              <w:snapToGrid w:val="0"/>
              <w:rPr>
                <w:szCs w:val="21"/>
              </w:rPr>
            </w:pPr>
            <w:r>
              <w:rPr>
                <w:szCs w:val="21"/>
              </w:rPr>
              <w:t>4mg/Nm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restart"/>
            <w:noWrap w:val="0"/>
            <w:vAlign w:val="center"/>
          </w:tcPr>
          <w:p>
            <w:pPr>
              <w:pStyle w:val="35"/>
              <w:adjustRightInd w:val="0"/>
              <w:snapToGrid w:val="0"/>
              <w:rPr>
                <w:kern w:val="0"/>
                <w:szCs w:val="21"/>
              </w:rPr>
            </w:pPr>
            <w:r>
              <w:rPr>
                <w:kern w:val="0"/>
                <w:szCs w:val="21"/>
              </w:rPr>
              <w:t>O</w:t>
            </w:r>
            <w:r>
              <w:rPr>
                <w:rFonts w:hint="eastAsia"/>
                <w:kern w:val="0"/>
                <w:szCs w:val="21"/>
                <w:vertAlign w:val="subscript"/>
              </w:rPr>
              <w:t>3</w:t>
            </w:r>
          </w:p>
        </w:tc>
        <w:tc>
          <w:tcPr>
            <w:tcW w:w="1111" w:type="dxa"/>
            <w:noWrap w:val="0"/>
            <w:vAlign w:val="center"/>
          </w:tcPr>
          <w:p>
            <w:pPr>
              <w:pStyle w:val="35"/>
              <w:adjustRightInd w:val="0"/>
              <w:snapToGrid w:val="0"/>
              <w:rPr>
                <w:szCs w:val="21"/>
              </w:rPr>
            </w:pPr>
            <w:r>
              <w:rPr>
                <w:szCs w:val="21"/>
              </w:rPr>
              <w:t>小时平均</w:t>
            </w:r>
          </w:p>
        </w:tc>
        <w:tc>
          <w:tcPr>
            <w:tcW w:w="2460" w:type="dxa"/>
            <w:noWrap w:val="0"/>
            <w:vAlign w:val="center"/>
          </w:tcPr>
          <w:p>
            <w:pPr>
              <w:pStyle w:val="35"/>
              <w:adjustRightInd w:val="0"/>
              <w:snapToGrid w:val="0"/>
              <w:rPr>
                <w:rFonts w:hint="eastAsia"/>
                <w:szCs w:val="21"/>
              </w:rPr>
            </w:pPr>
            <w:r>
              <w:rPr>
                <w:rFonts w:hint="eastAsia"/>
                <w:szCs w:val="21"/>
              </w:rPr>
              <w:t>200u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szCs w:val="21"/>
              </w:rPr>
              <w:t>日</w:t>
            </w:r>
            <w:r>
              <w:rPr>
                <w:rFonts w:hint="eastAsia"/>
                <w:szCs w:val="21"/>
              </w:rPr>
              <w:t>8h</w:t>
            </w:r>
            <w:r>
              <w:rPr>
                <w:szCs w:val="21"/>
              </w:rPr>
              <w:t>平均</w:t>
            </w:r>
          </w:p>
        </w:tc>
        <w:tc>
          <w:tcPr>
            <w:tcW w:w="2460" w:type="dxa"/>
            <w:noWrap w:val="0"/>
            <w:vAlign w:val="center"/>
          </w:tcPr>
          <w:p>
            <w:pPr>
              <w:pStyle w:val="35"/>
              <w:adjustRightInd w:val="0"/>
              <w:snapToGrid w:val="0"/>
              <w:rPr>
                <w:kern w:val="0"/>
                <w:szCs w:val="21"/>
              </w:rPr>
            </w:pPr>
            <w:r>
              <w:rPr>
                <w:rFonts w:hint="eastAsia"/>
                <w:szCs w:val="21"/>
              </w:rPr>
              <w:t>160u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restart"/>
            <w:noWrap w:val="0"/>
            <w:vAlign w:val="center"/>
          </w:tcPr>
          <w:p>
            <w:pPr>
              <w:pStyle w:val="35"/>
              <w:adjustRightInd w:val="0"/>
              <w:snapToGrid w:val="0"/>
              <w:rPr>
                <w:kern w:val="0"/>
                <w:szCs w:val="21"/>
              </w:rPr>
            </w:pPr>
            <w:r>
              <w:rPr>
                <w:rFonts w:hint="eastAsia"/>
              </w:rPr>
              <w:t>《</w:t>
            </w:r>
            <w:r>
              <w:t>环境影响评价技术导则-大气环境》（HJ2.2-20</w:t>
            </w:r>
            <w:r>
              <w:rPr>
                <w:rFonts w:hint="eastAsia"/>
              </w:rPr>
              <w:t>18</w:t>
            </w:r>
            <w:r>
              <w:t>）</w:t>
            </w:r>
            <w:r>
              <w:rPr>
                <w:rFonts w:hint="eastAsia"/>
                <w:szCs w:val="21"/>
              </w:rPr>
              <w:t>附录D</w:t>
            </w:r>
          </w:p>
        </w:tc>
        <w:tc>
          <w:tcPr>
            <w:tcW w:w="1313" w:type="dxa"/>
            <w:vMerge w:val="restart"/>
            <w:noWrap w:val="0"/>
            <w:vAlign w:val="center"/>
          </w:tcPr>
          <w:p>
            <w:pPr>
              <w:pStyle w:val="35"/>
              <w:adjustRightInd w:val="0"/>
              <w:snapToGrid w:val="0"/>
              <w:rPr>
                <w:kern w:val="0"/>
                <w:szCs w:val="21"/>
              </w:rPr>
            </w:pPr>
            <w:r>
              <w:rPr>
                <w:kern w:val="0"/>
                <w:szCs w:val="21"/>
              </w:rPr>
              <w:t>甲醇</w:t>
            </w:r>
          </w:p>
        </w:tc>
        <w:tc>
          <w:tcPr>
            <w:tcW w:w="1111" w:type="dxa"/>
            <w:noWrap w:val="0"/>
            <w:vAlign w:val="center"/>
          </w:tcPr>
          <w:p>
            <w:pPr>
              <w:pStyle w:val="35"/>
              <w:adjustRightInd w:val="0"/>
              <w:snapToGrid w:val="0"/>
              <w:rPr>
                <w:szCs w:val="21"/>
              </w:rPr>
            </w:pPr>
            <w:r>
              <w:rPr>
                <w:szCs w:val="21"/>
              </w:rPr>
              <w:t>小时平均</w:t>
            </w:r>
          </w:p>
        </w:tc>
        <w:tc>
          <w:tcPr>
            <w:tcW w:w="2460" w:type="dxa"/>
            <w:noWrap w:val="0"/>
            <w:vAlign w:val="center"/>
          </w:tcPr>
          <w:p>
            <w:pPr>
              <w:pStyle w:val="35"/>
              <w:adjustRightInd w:val="0"/>
              <w:snapToGrid w:val="0"/>
              <w:rPr>
                <w:rFonts w:hint="eastAsia"/>
                <w:szCs w:val="21"/>
              </w:rPr>
            </w:pPr>
            <w:r>
              <w:rPr>
                <w:rFonts w:hint="eastAsia"/>
                <w:szCs w:val="21"/>
              </w:rPr>
              <w:t>3000u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1313" w:type="dxa"/>
            <w:vMerge w:val="continue"/>
            <w:noWrap w:val="0"/>
            <w:vAlign w:val="center"/>
          </w:tcPr>
          <w:p>
            <w:pPr>
              <w:pStyle w:val="35"/>
              <w:adjustRightInd w:val="0"/>
              <w:snapToGrid w:val="0"/>
              <w:rPr>
                <w:kern w:val="0"/>
                <w:szCs w:val="21"/>
              </w:rPr>
            </w:pPr>
          </w:p>
        </w:tc>
        <w:tc>
          <w:tcPr>
            <w:tcW w:w="1111" w:type="dxa"/>
            <w:noWrap w:val="0"/>
            <w:vAlign w:val="center"/>
          </w:tcPr>
          <w:p>
            <w:pPr>
              <w:pStyle w:val="35"/>
              <w:adjustRightInd w:val="0"/>
              <w:snapToGrid w:val="0"/>
              <w:rPr>
                <w:szCs w:val="21"/>
              </w:rPr>
            </w:pPr>
            <w:r>
              <w:rPr>
                <w:szCs w:val="21"/>
              </w:rPr>
              <w:t>日平均</w:t>
            </w:r>
          </w:p>
        </w:tc>
        <w:tc>
          <w:tcPr>
            <w:tcW w:w="2460" w:type="dxa"/>
            <w:noWrap w:val="0"/>
            <w:vAlign w:val="center"/>
          </w:tcPr>
          <w:p>
            <w:pPr>
              <w:pStyle w:val="35"/>
              <w:adjustRightInd w:val="0"/>
              <w:snapToGrid w:val="0"/>
              <w:rPr>
                <w:rFonts w:hint="eastAsia"/>
                <w:szCs w:val="21"/>
              </w:rPr>
            </w:pPr>
            <w:r>
              <w:rPr>
                <w:rFonts w:hint="eastAsia"/>
                <w:szCs w:val="21"/>
              </w:rPr>
              <w:t>1000u</w:t>
            </w:r>
            <w:r>
              <w:rPr>
                <w:szCs w:val="21"/>
              </w:rPr>
              <w:t>g/Nm</w:t>
            </w:r>
            <w:r>
              <w:rPr>
                <w:kern w:val="0"/>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noWrap w:val="0"/>
            <w:vAlign w:val="center"/>
          </w:tcPr>
          <w:p>
            <w:pPr>
              <w:pStyle w:val="35"/>
              <w:adjustRightInd w:val="0"/>
              <w:snapToGrid w:val="0"/>
              <w:rPr>
                <w:kern w:val="0"/>
                <w:szCs w:val="21"/>
              </w:rPr>
            </w:pPr>
            <w:r>
              <w:rPr>
                <w:rFonts w:hint="eastAsia"/>
                <w:spacing w:val="2"/>
                <w:szCs w:val="21"/>
              </w:rPr>
              <w:t>《大气污染物综合排放标准》详解</w:t>
            </w:r>
          </w:p>
        </w:tc>
        <w:tc>
          <w:tcPr>
            <w:tcW w:w="1313" w:type="dxa"/>
            <w:noWrap w:val="0"/>
            <w:vAlign w:val="center"/>
          </w:tcPr>
          <w:p>
            <w:pPr>
              <w:pStyle w:val="35"/>
              <w:adjustRightInd w:val="0"/>
              <w:snapToGrid w:val="0"/>
              <w:rPr>
                <w:kern w:val="0"/>
                <w:szCs w:val="21"/>
              </w:rPr>
            </w:pPr>
            <w:r>
              <w:rPr>
                <w:kern w:val="0"/>
                <w:szCs w:val="21"/>
              </w:rPr>
              <w:t>非甲烷总烃</w:t>
            </w:r>
          </w:p>
        </w:tc>
        <w:tc>
          <w:tcPr>
            <w:tcW w:w="1111" w:type="dxa"/>
            <w:noWrap w:val="0"/>
            <w:vAlign w:val="center"/>
          </w:tcPr>
          <w:p>
            <w:pPr>
              <w:pStyle w:val="35"/>
              <w:adjustRightInd w:val="0"/>
              <w:snapToGrid w:val="0"/>
              <w:rPr>
                <w:szCs w:val="21"/>
              </w:rPr>
            </w:pPr>
            <w:r>
              <w:rPr>
                <w:szCs w:val="21"/>
              </w:rPr>
              <w:t>小时平均</w:t>
            </w:r>
          </w:p>
        </w:tc>
        <w:tc>
          <w:tcPr>
            <w:tcW w:w="2460" w:type="dxa"/>
            <w:noWrap w:val="0"/>
            <w:vAlign w:val="center"/>
          </w:tcPr>
          <w:p>
            <w:pPr>
              <w:pStyle w:val="35"/>
              <w:adjustRightInd w:val="0"/>
              <w:snapToGrid w:val="0"/>
              <w:rPr>
                <w:rFonts w:hint="eastAsia"/>
                <w:szCs w:val="21"/>
              </w:rPr>
            </w:pPr>
            <w:r>
              <w:rPr>
                <w:spacing w:val="2"/>
                <w:szCs w:val="21"/>
              </w:rPr>
              <w:t>2.0mg/m</w:t>
            </w:r>
            <w:r>
              <w:rPr>
                <w:spacing w:val="2"/>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restart"/>
            <w:noWrap w:val="0"/>
            <w:vAlign w:val="center"/>
          </w:tcPr>
          <w:p>
            <w:pPr>
              <w:pStyle w:val="35"/>
              <w:rPr>
                <w:szCs w:val="21"/>
              </w:rPr>
            </w:pPr>
            <w:r>
              <w:rPr>
                <w:szCs w:val="21"/>
              </w:rPr>
              <w:t>地</w:t>
            </w:r>
          </w:p>
          <w:p>
            <w:pPr>
              <w:pStyle w:val="35"/>
              <w:rPr>
                <w:szCs w:val="21"/>
              </w:rPr>
            </w:pPr>
            <w:r>
              <w:rPr>
                <w:szCs w:val="21"/>
              </w:rPr>
              <w:t>表</w:t>
            </w:r>
          </w:p>
          <w:p>
            <w:pPr>
              <w:pStyle w:val="35"/>
              <w:rPr>
                <w:szCs w:val="21"/>
              </w:rPr>
            </w:pPr>
            <w:r>
              <w:rPr>
                <w:szCs w:val="21"/>
              </w:rPr>
              <w:t>水</w:t>
            </w:r>
          </w:p>
        </w:tc>
        <w:tc>
          <w:tcPr>
            <w:tcW w:w="3048" w:type="dxa"/>
            <w:vMerge w:val="restart"/>
            <w:noWrap w:val="0"/>
            <w:vAlign w:val="center"/>
          </w:tcPr>
          <w:p>
            <w:pPr>
              <w:pStyle w:val="35"/>
              <w:adjustRightInd w:val="0"/>
              <w:snapToGrid w:val="0"/>
              <w:rPr>
                <w:kern w:val="0"/>
                <w:szCs w:val="21"/>
              </w:rPr>
            </w:pPr>
            <w:r>
              <w:rPr>
                <w:rFonts w:hint="eastAsia"/>
                <w:kern w:val="0"/>
                <w:szCs w:val="21"/>
              </w:rPr>
              <w:t>《地表水环境质量标准》（</w:t>
            </w:r>
            <w:r>
              <w:rPr>
                <w:kern w:val="0"/>
                <w:szCs w:val="21"/>
              </w:rPr>
              <w:t>GB3838-2002</w:t>
            </w:r>
            <w:r>
              <w:rPr>
                <w:rFonts w:hint="eastAsia"/>
                <w:kern w:val="0"/>
                <w:szCs w:val="21"/>
              </w:rPr>
              <w:t>）</w:t>
            </w:r>
          </w:p>
          <w:p>
            <w:pPr>
              <w:pStyle w:val="35"/>
              <w:adjustRightInd w:val="0"/>
              <w:snapToGrid w:val="0"/>
              <w:rPr>
                <w:rFonts w:hint="eastAsia"/>
                <w:kern w:val="0"/>
                <w:szCs w:val="21"/>
              </w:rPr>
            </w:pPr>
            <w:r>
              <w:rPr>
                <w:rFonts w:hint="eastAsia" w:ascii="宋体" w:hAnsi="宋体"/>
                <w:kern w:val="0"/>
                <w:szCs w:val="21"/>
              </w:rPr>
              <w:t>Ⅳ类</w:t>
            </w:r>
          </w:p>
        </w:tc>
        <w:tc>
          <w:tcPr>
            <w:tcW w:w="2424" w:type="dxa"/>
            <w:gridSpan w:val="2"/>
            <w:noWrap w:val="0"/>
            <w:vAlign w:val="center"/>
          </w:tcPr>
          <w:p>
            <w:pPr>
              <w:pStyle w:val="35"/>
              <w:rPr>
                <w:rFonts w:hint="eastAsia"/>
              </w:rPr>
            </w:pPr>
            <w:r>
              <w:rPr>
                <w:rFonts w:hint="eastAsia"/>
              </w:rPr>
              <w:t>pH值</w:t>
            </w:r>
          </w:p>
        </w:tc>
        <w:tc>
          <w:tcPr>
            <w:tcW w:w="2460" w:type="dxa"/>
            <w:noWrap w:val="0"/>
            <w:vAlign w:val="center"/>
          </w:tcPr>
          <w:p>
            <w:pPr>
              <w:pStyle w:val="35"/>
            </w:pPr>
            <w:r>
              <w:rPr>
                <w:rFonts w:hint="eastAsia"/>
              </w:rPr>
              <w:t>6~9无量纲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pStyle w:val="35"/>
              <w:adjustRightInd w:val="0"/>
              <w:snapToGrid w:val="0"/>
              <w:rPr>
                <w:rFonts w:hint="eastAsia"/>
                <w:kern w:val="0"/>
              </w:rPr>
            </w:pPr>
            <w:r>
              <w:rPr>
                <w:szCs w:val="21"/>
              </w:rPr>
              <w:t>COD</w:t>
            </w:r>
          </w:p>
        </w:tc>
        <w:tc>
          <w:tcPr>
            <w:tcW w:w="2460" w:type="dxa"/>
            <w:noWrap w:val="0"/>
            <w:vAlign w:val="center"/>
          </w:tcPr>
          <w:p>
            <w:pPr>
              <w:pStyle w:val="35"/>
            </w:pPr>
            <w:r>
              <w:t>30mg/L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pStyle w:val="35"/>
              <w:adjustRightInd w:val="0"/>
              <w:snapToGrid w:val="0"/>
              <w:rPr>
                <w:rFonts w:hint="eastAsia"/>
                <w:kern w:val="0"/>
              </w:rPr>
            </w:pPr>
            <w:r>
              <w:rPr>
                <w:rFonts w:hint="eastAsia"/>
              </w:rPr>
              <w:t>NH</w:t>
            </w:r>
            <w:r>
              <w:rPr>
                <w:rFonts w:hint="eastAsia"/>
                <w:vertAlign w:val="subscript"/>
              </w:rPr>
              <w:t>3</w:t>
            </w:r>
            <w:r>
              <w:rPr>
                <w:rFonts w:hint="eastAsia"/>
              </w:rPr>
              <w:t>-N</w:t>
            </w:r>
          </w:p>
        </w:tc>
        <w:tc>
          <w:tcPr>
            <w:tcW w:w="2460" w:type="dxa"/>
            <w:noWrap w:val="0"/>
            <w:vAlign w:val="center"/>
          </w:tcPr>
          <w:p>
            <w:pPr>
              <w:pStyle w:val="35"/>
            </w:pPr>
            <w:r>
              <w:t>1.5mg/L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pStyle w:val="35"/>
              <w:adjustRightInd w:val="0"/>
              <w:snapToGrid w:val="0"/>
              <w:rPr>
                <w:rFonts w:hint="eastAsia"/>
                <w:kern w:val="0"/>
              </w:rPr>
            </w:pPr>
            <w:r>
              <w:rPr>
                <w:rFonts w:hint="eastAsia"/>
              </w:rPr>
              <w:t>总磷</w:t>
            </w:r>
          </w:p>
        </w:tc>
        <w:tc>
          <w:tcPr>
            <w:tcW w:w="2460" w:type="dxa"/>
            <w:noWrap w:val="0"/>
            <w:vAlign w:val="center"/>
          </w:tcPr>
          <w:p>
            <w:pPr>
              <w:pStyle w:val="35"/>
              <w:adjustRightInd w:val="0"/>
              <w:snapToGrid w:val="0"/>
              <w:rPr>
                <w:kern w:val="0"/>
              </w:rPr>
            </w:pPr>
            <w:r>
              <w:t>0.3mg/L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restart"/>
            <w:noWrap w:val="0"/>
            <w:vAlign w:val="center"/>
          </w:tcPr>
          <w:p>
            <w:pPr>
              <w:pStyle w:val="35"/>
              <w:rPr>
                <w:szCs w:val="21"/>
              </w:rPr>
            </w:pPr>
            <w:r>
              <w:rPr>
                <w:szCs w:val="21"/>
              </w:rPr>
              <w:t>地</w:t>
            </w:r>
          </w:p>
          <w:p>
            <w:pPr>
              <w:pStyle w:val="35"/>
              <w:rPr>
                <w:szCs w:val="21"/>
              </w:rPr>
            </w:pPr>
            <w:r>
              <w:rPr>
                <w:szCs w:val="21"/>
              </w:rPr>
              <w:t>下</w:t>
            </w:r>
          </w:p>
          <w:p>
            <w:pPr>
              <w:pStyle w:val="35"/>
              <w:rPr>
                <w:szCs w:val="21"/>
              </w:rPr>
            </w:pPr>
            <w:r>
              <w:rPr>
                <w:szCs w:val="21"/>
              </w:rPr>
              <w:t>水</w:t>
            </w:r>
          </w:p>
        </w:tc>
        <w:tc>
          <w:tcPr>
            <w:tcW w:w="3048" w:type="dxa"/>
            <w:vMerge w:val="restart"/>
            <w:noWrap w:val="0"/>
            <w:vAlign w:val="center"/>
          </w:tcPr>
          <w:p>
            <w:pPr>
              <w:pStyle w:val="35"/>
              <w:rPr>
                <w:rFonts w:hint="eastAsia"/>
                <w:szCs w:val="21"/>
              </w:rPr>
            </w:pPr>
            <w:r>
              <w:rPr>
                <w:szCs w:val="21"/>
              </w:rPr>
              <w:t>《地下水质量标准》（GB/T14848-</w:t>
            </w:r>
            <w:r>
              <w:rPr>
                <w:rFonts w:hint="eastAsia"/>
                <w:szCs w:val="21"/>
              </w:rPr>
              <w:t>2017</w:t>
            </w:r>
            <w:r>
              <w:rPr>
                <w:szCs w:val="21"/>
              </w:rPr>
              <w:t>）III类</w:t>
            </w: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pH</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6.5～8.5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氨氮</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w:t>
            </w:r>
            <w:r>
              <w:rPr>
                <w:rFonts w:hint="eastAsia" w:ascii="Times New Roman" w:hAnsi="Times New Roman"/>
                <w:szCs w:val="21"/>
              </w:rPr>
              <w:t>5</w:t>
            </w:r>
            <w:r>
              <w:rPr>
                <w:rFonts w:ascii="Times New Roman" w:hAnsi="Times New Roman"/>
                <w:szCs w:val="21"/>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硝酸盐(以N计)</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20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亚硝酸盐(以N计)</w:t>
            </w:r>
          </w:p>
        </w:tc>
        <w:tc>
          <w:tcPr>
            <w:tcW w:w="2460" w:type="dxa"/>
            <w:noWrap w:val="0"/>
            <w:vAlign w:val="center"/>
          </w:tcPr>
          <w:p>
            <w:pPr>
              <w:adjustRightInd w:val="0"/>
              <w:snapToGrid w:val="0"/>
              <w:jc w:val="center"/>
              <w:rPr>
                <w:rFonts w:ascii="Times New Roman" w:hAnsi="Times New Roman"/>
                <w:szCs w:val="21"/>
              </w:rPr>
            </w:pPr>
            <w:r>
              <w:rPr>
                <w:rFonts w:hint="eastAsia" w:ascii="Times New Roman" w:hAnsi="Times New Roman"/>
                <w:szCs w:val="21"/>
              </w:rPr>
              <w:t>1.0</w:t>
            </w:r>
            <w:r>
              <w:rPr>
                <w:rFonts w:ascii="Times New Roman" w:hAnsi="Times New Roman"/>
                <w:szCs w:val="21"/>
              </w:rPr>
              <w:t xml:space="preserve">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szCs w:val="21"/>
              </w:rPr>
            </w:pPr>
          </w:p>
        </w:tc>
        <w:tc>
          <w:tcPr>
            <w:tcW w:w="3048" w:type="dxa"/>
            <w:vMerge w:val="continue"/>
            <w:noWrap w:val="0"/>
            <w:vAlign w:val="center"/>
          </w:tcPr>
          <w:p>
            <w:pPr>
              <w:pStyle w:val="35"/>
              <w:adjustRightInd w:val="0"/>
              <w:snapToGrid w:val="0"/>
              <w:rPr>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挥发酚</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0.002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szCs w:val="21"/>
              </w:rPr>
            </w:pPr>
          </w:p>
        </w:tc>
        <w:tc>
          <w:tcPr>
            <w:tcW w:w="3048" w:type="dxa"/>
            <w:vMerge w:val="continue"/>
            <w:noWrap w:val="0"/>
            <w:vAlign w:val="center"/>
          </w:tcPr>
          <w:p>
            <w:pPr>
              <w:pStyle w:val="35"/>
              <w:adjustRightInd w:val="0"/>
              <w:snapToGrid w:val="0"/>
              <w:rPr>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氰化物</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0.05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砷</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w:t>
            </w:r>
            <w:r>
              <w:rPr>
                <w:rFonts w:hint="eastAsia" w:ascii="Times New Roman" w:hAnsi="Times New Roman"/>
                <w:szCs w:val="21"/>
              </w:rPr>
              <w:t>1</w:t>
            </w:r>
            <w:r>
              <w:rPr>
                <w:rFonts w:ascii="Times New Roman" w:hAnsi="Times New Roman"/>
                <w:szCs w:val="21"/>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汞</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0.001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铬（六价）</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0.05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总硬度</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450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铅</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w:t>
            </w:r>
            <w:r>
              <w:rPr>
                <w:rFonts w:hint="eastAsia" w:ascii="Times New Roman" w:hAnsi="Times New Roman"/>
                <w:szCs w:val="21"/>
              </w:rPr>
              <w:t>1</w:t>
            </w:r>
            <w:r>
              <w:rPr>
                <w:rFonts w:ascii="Times New Roman" w:hAnsi="Times New Roman"/>
                <w:szCs w:val="21"/>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氟化物</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1.0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镉</w:t>
            </w:r>
          </w:p>
        </w:tc>
        <w:tc>
          <w:tcPr>
            <w:tcW w:w="2460" w:type="dxa"/>
            <w:noWrap w:val="0"/>
            <w:vAlign w:val="center"/>
          </w:tcPr>
          <w:p>
            <w:pPr>
              <w:adjustRightInd w:val="0"/>
              <w:snapToGrid w:val="0"/>
              <w:jc w:val="center"/>
              <w:rPr>
                <w:rFonts w:ascii="Times New Roman" w:hAnsi="Times New Roman"/>
                <w:szCs w:val="21"/>
              </w:rPr>
            </w:pPr>
            <w:r>
              <w:rPr>
                <w:rFonts w:hint="eastAsia" w:ascii="Times New Roman" w:hAnsi="Times New Roman"/>
                <w:szCs w:val="21"/>
              </w:rPr>
              <w:t>0.005</w:t>
            </w:r>
            <w:r>
              <w:rPr>
                <w:rFonts w:ascii="Times New Roman" w:hAnsi="Times New Roman"/>
                <w:szCs w:val="21"/>
              </w:rPr>
              <w:t xml:space="preserve">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铁</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0.3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锰</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w:t>
            </w:r>
            <w:r>
              <w:rPr>
                <w:rFonts w:hint="eastAsia" w:ascii="Times New Roman" w:hAnsi="Times New Roman"/>
                <w:szCs w:val="21"/>
              </w:rPr>
              <w:t>10</w:t>
            </w:r>
            <w:r>
              <w:rPr>
                <w:rFonts w:ascii="Times New Roman" w:hAnsi="Times New Roman"/>
                <w:szCs w:val="21"/>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溶解性总固体</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1000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硫酸盐</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250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氯化物</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250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总大肠菌群</w:t>
            </w:r>
            <w:r>
              <w:rPr>
                <w:rFonts w:hint="eastAsia" w:ascii="Times New Roman" w:hAnsi="Times New Roman"/>
                <w:szCs w:val="21"/>
              </w:rPr>
              <w:t>（C</w:t>
            </w:r>
            <w:r>
              <w:rPr>
                <w:rFonts w:ascii="Times New Roman" w:hAnsi="Times New Roman"/>
                <w:szCs w:val="21"/>
              </w:rPr>
              <w:t>FU/100</w:t>
            </w:r>
            <w:r>
              <w:rPr>
                <w:rFonts w:hint="eastAsia" w:ascii="Times New Roman" w:hAnsi="Times New Roman"/>
                <w:szCs w:val="21"/>
              </w:rPr>
              <w:t>m</w:t>
            </w:r>
            <w:r>
              <w:rPr>
                <w:rFonts w:ascii="Times New Roman" w:hAnsi="Times New Roman"/>
                <w:szCs w:val="21"/>
              </w:rPr>
              <w:t>L</w:t>
            </w:r>
            <w:r>
              <w:rPr>
                <w:rFonts w:hint="eastAsia" w:ascii="Times New Roman" w:hAnsi="Times New Roman"/>
                <w:szCs w:val="21"/>
              </w:rPr>
              <w:t>）</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hint="eastAsia" w:ascii="Times New Roman" w:hAnsi="Times New Roman"/>
                <w:szCs w:val="21"/>
              </w:rPr>
              <w:t>菌落总数（C</w:t>
            </w:r>
            <w:r>
              <w:rPr>
                <w:rFonts w:ascii="Times New Roman" w:hAnsi="Times New Roman"/>
                <w:szCs w:val="21"/>
              </w:rPr>
              <w:t>FU/</w:t>
            </w:r>
            <w:r>
              <w:rPr>
                <w:rFonts w:hint="eastAsia" w:ascii="Times New Roman" w:hAnsi="Times New Roman"/>
                <w:szCs w:val="21"/>
              </w:rPr>
              <w:t>m</w:t>
            </w:r>
            <w:r>
              <w:rPr>
                <w:rFonts w:ascii="Times New Roman" w:hAnsi="Times New Roman"/>
                <w:szCs w:val="21"/>
              </w:rPr>
              <w:t>L</w:t>
            </w:r>
            <w:r>
              <w:rPr>
                <w:rFonts w:hint="eastAsia" w:ascii="Times New Roman" w:hAnsi="Times New Roman"/>
                <w:szCs w:val="21"/>
              </w:rPr>
              <w:t>）</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adjustRightInd w:val="0"/>
              <w:snapToGrid w:val="0"/>
              <w:jc w:val="center"/>
              <w:rPr>
                <w:rFonts w:ascii="Times New Roman" w:hAnsi="Times New Roman"/>
                <w:szCs w:val="21"/>
              </w:rPr>
            </w:pPr>
            <w:r>
              <w:rPr>
                <w:rFonts w:ascii="Times New Roman" w:hAnsi="Times New Roman"/>
                <w:szCs w:val="21"/>
              </w:rPr>
              <w:t>硫化物</w:t>
            </w:r>
          </w:p>
        </w:tc>
        <w:tc>
          <w:tcPr>
            <w:tcW w:w="2460" w:type="dxa"/>
            <w:noWrap w:val="0"/>
            <w:vAlign w:val="center"/>
          </w:tcPr>
          <w:p>
            <w:pPr>
              <w:adjustRightInd w:val="0"/>
              <w:snapToGrid w:val="0"/>
              <w:jc w:val="center"/>
              <w:rPr>
                <w:rFonts w:ascii="Times New Roman" w:hAnsi="Times New Roman"/>
                <w:szCs w:val="21"/>
              </w:rPr>
            </w:pPr>
            <w:r>
              <w:rPr>
                <w:rFonts w:ascii="Times New Roman" w:hAnsi="Times New Roman"/>
                <w:szCs w:val="21"/>
              </w:rPr>
              <w:t>0.02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restart"/>
            <w:noWrap w:val="0"/>
            <w:vAlign w:val="center"/>
          </w:tcPr>
          <w:p>
            <w:pPr>
              <w:pStyle w:val="35"/>
              <w:rPr>
                <w:szCs w:val="21"/>
              </w:rPr>
            </w:pPr>
            <w:r>
              <w:rPr>
                <w:szCs w:val="21"/>
              </w:rPr>
              <w:t>声环境</w:t>
            </w:r>
          </w:p>
        </w:tc>
        <w:tc>
          <w:tcPr>
            <w:tcW w:w="3048" w:type="dxa"/>
            <w:vMerge w:val="restart"/>
            <w:noWrap w:val="0"/>
            <w:vAlign w:val="center"/>
          </w:tcPr>
          <w:p>
            <w:pPr>
              <w:pStyle w:val="35"/>
              <w:adjustRightInd w:val="0"/>
              <w:snapToGrid w:val="0"/>
              <w:rPr>
                <w:kern w:val="0"/>
                <w:szCs w:val="21"/>
              </w:rPr>
            </w:pPr>
            <w:r>
              <w:rPr>
                <w:szCs w:val="21"/>
              </w:rPr>
              <w:t>《声环境质量标准》（GB3096-2008）</w:t>
            </w:r>
            <w:r>
              <w:rPr>
                <w:rFonts w:hint="eastAsia"/>
                <w:szCs w:val="21"/>
              </w:rPr>
              <w:t>3</w:t>
            </w:r>
            <w:r>
              <w:rPr>
                <w:szCs w:val="21"/>
              </w:rPr>
              <w:t>类</w:t>
            </w:r>
          </w:p>
        </w:tc>
        <w:tc>
          <w:tcPr>
            <w:tcW w:w="2424" w:type="dxa"/>
            <w:gridSpan w:val="2"/>
            <w:noWrap w:val="0"/>
            <w:vAlign w:val="center"/>
          </w:tcPr>
          <w:p>
            <w:pPr>
              <w:pStyle w:val="35"/>
              <w:rPr>
                <w:szCs w:val="21"/>
              </w:rPr>
            </w:pPr>
            <w:r>
              <w:rPr>
                <w:szCs w:val="21"/>
              </w:rPr>
              <w:t>昼间</w:t>
            </w:r>
          </w:p>
        </w:tc>
        <w:tc>
          <w:tcPr>
            <w:tcW w:w="2460" w:type="dxa"/>
            <w:noWrap w:val="0"/>
            <w:vAlign w:val="center"/>
          </w:tcPr>
          <w:p>
            <w:pPr>
              <w:pStyle w:val="35"/>
              <w:rPr>
                <w:szCs w:val="21"/>
              </w:rPr>
            </w:pPr>
            <w:r>
              <w:rPr>
                <w:szCs w:val="21"/>
              </w:rPr>
              <w:t>6</w:t>
            </w:r>
            <w:r>
              <w:rPr>
                <w:rFonts w:hint="eastAsia"/>
                <w:szCs w:val="21"/>
              </w:rPr>
              <w:t>5</w:t>
            </w:r>
            <w:r>
              <w:rPr>
                <w:szCs w:val="21"/>
              </w:rPr>
              <w:t>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6" w:type="dxa"/>
            <w:vMerge w:val="continue"/>
            <w:noWrap w:val="0"/>
            <w:vAlign w:val="center"/>
          </w:tcPr>
          <w:p>
            <w:pPr>
              <w:pStyle w:val="35"/>
              <w:adjustRightInd w:val="0"/>
              <w:snapToGrid w:val="0"/>
              <w:rPr>
                <w:kern w:val="0"/>
                <w:szCs w:val="21"/>
              </w:rPr>
            </w:pPr>
          </w:p>
        </w:tc>
        <w:tc>
          <w:tcPr>
            <w:tcW w:w="3048" w:type="dxa"/>
            <w:vMerge w:val="continue"/>
            <w:noWrap w:val="0"/>
            <w:vAlign w:val="center"/>
          </w:tcPr>
          <w:p>
            <w:pPr>
              <w:pStyle w:val="35"/>
              <w:adjustRightInd w:val="0"/>
              <w:snapToGrid w:val="0"/>
              <w:rPr>
                <w:kern w:val="0"/>
                <w:szCs w:val="21"/>
              </w:rPr>
            </w:pPr>
          </w:p>
        </w:tc>
        <w:tc>
          <w:tcPr>
            <w:tcW w:w="2424" w:type="dxa"/>
            <w:gridSpan w:val="2"/>
            <w:noWrap w:val="0"/>
            <w:vAlign w:val="center"/>
          </w:tcPr>
          <w:p>
            <w:pPr>
              <w:pStyle w:val="35"/>
              <w:rPr>
                <w:szCs w:val="21"/>
              </w:rPr>
            </w:pPr>
            <w:r>
              <w:rPr>
                <w:szCs w:val="21"/>
              </w:rPr>
              <w:t>夜间</w:t>
            </w:r>
          </w:p>
        </w:tc>
        <w:tc>
          <w:tcPr>
            <w:tcW w:w="2460" w:type="dxa"/>
            <w:noWrap w:val="0"/>
            <w:vAlign w:val="center"/>
          </w:tcPr>
          <w:p>
            <w:pPr>
              <w:pStyle w:val="35"/>
              <w:rPr>
                <w:szCs w:val="21"/>
              </w:rPr>
            </w:pPr>
            <w:r>
              <w:rPr>
                <w:szCs w:val="21"/>
              </w:rPr>
              <w:t>5</w:t>
            </w:r>
            <w:r>
              <w:rPr>
                <w:rFonts w:hint="eastAsia"/>
                <w:szCs w:val="21"/>
              </w:rPr>
              <w:t>5</w:t>
            </w:r>
            <w:r>
              <w:rPr>
                <w:szCs w:val="21"/>
              </w:rPr>
              <w:t>dB(A)</w:t>
            </w:r>
          </w:p>
        </w:tc>
      </w:tr>
    </w:tbl>
    <w:p>
      <w:pPr>
        <w:pStyle w:val="32"/>
        <w:spacing w:line="500" w:lineRule="exact"/>
      </w:pPr>
      <w:bookmarkStart w:id="19" w:name="_Ref535572125"/>
      <w:bookmarkStart w:id="20" w:name="_Toc439060152"/>
    </w:p>
    <w:p>
      <w:pPr>
        <w:pStyle w:val="32"/>
        <w:spacing w:line="500" w:lineRule="exact"/>
      </w:pPr>
      <w:r>
        <w:rPr>
          <w:rFonts w:hint="eastAsia"/>
        </w:rPr>
        <w:t>表2.6</w:t>
      </w:r>
      <w:r>
        <w:noBreakHyphen/>
      </w:r>
      <w:bookmarkEnd w:id="19"/>
      <w:r>
        <w:t>2</w:t>
      </w:r>
      <w:r>
        <w:rPr>
          <w:rFonts w:hint="eastAsia"/>
        </w:rPr>
        <w:t xml:space="preserve">              土壤环境质量现状执行标准          单位：mg/kg</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01"/>
        <w:gridCol w:w="1842"/>
        <w:gridCol w:w="3261"/>
        <w:gridCol w:w="297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0" w:type="pct"/>
            <w:vMerge w:val="restart"/>
            <w:noWrap w:val="0"/>
            <w:vAlign w:val="center"/>
          </w:tcPr>
          <w:p>
            <w:pPr>
              <w:pStyle w:val="35"/>
              <w:spacing w:line="290" w:lineRule="exact"/>
              <w:rPr>
                <w:szCs w:val="21"/>
              </w:rPr>
            </w:pPr>
            <w:r>
              <w:rPr>
                <w:rFonts w:hint="eastAsia"/>
                <w:szCs w:val="21"/>
              </w:rPr>
              <w:t>序号</w:t>
            </w:r>
          </w:p>
        </w:tc>
        <w:tc>
          <w:tcPr>
            <w:tcW w:w="1004" w:type="pct"/>
            <w:vMerge w:val="restart"/>
            <w:noWrap w:val="0"/>
            <w:vAlign w:val="center"/>
          </w:tcPr>
          <w:p>
            <w:pPr>
              <w:pStyle w:val="35"/>
              <w:spacing w:line="290" w:lineRule="exact"/>
              <w:rPr>
                <w:szCs w:val="21"/>
              </w:rPr>
            </w:pPr>
            <w:r>
              <w:rPr>
                <w:rFonts w:hint="eastAsia"/>
                <w:szCs w:val="21"/>
              </w:rPr>
              <w:t>污染物项目</w:t>
            </w:r>
          </w:p>
        </w:tc>
        <w:tc>
          <w:tcPr>
            <w:tcW w:w="1777" w:type="pct"/>
            <w:noWrap w:val="0"/>
            <w:vAlign w:val="center"/>
          </w:tcPr>
          <w:p>
            <w:pPr>
              <w:pStyle w:val="35"/>
              <w:spacing w:line="290" w:lineRule="exact"/>
              <w:rPr>
                <w:szCs w:val="21"/>
              </w:rPr>
            </w:pPr>
            <w:r>
              <w:rPr>
                <w:rFonts w:hint="eastAsia"/>
                <w:szCs w:val="21"/>
              </w:rPr>
              <w:t>《土壤环境质量 建设用地土壤污染风险管控标准》（试行）（GB36600-2018）</w:t>
            </w:r>
          </w:p>
        </w:tc>
        <w:tc>
          <w:tcPr>
            <w:tcW w:w="1619" w:type="pct"/>
            <w:noWrap w:val="0"/>
            <w:vAlign w:val="center"/>
          </w:tcPr>
          <w:p>
            <w:pPr>
              <w:pStyle w:val="35"/>
              <w:spacing w:line="290" w:lineRule="exact"/>
              <w:rPr>
                <w:szCs w:val="21"/>
              </w:rPr>
            </w:pPr>
            <w:r>
              <w:rPr>
                <w:rFonts w:hint="eastAsia"/>
                <w:szCs w:val="21"/>
              </w:rPr>
              <w:t>《土壤环境质量 建设用地土壤污染风险管控标准》（试行）（GB36600-2018）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0" w:type="pct"/>
            <w:vMerge w:val="continue"/>
            <w:noWrap w:val="0"/>
            <w:vAlign w:val="center"/>
          </w:tcPr>
          <w:p>
            <w:pPr>
              <w:pStyle w:val="35"/>
              <w:spacing w:line="290" w:lineRule="exact"/>
              <w:rPr>
                <w:szCs w:val="21"/>
              </w:rPr>
            </w:pPr>
          </w:p>
        </w:tc>
        <w:tc>
          <w:tcPr>
            <w:tcW w:w="1004" w:type="pct"/>
            <w:vMerge w:val="continue"/>
            <w:noWrap w:val="0"/>
            <w:vAlign w:val="center"/>
          </w:tcPr>
          <w:p>
            <w:pPr>
              <w:pStyle w:val="35"/>
              <w:spacing w:line="290" w:lineRule="exact"/>
              <w:rPr>
                <w:szCs w:val="21"/>
              </w:rPr>
            </w:pPr>
          </w:p>
        </w:tc>
        <w:tc>
          <w:tcPr>
            <w:tcW w:w="1777" w:type="pct"/>
            <w:noWrap w:val="0"/>
            <w:vAlign w:val="center"/>
          </w:tcPr>
          <w:p>
            <w:pPr>
              <w:pStyle w:val="35"/>
              <w:spacing w:line="290" w:lineRule="exact"/>
              <w:rPr>
                <w:szCs w:val="21"/>
              </w:rPr>
            </w:pPr>
            <w:r>
              <w:rPr>
                <w:rFonts w:hint="eastAsia"/>
                <w:szCs w:val="21"/>
              </w:rPr>
              <w:t>筛选值 第一类用地</w:t>
            </w:r>
          </w:p>
        </w:tc>
        <w:tc>
          <w:tcPr>
            <w:tcW w:w="1619" w:type="pct"/>
            <w:noWrap w:val="0"/>
            <w:vAlign w:val="center"/>
          </w:tcPr>
          <w:p>
            <w:pPr>
              <w:pStyle w:val="35"/>
              <w:spacing w:line="290" w:lineRule="exact"/>
              <w:rPr>
                <w:szCs w:val="21"/>
              </w:rPr>
            </w:pPr>
            <w:r>
              <w:rPr>
                <w:rFonts w:hint="eastAsia"/>
                <w:szCs w:val="21"/>
              </w:rPr>
              <w:t>筛选值 第二类用地</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4"/>
            <w:noWrap w:val="0"/>
            <w:vAlign w:val="center"/>
          </w:tcPr>
          <w:p>
            <w:pPr>
              <w:pStyle w:val="35"/>
              <w:spacing w:line="290" w:lineRule="exact"/>
              <w:rPr>
                <w:szCs w:val="21"/>
              </w:rPr>
            </w:pPr>
            <w:r>
              <w:rPr>
                <w:rFonts w:hint="eastAsia"/>
                <w:szCs w:val="21"/>
              </w:rPr>
              <w:t>重金属和无机物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w:t>
            </w:r>
          </w:p>
        </w:tc>
        <w:tc>
          <w:tcPr>
            <w:tcW w:w="1004" w:type="pct"/>
            <w:noWrap w:val="0"/>
            <w:vAlign w:val="center"/>
          </w:tcPr>
          <w:p>
            <w:pPr>
              <w:pStyle w:val="35"/>
              <w:spacing w:line="290" w:lineRule="exact"/>
              <w:rPr>
                <w:szCs w:val="21"/>
              </w:rPr>
            </w:pPr>
            <w:r>
              <w:rPr>
                <w:rFonts w:hint="eastAsia"/>
                <w:szCs w:val="21"/>
              </w:rPr>
              <w:t>砷</w:t>
            </w:r>
          </w:p>
        </w:tc>
        <w:tc>
          <w:tcPr>
            <w:tcW w:w="1777" w:type="pct"/>
            <w:noWrap w:val="0"/>
            <w:vAlign w:val="center"/>
          </w:tcPr>
          <w:p>
            <w:pPr>
              <w:pStyle w:val="35"/>
              <w:spacing w:line="290" w:lineRule="exact"/>
              <w:rPr>
                <w:szCs w:val="21"/>
              </w:rPr>
            </w:pPr>
            <w:r>
              <w:rPr>
                <w:szCs w:val="21"/>
              </w:rPr>
              <w:t>20</w:t>
            </w:r>
          </w:p>
        </w:tc>
        <w:tc>
          <w:tcPr>
            <w:tcW w:w="1619" w:type="pct"/>
            <w:noWrap w:val="0"/>
            <w:vAlign w:val="center"/>
          </w:tcPr>
          <w:p>
            <w:pPr>
              <w:pStyle w:val="35"/>
              <w:spacing w:line="290" w:lineRule="exact"/>
              <w:rPr>
                <w:szCs w:val="21"/>
              </w:rPr>
            </w:pPr>
            <w:r>
              <w:rPr>
                <w:szCs w:val="21"/>
              </w:rPr>
              <w:t>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w:t>
            </w:r>
          </w:p>
        </w:tc>
        <w:tc>
          <w:tcPr>
            <w:tcW w:w="1004" w:type="pct"/>
            <w:noWrap w:val="0"/>
            <w:vAlign w:val="center"/>
          </w:tcPr>
          <w:p>
            <w:pPr>
              <w:pStyle w:val="35"/>
              <w:spacing w:line="290" w:lineRule="exact"/>
              <w:rPr>
                <w:szCs w:val="21"/>
              </w:rPr>
            </w:pPr>
            <w:r>
              <w:rPr>
                <w:rFonts w:hint="eastAsia"/>
                <w:szCs w:val="21"/>
              </w:rPr>
              <w:t>镉</w:t>
            </w:r>
          </w:p>
        </w:tc>
        <w:tc>
          <w:tcPr>
            <w:tcW w:w="1777" w:type="pct"/>
            <w:noWrap w:val="0"/>
            <w:vAlign w:val="center"/>
          </w:tcPr>
          <w:p>
            <w:pPr>
              <w:pStyle w:val="35"/>
              <w:spacing w:line="290" w:lineRule="exact"/>
              <w:rPr>
                <w:szCs w:val="21"/>
              </w:rPr>
            </w:pPr>
            <w:r>
              <w:rPr>
                <w:szCs w:val="21"/>
              </w:rPr>
              <w:t>20</w:t>
            </w:r>
          </w:p>
        </w:tc>
        <w:tc>
          <w:tcPr>
            <w:tcW w:w="1619" w:type="pct"/>
            <w:noWrap w:val="0"/>
            <w:vAlign w:val="center"/>
          </w:tcPr>
          <w:p>
            <w:pPr>
              <w:pStyle w:val="35"/>
              <w:spacing w:line="290" w:lineRule="exact"/>
              <w:rPr>
                <w:szCs w:val="21"/>
              </w:rPr>
            </w:pPr>
            <w:r>
              <w:rPr>
                <w:rFonts w:hint="eastAsia"/>
                <w:szCs w:val="21"/>
              </w:rPr>
              <w:t>65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w:t>
            </w:r>
          </w:p>
        </w:tc>
        <w:tc>
          <w:tcPr>
            <w:tcW w:w="1004" w:type="pct"/>
            <w:noWrap w:val="0"/>
            <w:vAlign w:val="center"/>
          </w:tcPr>
          <w:p>
            <w:pPr>
              <w:pStyle w:val="35"/>
              <w:spacing w:line="290" w:lineRule="exact"/>
              <w:rPr>
                <w:szCs w:val="21"/>
              </w:rPr>
            </w:pPr>
            <w:r>
              <w:rPr>
                <w:rFonts w:hint="eastAsia"/>
                <w:szCs w:val="21"/>
              </w:rPr>
              <w:t>铬（六价）</w:t>
            </w:r>
          </w:p>
        </w:tc>
        <w:tc>
          <w:tcPr>
            <w:tcW w:w="1777" w:type="pct"/>
            <w:noWrap w:val="0"/>
            <w:vAlign w:val="center"/>
          </w:tcPr>
          <w:p>
            <w:pPr>
              <w:pStyle w:val="35"/>
              <w:spacing w:line="290" w:lineRule="exact"/>
              <w:rPr>
                <w:szCs w:val="21"/>
              </w:rPr>
            </w:pPr>
            <w:r>
              <w:rPr>
                <w:szCs w:val="21"/>
              </w:rPr>
              <w:t>3.0</w:t>
            </w:r>
          </w:p>
        </w:tc>
        <w:tc>
          <w:tcPr>
            <w:tcW w:w="1619" w:type="pct"/>
            <w:noWrap w:val="0"/>
            <w:vAlign w:val="center"/>
          </w:tcPr>
          <w:p>
            <w:pPr>
              <w:pStyle w:val="35"/>
              <w:spacing w:line="290" w:lineRule="exact"/>
              <w:rPr>
                <w:szCs w:val="21"/>
              </w:rPr>
            </w:pPr>
            <w:r>
              <w:rPr>
                <w:rFonts w:hint="eastAsia"/>
                <w:szCs w:val="21"/>
              </w:rPr>
              <w:t>5.7</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w:t>
            </w:r>
          </w:p>
        </w:tc>
        <w:tc>
          <w:tcPr>
            <w:tcW w:w="1004" w:type="pct"/>
            <w:noWrap w:val="0"/>
            <w:vAlign w:val="center"/>
          </w:tcPr>
          <w:p>
            <w:pPr>
              <w:pStyle w:val="35"/>
              <w:spacing w:line="290" w:lineRule="exact"/>
              <w:rPr>
                <w:szCs w:val="21"/>
              </w:rPr>
            </w:pPr>
            <w:r>
              <w:rPr>
                <w:rFonts w:hint="eastAsia"/>
                <w:szCs w:val="21"/>
              </w:rPr>
              <w:t>铜</w:t>
            </w:r>
          </w:p>
        </w:tc>
        <w:tc>
          <w:tcPr>
            <w:tcW w:w="1777" w:type="pct"/>
            <w:noWrap w:val="0"/>
            <w:vAlign w:val="center"/>
          </w:tcPr>
          <w:p>
            <w:pPr>
              <w:pStyle w:val="35"/>
              <w:spacing w:line="290" w:lineRule="exact"/>
              <w:rPr>
                <w:szCs w:val="21"/>
              </w:rPr>
            </w:pPr>
            <w:r>
              <w:rPr>
                <w:szCs w:val="21"/>
              </w:rPr>
              <w:t>2000</w:t>
            </w:r>
          </w:p>
        </w:tc>
        <w:tc>
          <w:tcPr>
            <w:tcW w:w="1619" w:type="pct"/>
            <w:noWrap w:val="0"/>
            <w:vAlign w:val="center"/>
          </w:tcPr>
          <w:p>
            <w:pPr>
              <w:pStyle w:val="35"/>
              <w:spacing w:line="290" w:lineRule="exact"/>
              <w:rPr>
                <w:szCs w:val="21"/>
              </w:rPr>
            </w:pPr>
            <w:r>
              <w:rPr>
                <w:rFonts w:hint="eastAsia"/>
                <w:szCs w:val="21"/>
              </w:rPr>
              <w:t>18000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5</w:t>
            </w:r>
          </w:p>
        </w:tc>
        <w:tc>
          <w:tcPr>
            <w:tcW w:w="1004" w:type="pct"/>
            <w:noWrap w:val="0"/>
            <w:vAlign w:val="center"/>
          </w:tcPr>
          <w:p>
            <w:pPr>
              <w:pStyle w:val="35"/>
              <w:spacing w:line="290" w:lineRule="exact"/>
              <w:rPr>
                <w:szCs w:val="21"/>
              </w:rPr>
            </w:pPr>
            <w:r>
              <w:rPr>
                <w:rFonts w:hint="eastAsia"/>
                <w:szCs w:val="21"/>
              </w:rPr>
              <w:t>铅</w:t>
            </w:r>
          </w:p>
        </w:tc>
        <w:tc>
          <w:tcPr>
            <w:tcW w:w="1777" w:type="pct"/>
            <w:noWrap w:val="0"/>
            <w:vAlign w:val="center"/>
          </w:tcPr>
          <w:p>
            <w:pPr>
              <w:pStyle w:val="35"/>
              <w:spacing w:line="290" w:lineRule="exact"/>
              <w:rPr>
                <w:szCs w:val="21"/>
              </w:rPr>
            </w:pPr>
            <w:r>
              <w:rPr>
                <w:szCs w:val="21"/>
              </w:rPr>
              <w:t>400</w:t>
            </w:r>
          </w:p>
        </w:tc>
        <w:tc>
          <w:tcPr>
            <w:tcW w:w="1619" w:type="pct"/>
            <w:noWrap w:val="0"/>
            <w:vAlign w:val="center"/>
          </w:tcPr>
          <w:p>
            <w:pPr>
              <w:pStyle w:val="35"/>
              <w:spacing w:line="290" w:lineRule="exact"/>
              <w:rPr>
                <w:szCs w:val="21"/>
              </w:rPr>
            </w:pPr>
            <w:r>
              <w:rPr>
                <w:rFonts w:hint="eastAsia"/>
                <w:szCs w:val="21"/>
              </w:rPr>
              <w:t>800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6</w:t>
            </w:r>
          </w:p>
        </w:tc>
        <w:tc>
          <w:tcPr>
            <w:tcW w:w="1004" w:type="pct"/>
            <w:noWrap w:val="0"/>
            <w:vAlign w:val="center"/>
          </w:tcPr>
          <w:p>
            <w:pPr>
              <w:pStyle w:val="35"/>
              <w:spacing w:line="290" w:lineRule="exact"/>
              <w:rPr>
                <w:szCs w:val="21"/>
              </w:rPr>
            </w:pPr>
            <w:r>
              <w:rPr>
                <w:rFonts w:hint="eastAsia"/>
                <w:szCs w:val="21"/>
              </w:rPr>
              <w:t>汞</w:t>
            </w:r>
          </w:p>
        </w:tc>
        <w:tc>
          <w:tcPr>
            <w:tcW w:w="1777" w:type="pct"/>
            <w:noWrap w:val="0"/>
            <w:vAlign w:val="center"/>
          </w:tcPr>
          <w:p>
            <w:pPr>
              <w:pStyle w:val="35"/>
              <w:spacing w:line="290" w:lineRule="exact"/>
              <w:rPr>
                <w:szCs w:val="21"/>
              </w:rPr>
            </w:pPr>
            <w:r>
              <w:rPr>
                <w:szCs w:val="21"/>
              </w:rPr>
              <w:t>80</w:t>
            </w:r>
          </w:p>
        </w:tc>
        <w:tc>
          <w:tcPr>
            <w:tcW w:w="1619" w:type="pct"/>
            <w:noWrap w:val="0"/>
            <w:vAlign w:val="center"/>
          </w:tcPr>
          <w:p>
            <w:pPr>
              <w:pStyle w:val="35"/>
              <w:spacing w:line="290" w:lineRule="exact"/>
              <w:rPr>
                <w:szCs w:val="21"/>
              </w:rPr>
            </w:pPr>
            <w:r>
              <w:rPr>
                <w:rFonts w:hint="eastAsia"/>
                <w:szCs w:val="21"/>
              </w:rPr>
              <w:t>38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7</w:t>
            </w:r>
          </w:p>
        </w:tc>
        <w:tc>
          <w:tcPr>
            <w:tcW w:w="1004" w:type="pct"/>
            <w:noWrap w:val="0"/>
            <w:vAlign w:val="center"/>
          </w:tcPr>
          <w:p>
            <w:pPr>
              <w:pStyle w:val="35"/>
              <w:spacing w:line="290" w:lineRule="exact"/>
              <w:rPr>
                <w:szCs w:val="21"/>
              </w:rPr>
            </w:pPr>
            <w:r>
              <w:rPr>
                <w:rFonts w:hint="eastAsia"/>
                <w:szCs w:val="21"/>
              </w:rPr>
              <w:t>镍</w:t>
            </w:r>
          </w:p>
        </w:tc>
        <w:tc>
          <w:tcPr>
            <w:tcW w:w="1777" w:type="pct"/>
            <w:noWrap w:val="0"/>
            <w:vAlign w:val="center"/>
          </w:tcPr>
          <w:p>
            <w:pPr>
              <w:pStyle w:val="35"/>
              <w:spacing w:line="290" w:lineRule="exact"/>
              <w:rPr>
                <w:szCs w:val="21"/>
              </w:rPr>
            </w:pPr>
            <w:r>
              <w:rPr>
                <w:szCs w:val="21"/>
              </w:rPr>
              <w:t>150</w:t>
            </w:r>
          </w:p>
        </w:tc>
        <w:tc>
          <w:tcPr>
            <w:tcW w:w="1619" w:type="pct"/>
            <w:noWrap w:val="0"/>
            <w:vAlign w:val="center"/>
          </w:tcPr>
          <w:p>
            <w:pPr>
              <w:pStyle w:val="35"/>
              <w:spacing w:line="290" w:lineRule="exact"/>
              <w:rPr>
                <w:szCs w:val="21"/>
              </w:rPr>
            </w:pPr>
            <w:r>
              <w:rPr>
                <w:rFonts w:hint="eastAsia"/>
                <w:szCs w:val="21"/>
              </w:rPr>
              <w:t>900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4"/>
            <w:noWrap w:val="0"/>
            <w:vAlign w:val="center"/>
          </w:tcPr>
          <w:p>
            <w:pPr>
              <w:pStyle w:val="35"/>
              <w:spacing w:line="290" w:lineRule="exact"/>
              <w:rPr>
                <w:szCs w:val="21"/>
              </w:rPr>
            </w:pPr>
            <w:r>
              <w:rPr>
                <w:rFonts w:hint="eastAsia"/>
                <w:szCs w:val="21"/>
              </w:rPr>
              <w:t>挥发性有机物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8</w:t>
            </w:r>
          </w:p>
        </w:tc>
        <w:tc>
          <w:tcPr>
            <w:tcW w:w="1004" w:type="pct"/>
            <w:noWrap w:val="0"/>
            <w:vAlign w:val="center"/>
          </w:tcPr>
          <w:p>
            <w:pPr>
              <w:pStyle w:val="35"/>
              <w:spacing w:line="290" w:lineRule="exact"/>
              <w:rPr>
                <w:szCs w:val="21"/>
              </w:rPr>
            </w:pPr>
            <w:r>
              <w:rPr>
                <w:rFonts w:hint="eastAsia"/>
                <w:szCs w:val="21"/>
              </w:rPr>
              <w:t>四氯化碳</w:t>
            </w:r>
          </w:p>
        </w:tc>
        <w:tc>
          <w:tcPr>
            <w:tcW w:w="1777" w:type="pct"/>
            <w:noWrap w:val="0"/>
            <w:vAlign w:val="center"/>
          </w:tcPr>
          <w:p>
            <w:pPr>
              <w:pStyle w:val="35"/>
              <w:spacing w:line="290" w:lineRule="exact"/>
              <w:rPr>
                <w:szCs w:val="21"/>
              </w:rPr>
            </w:pPr>
            <w:r>
              <w:rPr>
                <w:szCs w:val="21"/>
              </w:rPr>
              <w:t>0.9</w:t>
            </w:r>
          </w:p>
        </w:tc>
        <w:tc>
          <w:tcPr>
            <w:tcW w:w="1619" w:type="pct"/>
            <w:noWrap w:val="0"/>
            <w:vAlign w:val="center"/>
          </w:tcPr>
          <w:p>
            <w:pPr>
              <w:pStyle w:val="35"/>
              <w:spacing w:line="290" w:lineRule="exact"/>
              <w:rPr>
                <w:szCs w:val="21"/>
              </w:rPr>
            </w:pPr>
            <w:r>
              <w:rPr>
                <w:rFonts w:hint="eastAsia"/>
                <w:szCs w:val="21"/>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9</w:t>
            </w:r>
          </w:p>
        </w:tc>
        <w:tc>
          <w:tcPr>
            <w:tcW w:w="1004" w:type="pct"/>
            <w:noWrap w:val="0"/>
            <w:vAlign w:val="center"/>
          </w:tcPr>
          <w:p>
            <w:pPr>
              <w:pStyle w:val="35"/>
              <w:spacing w:line="290" w:lineRule="exact"/>
              <w:rPr>
                <w:szCs w:val="21"/>
              </w:rPr>
            </w:pPr>
            <w:r>
              <w:rPr>
                <w:rFonts w:hint="eastAsia"/>
                <w:szCs w:val="21"/>
              </w:rPr>
              <w:t>氯仿</w:t>
            </w:r>
          </w:p>
        </w:tc>
        <w:tc>
          <w:tcPr>
            <w:tcW w:w="1777" w:type="pct"/>
            <w:noWrap w:val="0"/>
            <w:vAlign w:val="center"/>
          </w:tcPr>
          <w:p>
            <w:pPr>
              <w:pStyle w:val="35"/>
              <w:spacing w:line="290" w:lineRule="exact"/>
              <w:rPr>
                <w:szCs w:val="21"/>
              </w:rPr>
            </w:pPr>
            <w:r>
              <w:rPr>
                <w:szCs w:val="21"/>
              </w:rPr>
              <w:t>0.3</w:t>
            </w:r>
          </w:p>
        </w:tc>
        <w:tc>
          <w:tcPr>
            <w:tcW w:w="1619" w:type="pct"/>
            <w:noWrap w:val="0"/>
            <w:vAlign w:val="center"/>
          </w:tcPr>
          <w:p>
            <w:pPr>
              <w:pStyle w:val="35"/>
              <w:spacing w:line="290" w:lineRule="exact"/>
              <w:rPr>
                <w:szCs w:val="21"/>
              </w:rPr>
            </w:pPr>
            <w:r>
              <w:rPr>
                <w:rFonts w:hint="eastAsia"/>
                <w:szCs w:val="21"/>
              </w:rPr>
              <w:t>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10</w:t>
            </w:r>
          </w:p>
        </w:tc>
        <w:tc>
          <w:tcPr>
            <w:tcW w:w="1004" w:type="pct"/>
            <w:noWrap w:val="0"/>
            <w:vAlign w:val="center"/>
          </w:tcPr>
          <w:p>
            <w:pPr>
              <w:pStyle w:val="35"/>
              <w:spacing w:line="290" w:lineRule="exact"/>
              <w:rPr>
                <w:szCs w:val="21"/>
              </w:rPr>
            </w:pPr>
            <w:r>
              <w:rPr>
                <w:rFonts w:hint="eastAsia"/>
                <w:szCs w:val="21"/>
              </w:rPr>
              <w:t>氯甲烷</w:t>
            </w:r>
          </w:p>
        </w:tc>
        <w:tc>
          <w:tcPr>
            <w:tcW w:w="1777" w:type="pct"/>
            <w:noWrap w:val="0"/>
            <w:vAlign w:val="center"/>
          </w:tcPr>
          <w:p>
            <w:pPr>
              <w:pStyle w:val="35"/>
              <w:spacing w:line="290" w:lineRule="exact"/>
              <w:rPr>
                <w:szCs w:val="21"/>
              </w:rPr>
            </w:pPr>
            <w:r>
              <w:rPr>
                <w:szCs w:val="21"/>
              </w:rPr>
              <w:t>12</w:t>
            </w:r>
          </w:p>
        </w:tc>
        <w:tc>
          <w:tcPr>
            <w:tcW w:w="1619" w:type="pct"/>
            <w:noWrap w:val="0"/>
            <w:vAlign w:val="center"/>
          </w:tcPr>
          <w:p>
            <w:pPr>
              <w:pStyle w:val="35"/>
              <w:spacing w:line="290" w:lineRule="exact"/>
              <w:rPr>
                <w:szCs w:val="21"/>
              </w:rPr>
            </w:pPr>
            <w:r>
              <w:rPr>
                <w:rFonts w:hint="eastAsia"/>
                <w:szCs w:val="21"/>
              </w:rPr>
              <w:t>37</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11</w:t>
            </w:r>
          </w:p>
        </w:tc>
        <w:tc>
          <w:tcPr>
            <w:tcW w:w="1004" w:type="pct"/>
            <w:noWrap w:val="0"/>
            <w:vAlign w:val="center"/>
          </w:tcPr>
          <w:p>
            <w:pPr>
              <w:pStyle w:val="35"/>
              <w:spacing w:line="290" w:lineRule="exact"/>
              <w:rPr>
                <w:szCs w:val="21"/>
              </w:rPr>
            </w:pPr>
            <w:r>
              <w:rPr>
                <w:rFonts w:hint="eastAsia"/>
                <w:szCs w:val="21"/>
              </w:rPr>
              <w:t>1,1-二氯乙烷</w:t>
            </w:r>
          </w:p>
        </w:tc>
        <w:tc>
          <w:tcPr>
            <w:tcW w:w="1777" w:type="pct"/>
            <w:noWrap w:val="0"/>
            <w:vAlign w:val="center"/>
          </w:tcPr>
          <w:p>
            <w:pPr>
              <w:pStyle w:val="35"/>
              <w:spacing w:line="290" w:lineRule="exact"/>
              <w:rPr>
                <w:szCs w:val="21"/>
              </w:rPr>
            </w:pPr>
            <w:r>
              <w:rPr>
                <w:szCs w:val="21"/>
              </w:rPr>
              <w:t>3</w:t>
            </w:r>
          </w:p>
        </w:tc>
        <w:tc>
          <w:tcPr>
            <w:tcW w:w="1619" w:type="pct"/>
            <w:noWrap w:val="0"/>
            <w:vAlign w:val="center"/>
          </w:tcPr>
          <w:p>
            <w:pPr>
              <w:pStyle w:val="35"/>
              <w:spacing w:line="290" w:lineRule="exact"/>
              <w:rPr>
                <w:szCs w:val="21"/>
              </w:rPr>
            </w:pPr>
            <w:r>
              <w:rPr>
                <w:rFonts w:hint="eastAsia"/>
                <w:szCs w:val="21"/>
              </w:rPr>
              <w:t>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12</w:t>
            </w:r>
          </w:p>
        </w:tc>
        <w:tc>
          <w:tcPr>
            <w:tcW w:w="1004" w:type="pct"/>
            <w:noWrap w:val="0"/>
            <w:vAlign w:val="center"/>
          </w:tcPr>
          <w:p>
            <w:pPr>
              <w:pStyle w:val="35"/>
              <w:spacing w:line="290" w:lineRule="exact"/>
              <w:rPr>
                <w:szCs w:val="21"/>
              </w:rPr>
            </w:pPr>
            <w:r>
              <w:rPr>
                <w:rFonts w:hint="eastAsia"/>
                <w:szCs w:val="21"/>
              </w:rPr>
              <w:t>1,2-二氯乙烷</w:t>
            </w:r>
          </w:p>
        </w:tc>
        <w:tc>
          <w:tcPr>
            <w:tcW w:w="1777" w:type="pct"/>
            <w:noWrap w:val="0"/>
            <w:vAlign w:val="center"/>
          </w:tcPr>
          <w:p>
            <w:pPr>
              <w:pStyle w:val="35"/>
              <w:spacing w:line="290" w:lineRule="exact"/>
              <w:rPr>
                <w:szCs w:val="21"/>
              </w:rPr>
            </w:pPr>
            <w:r>
              <w:rPr>
                <w:szCs w:val="21"/>
              </w:rPr>
              <w:t>0.52</w:t>
            </w:r>
          </w:p>
        </w:tc>
        <w:tc>
          <w:tcPr>
            <w:tcW w:w="1619" w:type="pct"/>
            <w:noWrap w:val="0"/>
            <w:vAlign w:val="center"/>
          </w:tcPr>
          <w:p>
            <w:pPr>
              <w:pStyle w:val="35"/>
              <w:spacing w:line="290" w:lineRule="exact"/>
              <w:rPr>
                <w:szCs w:val="21"/>
              </w:rPr>
            </w:pPr>
            <w:r>
              <w:rPr>
                <w:rFonts w:hint="eastAsia"/>
                <w:szCs w:val="21"/>
              </w:rPr>
              <w:t>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13</w:t>
            </w:r>
          </w:p>
        </w:tc>
        <w:tc>
          <w:tcPr>
            <w:tcW w:w="1004" w:type="pct"/>
            <w:noWrap w:val="0"/>
            <w:vAlign w:val="center"/>
          </w:tcPr>
          <w:p>
            <w:pPr>
              <w:pStyle w:val="35"/>
              <w:spacing w:line="290" w:lineRule="exact"/>
              <w:rPr>
                <w:szCs w:val="21"/>
              </w:rPr>
            </w:pPr>
            <w:r>
              <w:rPr>
                <w:rFonts w:hint="eastAsia"/>
                <w:szCs w:val="21"/>
              </w:rPr>
              <w:t>1,1-二氯乙烯</w:t>
            </w:r>
          </w:p>
        </w:tc>
        <w:tc>
          <w:tcPr>
            <w:tcW w:w="1777" w:type="pct"/>
            <w:noWrap w:val="0"/>
            <w:vAlign w:val="center"/>
          </w:tcPr>
          <w:p>
            <w:pPr>
              <w:pStyle w:val="35"/>
              <w:spacing w:line="290" w:lineRule="exact"/>
              <w:rPr>
                <w:szCs w:val="21"/>
              </w:rPr>
            </w:pPr>
            <w:r>
              <w:rPr>
                <w:szCs w:val="21"/>
              </w:rPr>
              <w:t>12</w:t>
            </w:r>
          </w:p>
        </w:tc>
        <w:tc>
          <w:tcPr>
            <w:tcW w:w="1619" w:type="pct"/>
            <w:noWrap w:val="0"/>
            <w:vAlign w:val="center"/>
          </w:tcPr>
          <w:p>
            <w:pPr>
              <w:pStyle w:val="35"/>
              <w:spacing w:line="290" w:lineRule="exact"/>
              <w:rPr>
                <w:szCs w:val="21"/>
              </w:rPr>
            </w:pPr>
            <w:r>
              <w:rPr>
                <w:rFonts w:hint="eastAsia"/>
                <w:szCs w:val="21"/>
              </w:rPr>
              <w:t>66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14</w:t>
            </w:r>
          </w:p>
        </w:tc>
        <w:tc>
          <w:tcPr>
            <w:tcW w:w="1004" w:type="pct"/>
            <w:noWrap w:val="0"/>
            <w:vAlign w:val="center"/>
          </w:tcPr>
          <w:p>
            <w:pPr>
              <w:pStyle w:val="35"/>
              <w:spacing w:line="290" w:lineRule="exact"/>
              <w:rPr>
                <w:szCs w:val="21"/>
              </w:rPr>
            </w:pPr>
            <w:r>
              <w:rPr>
                <w:rFonts w:hint="eastAsia"/>
                <w:szCs w:val="21"/>
              </w:rPr>
              <w:t>顺-1,2-二氯乙烯</w:t>
            </w:r>
          </w:p>
        </w:tc>
        <w:tc>
          <w:tcPr>
            <w:tcW w:w="1777" w:type="pct"/>
            <w:noWrap w:val="0"/>
            <w:vAlign w:val="center"/>
          </w:tcPr>
          <w:p>
            <w:pPr>
              <w:pStyle w:val="35"/>
              <w:spacing w:line="290" w:lineRule="exact"/>
              <w:rPr>
                <w:szCs w:val="21"/>
              </w:rPr>
            </w:pPr>
            <w:r>
              <w:rPr>
                <w:szCs w:val="21"/>
              </w:rPr>
              <w:t>66</w:t>
            </w:r>
          </w:p>
        </w:tc>
        <w:tc>
          <w:tcPr>
            <w:tcW w:w="1619" w:type="pct"/>
            <w:noWrap w:val="0"/>
            <w:vAlign w:val="center"/>
          </w:tcPr>
          <w:p>
            <w:pPr>
              <w:pStyle w:val="35"/>
              <w:spacing w:line="290" w:lineRule="exact"/>
              <w:rPr>
                <w:szCs w:val="21"/>
              </w:rPr>
            </w:pPr>
            <w:r>
              <w:rPr>
                <w:rFonts w:hint="eastAsia"/>
                <w:szCs w:val="21"/>
              </w:rPr>
              <w:t>596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15</w:t>
            </w:r>
          </w:p>
        </w:tc>
        <w:tc>
          <w:tcPr>
            <w:tcW w:w="1004" w:type="pct"/>
            <w:noWrap w:val="0"/>
            <w:vAlign w:val="center"/>
          </w:tcPr>
          <w:p>
            <w:pPr>
              <w:pStyle w:val="35"/>
              <w:spacing w:line="290" w:lineRule="exact"/>
              <w:rPr>
                <w:szCs w:val="21"/>
              </w:rPr>
            </w:pPr>
            <w:r>
              <w:rPr>
                <w:rFonts w:hint="eastAsia"/>
                <w:szCs w:val="21"/>
              </w:rPr>
              <w:t>反-1,2-二氯乙烯</w:t>
            </w:r>
          </w:p>
        </w:tc>
        <w:tc>
          <w:tcPr>
            <w:tcW w:w="1777" w:type="pct"/>
            <w:noWrap w:val="0"/>
            <w:vAlign w:val="center"/>
          </w:tcPr>
          <w:p>
            <w:pPr>
              <w:pStyle w:val="35"/>
              <w:spacing w:line="290" w:lineRule="exact"/>
              <w:rPr>
                <w:szCs w:val="21"/>
              </w:rPr>
            </w:pPr>
            <w:r>
              <w:rPr>
                <w:szCs w:val="21"/>
              </w:rPr>
              <w:t>10</w:t>
            </w:r>
          </w:p>
        </w:tc>
        <w:tc>
          <w:tcPr>
            <w:tcW w:w="1619" w:type="pct"/>
            <w:noWrap w:val="0"/>
            <w:vAlign w:val="center"/>
          </w:tcPr>
          <w:p>
            <w:pPr>
              <w:pStyle w:val="35"/>
              <w:spacing w:line="290" w:lineRule="exact"/>
              <w:rPr>
                <w:szCs w:val="21"/>
              </w:rPr>
            </w:pPr>
            <w:r>
              <w:rPr>
                <w:rFonts w:hint="eastAsia"/>
                <w:szCs w:val="21"/>
              </w:rPr>
              <w:t>54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16</w:t>
            </w:r>
          </w:p>
        </w:tc>
        <w:tc>
          <w:tcPr>
            <w:tcW w:w="1004" w:type="pct"/>
            <w:noWrap w:val="0"/>
            <w:vAlign w:val="center"/>
          </w:tcPr>
          <w:p>
            <w:pPr>
              <w:pStyle w:val="35"/>
              <w:spacing w:line="290" w:lineRule="exact"/>
              <w:rPr>
                <w:szCs w:val="21"/>
              </w:rPr>
            </w:pPr>
            <w:r>
              <w:rPr>
                <w:rFonts w:hint="eastAsia"/>
                <w:szCs w:val="21"/>
              </w:rPr>
              <w:t>二氯甲烷</w:t>
            </w:r>
          </w:p>
        </w:tc>
        <w:tc>
          <w:tcPr>
            <w:tcW w:w="1777" w:type="pct"/>
            <w:noWrap w:val="0"/>
            <w:vAlign w:val="center"/>
          </w:tcPr>
          <w:p>
            <w:pPr>
              <w:pStyle w:val="35"/>
              <w:spacing w:line="290" w:lineRule="exact"/>
              <w:rPr>
                <w:szCs w:val="21"/>
              </w:rPr>
            </w:pPr>
            <w:r>
              <w:rPr>
                <w:szCs w:val="21"/>
              </w:rPr>
              <w:t>94</w:t>
            </w:r>
          </w:p>
        </w:tc>
        <w:tc>
          <w:tcPr>
            <w:tcW w:w="1619" w:type="pct"/>
            <w:noWrap w:val="0"/>
            <w:vAlign w:val="center"/>
          </w:tcPr>
          <w:p>
            <w:pPr>
              <w:pStyle w:val="35"/>
              <w:spacing w:line="290" w:lineRule="exact"/>
              <w:rPr>
                <w:szCs w:val="21"/>
              </w:rPr>
            </w:pPr>
            <w:r>
              <w:rPr>
                <w:rFonts w:hint="eastAsia"/>
                <w:szCs w:val="21"/>
              </w:rPr>
              <w:t>616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17</w:t>
            </w:r>
          </w:p>
        </w:tc>
        <w:tc>
          <w:tcPr>
            <w:tcW w:w="1004" w:type="pct"/>
            <w:noWrap w:val="0"/>
            <w:vAlign w:val="center"/>
          </w:tcPr>
          <w:p>
            <w:pPr>
              <w:pStyle w:val="35"/>
              <w:spacing w:line="290" w:lineRule="exact"/>
              <w:rPr>
                <w:szCs w:val="21"/>
              </w:rPr>
            </w:pPr>
            <w:r>
              <w:rPr>
                <w:rFonts w:hint="eastAsia"/>
                <w:szCs w:val="21"/>
              </w:rPr>
              <w:t>1,2-二氯丙烷</w:t>
            </w:r>
          </w:p>
        </w:tc>
        <w:tc>
          <w:tcPr>
            <w:tcW w:w="1777" w:type="pct"/>
            <w:noWrap w:val="0"/>
            <w:vAlign w:val="center"/>
          </w:tcPr>
          <w:p>
            <w:pPr>
              <w:pStyle w:val="35"/>
              <w:spacing w:line="290" w:lineRule="exact"/>
              <w:rPr>
                <w:szCs w:val="21"/>
              </w:rPr>
            </w:pPr>
            <w:r>
              <w:rPr>
                <w:szCs w:val="21"/>
              </w:rPr>
              <w:t>1</w:t>
            </w:r>
          </w:p>
        </w:tc>
        <w:tc>
          <w:tcPr>
            <w:tcW w:w="1619" w:type="pct"/>
            <w:noWrap w:val="0"/>
            <w:vAlign w:val="center"/>
          </w:tcPr>
          <w:p>
            <w:pPr>
              <w:pStyle w:val="35"/>
              <w:spacing w:line="290" w:lineRule="exact"/>
              <w:rPr>
                <w:szCs w:val="21"/>
              </w:rPr>
            </w:pPr>
            <w:r>
              <w:rPr>
                <w:rFonts w:hint="eastAsia"/>
                <w:szCs w:val="21"/>
              </w:rPr>
              <w:t>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18</w:t>
            </w:r>
          </w:p>
        </w:tc>
        <w:tc>
          <w:tcPr>
            <w:tcW w:w="1004" w:type="pct"/>
            <w:noWrap w:val="0"/>
            <w:vAlign w:val="center"/>
          </w:tcPr>
          <w:p>
            <w:pPr>
              <w:pStyle w:val="35"/>
              <w:spacing w:line="290" w:lineRule="exact"/>
              <w:rPr>
                <w:szCs w:val="21"/>
              </w:rPr>
            </w:pPr>
            <w:r>
              <w:rPr>
                <w:rFonts w:hint="eastAsia"/>
                <w:szCs w:val="21"/>
              </w:rPr>
              <w:t>1,1,1,2-四氯乙烷</w:t>
            </w:r>
          </w:p>
        </w:tc>
        <w:tc>
          <w:tcPr>
            <w:tcW w:w="1777" w:type="pct"/>
            <w:noWrap w:val="0"/>
            <w:vAlign w:val="center"/>
          </w:tcPr>
          <w:p>
            <w:pPr>
              <w:pStyle w:val="35"/>
              <w:spacing w:line="290" w:lineRule="exact"/>
              <w:rPr>
                <w:szCs w:val="21"/>
              </w:rPr>
            </w:pPr>
            <w:r>
              <w:rPr>
                <w:szCs w:val="21"/>
              </w:rPr>
              <w:t>2.6</w:t>
            </w:r>
          </w:p>
        </w:tc>
        <w:tc>
          <w:tcPr>
            <w:tcW w:w="1619" w:type="pct"/>
            <w:noWrap w:val="0"/>
            <w:vAlign w:val="center"/>
          </w:tcPr>
          <w:p>
            <w:pPr>
              <w:pStyle w:val="35"/>
              <w:spacing w:line="290" w:lineRule="exact"/>
              <w:rPr>
                <w:szCs w:val="21"/>
              </w:rPr>
            </w:pPr>
            <w:r>
              <w:rPr>
                <w:rFonts w:hint="eastAsia"/>
                <w:szCs w:val="21"/>
              </w:rPr>
              <w:t>10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19</w:t>
            </w:r>
          </w:p>
        </w:tc>
        <w:tc>
          <w:tcPr>
            <w:tcW w:w="1004" w:type="pct"/>
            <w:noWrap w:val="0"/>
            <w:vAlign w:val="center"/>
          </w:tcPr>
          <w:p>
            <w:pPr>
              <w:pStyle w:val="35"/>
              <w:spacing w:line="290" w:lineRule="exact"/>
              <w:rPr>
                <w:szCs w:val="21"/>
              </w:rPr>
            </w:pPr>
            <w:r>
              <w:rPr>
                <w:rFonts w:hint="eastAsia"/>
                <w:szCs w:val="21"/>
              </w:rPr>
              <w:t>1,1,2,2-四氯乙烷</w:t>
            </w:r>
          </w:p>
        </w:tc>
        <w:tc>
          <w:tcPr>
            <w:tcW w:w="1777" w:type="pct"/>
            <w:noWrap w:val="0"/>
            <w:vAlign w:val="center"/>
          </w:tcPr>
          <w:p>
            <w:pPr>
              <w:pStyle w:val="35"/>
              <w:spacing w:line="290" w:lineRule="exact"/>
              <w:rPr>
                <w:szCs w:val="21"/>
              </w:rPr>
            </w:pPr>
            <w:r>
              <w:rPr>
                <w:szCs w:val="21"/>
              </w:rPr>
              <w:t>1.6</w:t>
            </w:r>
          </w:p>
        </w:tc>
        <w:tc>
          <w:tcPr>
            <w:tcW w:w="1619" w:type="pct"/>
            <w:noWrap w:val="0"/>
            <w:vAlign w:val="center"/>
          </w:tcPr>
          <w:p>
            <w:pPr>
              <w:pStyle w:val="35"/>
              <w:spacing w:line="290" w:lineRule="exact"/>
              <w:rPr>
                <w:szCs w:val="21"/>
              </w:rPr>
            </w:pPr>
            <w:r>
              <w:rPr>
                <w:rFonts w:hint="eastAsia"/>
                <w:szCs w:val="21"/>
              </w:rPr>
              <w:t>6.8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20</w:t>
            </w:r>
          </w:p>
        </w:tc>
        <w:tc>
          <w:tcPr>
            <w:tcW w:w="1004" w:type="pct"/>
            <w:noWrap w:val="0"/>
            <w:vAlign w:val="center"/>
          </w:tcPr>
          <w:p>
            <w:pPr>
              <w:pStyle w:val="35"/>
              <w:spacing w:line="290" w:lineRule="exact"/>
              <w:rPr>
                <w:szCs w:val="21"/>
              </w:rPr>
            </w:pPr>
            <w:r>
              <w:rPr>
                <w:rFonts w:hint="eastAsia"/>
                <w:szCs w:val="21"/>
              </w:rPr>
              <w:t>四氯乙烯</w:t>
            </w:r>
          </w:p>
        </w:tc>
        <w:tc>
          <w:tcPr>
            <w:tcW w:w="1777" w:type="pct"/>
            <w:noWrap w:val="0"/>
            <w:vAlign w:val="center"/>
          </w:tcPr>
          <w:p>
            <w:pPr>
              <w:pStyle w:val="35"/>
              <w:spacing w:line="290" w:lineRule="exact"/>
              <w:rPr>
                <w:szCs w:val="21"/>
              </w:rPr>
            </w:pPr>
            <w:r>
              <w:rPr>
                <w:szCs w:val="21"/>
              </w:rPr>
              <w:t>11</w:t>
            </w:r>
          </w:p>
        </w:tc>
        <w:tc>
          <w:tcPr>
            <w:tcW w:w="1619" w:type="pct"/>
            <w:noWrap w:val="0"/>
            <w:vAlign w:val="center"/>
          </w:tcPr>
          <w:p>
            <w:pPr>
              <w:pStyle w:val="35"/>
              <w:spacing w:line="290" w:lineRule="exact"/>
              <w:rPr>
                <w:szCs w:val="21"/>
              </w:rPr>
            </w:pPr>
            <w:r>
              <w:rPr>
                <w:rFonts w:hint="eastAsia"/>
                <w:szCs w:val="21"/>
              </w:rPr>
              <w:t>53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21</w:t>
            </w:r>
          </w:p>
        </w:tc>
        <w:tc>
          <w:tcPr>
            <w:tcW w:w="1004" w:type="pct"/>
            <w:noWrap w:val="0"/>
            <w:vAlign w:val="center"/>
          </w:tcPr>
          <w:p>
            <w:pPr>
              <w:pStyle w:val="35"/>
              <w:spacing w:line="290" w:lineRule="exact"/>
              <w:rPr>
                <w:szCs w:val="21"/>
              </w:rPr>
            </w:pPr>
            <w:r>
              <w:rPr>
                <w:rFonts w:hint="eastAsia"/>
                <w:szCs w:val="21"/>
              </w:rPr>
              <w:t>1,1,1-三氯乙烷</w:t>
            </w:r>
          </w:p>
        </w:tc>
        <w:tc>
          <w:tcPr>
            <w:tcW w:w="1777" w:type="pct"/>
            <w:noWrap w:val="0"/>
            <w:vAlign w:val="center"/>
          </w:tcPr>
          <w:p>
            <w:pPr>
              <w:pStyle w:val="35"/>
              <w:spacing w:line="290" w:lineRule="exact"/>
              <w:rPr>
                <w:szCs w:val="21"/>
              </w:rPr>
            </w:pPr>
            <w:r>
              <w:rPr>
                <w:szCs w:val="21"/>
              </w:rPr>
              <w:t>701</w:t>
            </w:r>
          </w:p>
        </w:tc>
        <w:tc>
          <w:tcPr>
            <w:tcW w:w="1619" w:type="pct"/>
            <w:noWrap w:val="0"/>
            <w:vAlign w:val="center"/>
          </w:tcPr>
          <w:p>
            <w:pPr>
              <w:pStyle w:val="35"/>
              <w:spacing w:line="290" w:lineRule="exact"/>
              <w:rPr>
                <w:szCs w:val="21"/>
              </w:rPr>
            </w:pPr>
            <w:r>
              <w:rPr>
                <w:rFonts w:hint="eastAsia"/>
                <w:szCs w:val="21"/>
              </w:rPr>
              <w:t>840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22</w:t>
            </w:r>
          </w:p>
        </w:tc>
        <w:tc>
          <w:tcPr>
            <w:tcW w:w="1004" w:type="pct"/>
            <w:noWrap w:val="0"/>
            <w:vAlign w:val="center"/>
          </w:tcPr>
          <w:p>
            <w:pPr>
              <w:pStyle w:val="35"/>
              <w:spacing w:line="290" w:lineRule="exact"/>
              <w:rPr>
                <w:szCs w:val="21"/>
              </w:rPr>
            </w:pPr>
            <w:r>
              <w:rPr>
                <w:rFonts w:hint="eastAsia"/>
                <w:szCs w:val="21"/>
              </w:rPr>
              <w:t>1,1,2-三氯乙烷</w:t>
            </w:r>
          </w:p>
        </w:tc>
        <w:tc>
          <w:tcPr>
            <w:tcW w:w="1777" w:type="pct"/>
            <w:noWrap w:val="0"/>
            <w:vAlign w:val="center"/>
          </w:tcPr>
          <w:p>
            <w:pPr>
              <w:pStyle w:val="35"/>
              <w:spacing w:line="290" w:lineRule="exact"/>
              <w:rPr>
                <w:szCs w:val="21"/>
              </w:rPr>
            </w:pPr>
            <w:r>
              <w:rPr>
                <w:szCs w:val="21"/>
              </w:rPr>
              <w:t>0.6</w:t>
            </w:r>
          </w:p>
        </w:tc>
        <w:tc>
          <w:tcPr>
            <w:tcW w:w="1619" w:type="pct"/>
            <w:noWrap w:val="0"/>
            <w:vAlign w:val="center"/>
          </w:tcPr>
          <w:p>
            <w:pPr>
              <w:pStyle w:val="35"/>
              <w:spacing w:line="290" w:lineRule="exact"/>
              <w:rPr>
                <w:szCs w:val="21"/>
              </w:rPr>
            </w:pPr>
            <w:r>
              <w:rPr>
                <w:rFonts w:hint="eastAsia"/>
                <w:szCs w:val="21"/>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23</w:t>
            </w:r>
          </w:p>
        </w:tc>
        <w:tc>
          <w:tcPr>
            <w:tcW w:w="1004" w:type="pct"/>
            <w:noWrap w:val="0"/>
            <w:vAlign w:val="center"/>
          </w:tcPr>
          <w:p>
            <w:pPr>
              <w:pStyle w:val="35"/>
              <w:spacing w:line="290" w:lineRule="exact"/>
              <w:rPr>
                <w:szCs w:val="21"/>
              </w:rPr>
            </w:pPr>
            <w:r>
              <w:rPr>
                <w:rFonts w:hint="eastAsia"/>
                <w:szCs w:val="21"/>
              </w:rPr>
              <w:t>三氯乙烯</w:t>
            </w:r>
          </w:p>
        </w:tc>
        <w:tc>
          <w:tcPr>
            <w:tcW w:w="1777" w:type="pct"/>
            <w:noWrap w:val="0"/>
            <w:vAlign w:val="center"/>
          </w:tcPr>
          <w:p>
            <w:pPr>
              <w:pStyle w:val="35"/>
              <w:spacing w:line="290" w:lineRule="exact"/>
              <w:rPr>
                <w:szCs w:val="21"/>
              </w:rPr>
            </w:pPr>
            <w:r>
              <w:rPr>
                <w:szCs w:val="21"/>
              </w:rPr>
              <w:t>0.7</w:t>
            </w:r>
          </w:p>
        </w:tc>
        <w:tc>
          <w:tcPr>
            <w:tcW w:w="1619" w:type="pct"/>
            <w:noWrap w:val="0"/>
            <w:vAlign w:val="center"/>
          </w:tcPr>
          <w:p>
            <w:pPr>
              <w:pStyle w:val="35"/>
              <w:spacing w:line="290" w:lineRule="exact"/>
              <w:rPr>
                <w:szCs w:val="21"/>
              </w:rPr>
            </w:pPr>
            <w:r>
              <w:rPr>
                <w:rFonts w:hint="eastAsia"/>
                <w:szCs w:val="21"/>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24</w:t>
            </w:r>
          </w:p>
        </w:tc>
        <w:tc>
          <w:tcPr>
            <w:tcW w:w="1004" w:type="pct"/>
            <w:noWrap w:val="0"/>
            <w:vAlign w:val="center"/>
          </w:tcPr>
          <w:p>
            <w:pPr>
              <w:pStyle w:val="35"/>
              <w:spacing w:line="290" w:lineRule="exact"/>
              <w:rPr>
                <w:szCs w:val="21"/>
              </w:rPr>
            </w:pPr>
            <w:r>
              <w:rPr>
                <w:rFonts w:hint="eastAsia"/>
                <w:szCs w:val="21"/>
              </w:rPr>
              <w:t>1,2,3-三氯丙烷</w:t>
            </w:r>
          </w:p>
        </w:tc>
        <w:tc>
          <w:tcPr>
            <w:tcW w:w="1777" w:type="pct"/>
            <w:noWrap w:val="0"/>
            <w:vAlign w:val="center"/>
          </w:tcPr>
          <w:p>
            <w:pPr>
              <w:pStyle w:val="35"/>
              <w:spacing w:line="290" w:lineRule="exact"/>
              <w:rPr>
                <w:szCs w:val="21"/>
              </w:rPr>
            </w:pPr>
            <w:r>
              <w:rPr>
                <w:szCs w:val="21"/>
              </w:rPr>
              <w:t>0.05</w:t>
            </w:r>
          </w:p>
        </w:tc>
        <w:tc>
          <w:tcPr>
            <w:tcW w:w="1619" w:type="pct"/>
            <w:noWrap w:val="0"/>
            <w:vAlign w:val="center"/>
          </w:tcPr>
          <w:p>
            <w:pPr>
              <w:pStyle w:val="35"/>
              <w:spacing w:line="290" w:lineRule="exact"/>
              <w:rPr>
                <w:szCs w:val="21"/>
              </w:rPr>
            </w:pPr>
            <w:r>
              <w:rPr>
                <w:rFonts w:hint="eastAsia"/>
                <w:szCs w:val="21"/>
              </w:rPr>
              <w:t>0.5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25</w:t>
            </w:r>
          </w:p>
        </w:tc>
        <w:tc>
          <w:tcPr>
            <w:tcW w:w="1004" w:type="pct"/>
            <w:noWrap w:val="0"/>
            <w:vAlign w:val="center"/>
          </w:tcPr>
          <w:p>
            <w:pPr>
              <w:pStyle w:val="35"/>
              <w:spacing w:line="290" w:lineRule="exact"/>
              <w:rPr>
                <w:szCs w:val="21"/>
              </w:rPr>
            </w:pPr>
            <w:r>
              <w:rPr>
                <w:rFonts w:hint="eastAsia"/>
                <w:szCs w:val="21"/>
              </w:rPr>
              <w:t>氯乙烯</w:t>
            </w:r>
          </w:p>
        </w:tc>
        <w:tc>
          <w:tcPr>
            <w:tcW w:w="1777" w:type="pct"/>
            <w:noWrap w:val="0"/>
            <w:vAlign w:val="center"/>
          </w:tcPr>
          <w:p>
            <w:pPr>
              <w:pStyle w:val="35"/>
              <w:spacing w:line="290" w:lineRule="exact"/>
              <w:rPr>
                <w:szCs w:val="21"/>
              </w:rPr>
            </w:pPr>
            <w:r>
              <w:rPr>
                <w:szCs w:val="21"/>
              </w:rPr>
              <w:t>0.12</w:t>
            </w:r>
          </w:p>
        </w:tc>
        <w:tc>
          <w:tcPr>
            <w:tcW w:w="1619" w:type="pct"/>
            <w:noWrap w:val="0"/>
            <w:vAlign w:val="center"/>
          </w:tcPr>
          <w:p>
            <w:pPr>
              <w:pStyle w:val="35"/>
              <w:spacing w:line="290" w:lineRule="exact"/>
              <w:rPr>
                <w:szCs w:val="21"/>
              </w:rPr>
            </w:pPr>
            <w:r>
              <w:rPr>
                <w:rFonts w:hint="eastAsia"/>
                <w:szCs w:val="21"/>
              </w:rPr>
              <w:t>0.43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26</w:t>
            </w:r>
          </w:p>
        </w:tc>
        <w:tc>
          <w:tcPr>
            <w:tcW w:w="1004" w:type="pct"/>
            <w:noWrap w:val="0"/>
            <w:vAlign w:val="center"/>
          </w:tcPr>
          <w:p>
            <w:pPr>
              <w:pStyle w:val="35"/>
              <w:spacing w:line="290" w:lineRule="exact"/>
              <w:rPr>
                <w:szCs w:val="21"/>
              </w:rPr>
            </w:pPr>
            <w:r>
              <w:rPr>
                <w:rFonts w:hint="eastAsia"/>
                <w:szCs w:val="21"/>
              </w:rPr>
              <w:t>苯</w:t>
            </w:r>
          </w:p>
        </w:tc>
        <w:tc>
          <w:tcPr>
            <w:tcW w:w="1777" w:type="pct"/>
            <w:noWrap w:val="0"/>
            <w:vAlign w:val="center"/>
          </w:tcPr>
          <w:p>
            <w:pPr>
              <w:pStyle w:val="35"/>
              <w:spacing w:line="290" w:lineRule="exact"/>
              <w:rPr>
                <w:szCs w:val="21"/>
              </w:rPr>
            </w:pPr>
            <w:r>
              <w:rPr>
                <w:szCs w:val="21"/>
              </w:rPr>
              <w:t>1</w:t>
            </w:r>
          </w:p>
        </w:tc>
        <w:tc>
          <w:tcPr>
            <w:tcW w:w="1619" w:type="pct"/>
            <w:noWrap w:val="0"/>
            <w:vAlign w:val="center"/>
          </w:tcPr>
          <w:p>
            <w:pPr>
              <w:pStyle w:val="35"/>
              <w:spacing w:line="290" w:lineRule="exact"/>
              <w:rPr>
                <w:szCs w:val="21"/>
              </w:rPr>
            </w:pPr>
            <w:r>
              <w:rPr>
                <w:rFonts w:hint="eastAsia"/>
                <w:szCs w:val="21"/>
              </w:rPr>
              <w:t>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27</w:t>
            </w:r>
          </w:p>
        </w:tc>
        <w:tc>
          <w:tcPr>
            <w:tcW w:w="1004" w:type="pct"/>
            <w:noWrap w:val="0"/>
            <w:vAlign w:val="center"/>
          </w:tcPr>
          <w:p>
            <w:pPr>
              <w:pStyle w:val="35"/>
              <w:spacing w:line="290" w:lineRule="exact"/>
              <w:rPr>
                <w:szCs w:val="21"/>
              </w:rPr>
            </w:pPr>
            <w:r>
              <w:rPr>
                <w:rFonts w:hint="eastAsia"/>
                <w:szCs w:val="21"/>
              </w:rPr>
              <w:t>氯苯</w:t>
            </w:r>
          </w:p>
        </w:tc>
        <w:tc>
          <w:tcPr>
            <w:tcW w:w="1777" w:type="pct"/>
            <w:noWrap w:val="0"/>
            <w:vAlign w:val="center"/>
          </w:tcPr>
          <w:p>
            <w:pPr>
              <w:pStyle w:val="35"/>
              <w:spacing w:line="290" w:lineRule="exact"/>
              <w:rPr>
                <w:szCs w:val="21"/>
              </w:rPr>
            </w:pPr>
            <w:r>
              <w:rPr>
                <w:szCs w:val="21"/>
              </w:rPr>
              <w:t>68</w:t>
            </w:r>
          </w:p>
        </w:tc>
        <w:tc>
          <w:tcPr>
            <w:tcW w:w="1619" w:type="pct"/>
            <w:noWrap w:val="0"/>
            <w:vAlign w:val="center"/>
          </w:tcPr>
          <w:p>
            <w:pPr>
              <w:pStyle w:val="35"/>
              <w:spacing w:line="290" w:lineRule="exact"/>
              <w:rPr>
                <w:szCs w:val="21"/>
              </w:rPr>
            </w:pPr>
            <w:r>
              <w:rPr>
                <w:rFonts w:hint="eastAsia"/>
                <w:szCs w:val="21"/>
              </w:rPr>
              <w:t>270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28</w:t>
            </w:r>
          </w:p>
        </w:tc>
        <w:tc>
          <w:tcPr>
            <w:tcW w:w="1004" w:type="pct"/>
            <w:noWrap w:val="0"/>
            <w:vAlign w:val="center"/>
          </w:tcPr>
          <w:p>
            <w:pPr>
              <w:pStyle w:val="35"/>
              <w:spacing w:line="290" w:lineRule="exact"/>
              <w:rPr>
                <w:szCs w:val="21"/>
              </w:rPr>
            </w:pPr>
            <w:r>
              <w:rPr>
                <w:rFonts w:hint="eastAsia"/>
                <w:szCs w:val="21"/>
              </w:rPr>
              <w:t>1,2-二氯苯</w:t>
            </w:r>
          </w:p>
        </w:tc>
        <w:tc>
          <w:tcPr>
            <w:tcW w:w="1777" w:type="pct"/>
            <w:noWrap w:val="0"/>
            <w:vAlign w:val="center"/>
          </w:tcPr>
          <w:p>
            <w:pPr>
              <w:pStyle w:val="35"/>
              <w:spacing w:line="290" w:lineRule="exact"/>
              <w:rPr>
                <w:szCs w:val="21"/>
              </w:rPr>
            </w:pPr>
            <w:r>
              <w:rPr>
                <w:szCs w:val="21"/>
              </w:rPr>
              <w:t>560</w:t>
            </w:r>
          </w:p>
        </w:tc>
        <w:tc>
          <w:tcPr>
            <w:tcW w:w="1619" w:type="pct"/>
            <w:noWrap w:val="0"/>
            <w:vAlign w:val="center"/>
          </w:tcPr>
          <w:p>
            <w:pPr>
              <w:pStyle w:val="35"/>
              <w:spacing w:line="290" w:lineRule="exact"/>
              <w:rPr>
                <w:szCs w:val="21"/>
              </w:rPr>
            </w:pPr>
            <w:r>
              <w:rPr>
                <w:rFonts w:hint="eastAsia"/>
                <w:szCs w:val="21"/>
              </w:rPr>
              <w:t>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29</w:t>
            </w:r>
          </w:p>
        </w:tc>
        <w:tc>
          <w:tcPr>
            <w:tcW w:w="1004" w:type="pct"/>
            <w:noWrap w:val="0"/>
            <w:vAlign w:val="center"/>
          </w:tcPr>
          <w:p>
            <w:pPr>
              <w:pStyle w:val="35"/>
              <w:spacing w:line="290" w:lineRule="exact"/>
              <w:rPr>
                <w:szCs w:val="21"/>
              </w:rPr>
            </w:pPr>
            <w:r>
              <w:rPr>
                <w:rFonts w:hint="eastAsia"/>
                <w:szCs w:val="21"/>
              </w:rPr>
              <w:t>1,4-二氯苯</w:t>
            </w:r>
          </w:p>
        </w:tc>
        <w:tc>
          <w:tcPr>
            <w:tcW w:w="1777" w:type="pct"/>
            <w:noWrap w:val="0"/>
            <w:vAlign w:val="center"/>
          </w:tcPr>
          <w:p>
            <w:pPr>
              <w:pStyle w:val="35"/>
              <w:spacing w:line="290" w:lineRule="exact"/>
              <w:rPr>
                <w:szCs w:val="21"/>
              </w:rPr>
            </w:pPr>
            <w:r>
              <w:rPr>
                <w:szCs w:val="21"/>
              </w:rPr>
              <w:t>5.6</w:t>
            </w:r>
          </w:p>
        </w:tc>
        <w:tc>
          <w:tcPr>
            <w:tcW w:w="1619" w:type="pct"/>
            <w:noWrap w:val="0"/>
            <w:vAlign w:val="center"/>
          </w:tcPr>
          <w:p>
            <w:pPr>
              <w:pStyle w:val="35"/>
              <w:spacing w:line="290" w:lineRule="exact"/>
              <w:rPr>
                <w:szCs w:val="21"/>
              </w:rPr>
            </w:pPr>
            <w:r>
              <w:rPr>
                <w:rFonts w:hint="eastAsia"/>
                <w:szCs w:val="21"/>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30</w:t>
            </w:r>
          </w:p>
        </w:tc>
        <w:tc>
          <w:tcPr>
            <w:tcW w:w="1004" w:type="pct"/>
            <w:noWrap w:val="0"/>
            <w:vAlign w:val="center"/>
          </w:tcPr>
          <w:p>
            <w:pPr>
              <w:pStyle w:val="35"/>
              <w:spacing w:line="290" w:lineRule="exact"/>
              <w:rPr>
                <w:szCs w:val="21"/>
              </w:rPr>
            </w:pPr>
            <w:r>
              <w:rPr>
                <w:rFonts w:hint="eastAsia"/>
                <w:szCs w:val="21"/>
              </w:rPr>
              <w:t>乙苯</w:t>
            </w:r>
          </w:p>
        </w:tc>
        <w:tc>
          <w:tcPr>
            <w:tcW w:w="1777" w:type="pct"/>
            <w:noWrap w:val="0"/>
            <w:vAlign w:val="center"/>
          </w:tcPr>
          <w:p>
            <w:pPr>
              <w:pStyle w:val="35"/>
              <w:spacing w:line="290" w:lineRule="exact"/>
              <w:rPr>
                <w:szCs w:val="21"/>
              </w:rPr>
            </w:pPr>
            <w:r>
              <w:rPr>
                <w:szCs w:val="21"/>
              </w:rPr>
              <w:t>7.2</w:t>
            </w:r>
          </w:p>
        </w:tc>
        <w:tc>
          <w:tcPr>
            <w:tcW w:w="1619" w:type="pct"/>
            <w:noWrap w:val="0"/>
            <w:vAlign w:val="center"/>
          </w:tcPr>
          <w:p>
            <w:pPr>
              <w:pStyle w:val="35"/>
              <w:spacing w:line="290" w:lineRule="exact"/>
              <w:rPr>
                <w:szCs w:val="21"/>
              </w:rPr>
            </w:pPr>
            <w:r>
              <w:rPr>
                <w:rFonts w:hint="eastAsia"/>
                <w:szCs w:val="21"/>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31</w:t>
            </w:r>
          </w:p>
        </w:tc>
        <w:tc>
          <w:tcPr>
            <w:tcW w:w="1004" w:type="pct"/>
            <w:noWrap w:val="0"/>
            <w:vAlign w:val="center"/>
          </w:tcPr>
          <w:p>
            <w:pPr>
              <w:pStyle w:val="35"/>
              <w:spacing w:line="290" w:lineRule="exact"/>
              <w:rPr>
                <w:szCs w:val="21"/>
              </w:rPr>
            </w:pPr>
            <w:r>
              <w:rPr>
                <w:rFonts w:hint="eastAsia"/>
                <w:szCs w:val="21"/>
              </w:rPr>
              <w:t>苯乙烯</w:t>
            </w:r>
          </w:p>
        </w:tc>
        <w:tc>
          <w:tcPr>
            <w:tcW w:w="1777" w:type="pct"/>
            <w:noWrap w:val="0"/>
            <w:vAlign w:val="center"/>
          </w:tcPr>
          <w:p>
            <w:pPr>
              <w:pStyle w:val="35"/>
              <w:spacing w:line="290" w:lineRule="exact"/>
              <w:rPr>
                <w:szCs w:val="21"/>
              </w:rPr>
            </w:pPr>
            <w:r>
              <w:rPr>
                <w:szCs w:val="21"/>
              </w:rPr>
              <w:t>1290</w:t>
            </w:r>
          </w:p>
        </w:tc>
        <w:tc>
          <w:tcPr>
            <w:tcW w:w="1619" w:type="pct"/>
            <w:noWrap w:val="0"/>
            <w:vAlign w:val="center"/>
          </w:tcPr>
          <w:p>
            <w:pPr>
              <w:pStyle w:val="35"/>
              <w:spacing w:line="290" w:lineRule="exact"/>
              <w:rPr>
                <w:szCs w:val="21"/>
              </w:rPr>
            </w:pPr>
            <w:r>
              <w:rPr>
                <w:rFonts w:hint="eastAsia"/>
                <w:szCs w:val="21"/>
              </w:rPr>
              <w:t>1290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32</w:t>
            </w:r>
          </w:p>
        </w:tc>
        <w:tc>
          <w:tcPr>
            <w:tcW w:w="1004" w:type="pct"/>
            <w:noWrap w:val="0"/>
            <w:vAlign w:val="center"/>
          </w:tcPr>
          <w:p>
            <w:pPr>
              <w:pStyle w:val="35"/>
              <w:spacing w:line="290" w:lineRule="exact"/>
              <w:rPr>
                <w:szCs w:val="21"/>
              </w:rPr>
            </w:pPr>
            <w:r>
              <w:rPr>
                <w:rFonts w:hint="eastAsia"/>
                <w:szCs w:val="21"/>
              </w:rPr>
              <w:t>甲苯</w:t>
            </w:r>
          </w:p>
        </w:tc>
        <w:tc>
          <w:tcPr>
            <w:tcW w:w="1777" w:type="pct"/>
            <w:noWrap w:val="0"/>
            <w:vAlign w:val="center"/>
          </w:tcPr>
          <w:p>
            <w:pPr>
              <w:pStyle w:val="35"/>
              <w:spacing w:line="290" w:lineRule="exact"/>
              <w:rPr>
                <w:szCs w:val="21"/>
              </w:rPr>
            </w:pPr>
            <w:r>
              <w:rPr>
                <w:szCs w:val="21"/>
              </w:rPr>
              <w:t>1200</w:t>
            </w:r>
          </w:p>
        </w:tc>
        <w:tc>
          <w:tcPr>
            <w:tcW w:w="1619" w:type="pct"/>
            <w:noWrap w:val="0"/>
            <w:vAlign w:val="center"/>
          </w:tcPr>
          <w:p>
            <w:pPr>
              <w:pStyle w:val="35"/>
              <w:spacing w:line="290" w:lineRule="exact"/>
              <w:rPr>
                <w:szCs w:val="21"/>
              </w:rPr>
            </w:pPr>
            <w:r>
              <w:rPr>
                <w:rFonts w:hint="eastAsia"/>
                <w:szCs w:val="21"/>
              </w:rPr>
              <w:t>1200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33</w:t>
            </w:r>
          </w:p>
        </w:tc>
        <w:tc>
          <w:tcPr>
            <w:tcW w:w="1004" w:type="pct"/>
            <w:noWrap w:val="0"/>
            <w:vAlign w:val="center"/>
          </w:tcPr>
          <w:p>
            <w:pPr>
              <w:pStyle w:val="35"/>
              <w:spacing w:line="290" w:lineRule="exact"/>
              <w:rPr>
                <w:szCs w:val="21"/>
              </w:rPr>
            </w:pPr>
            <w:r>
              <w:rPr>
                <w:rFonts w:hint="eastAsia"/>
                <w:szCs w:val="21"/>
              </w:rPr>
              <w:t>间二甲苯+对二甲苯</w:t>
            </w:r>
          </w:p>
        </w:tc>
        <w:tc>
          <w:tcPr>
            <w:tcW w:w="1777" w:type="pct"/>
            <w:noWrap w:val="0"/>
            <w:vAlign w:val="center"/>
          </w:tcPr>
          <w:p>
            <w:pPr>
              <w:pStyle w:val="35"/>
              <w:spacing w:line="290" w:lineRule="exact"/>
              <w:rPr>
                <w:szCs w:val="21"/>
              </w:rPr>
            </w:pPr>
            <w:r>
              <w:rPr>
                <w:szCs w:val="21"/>
              </w:rPr>
              <w:t>163</w:t>
            </w:r>
          </w:p>
        </w:tc>
        <w:tc>
          <w:tcPr>
            <w:tcW w:w="1619" w:type="pct"/>
            <w:noWrap w:val="0"/>
            <w:vAlign w:val="center"/>
          </w:tcPr>
          <w:p>
            <w:pPr>
              <w:pStyle w:val="35"/>
              <w:spacing w:line="290" w:lineRule="exact"/>
              <w:rPr>
                <w:szCs w:val="21"/>
              </w:rPr>
            </w:pPr>
            <w:r>
              <w:rPr>
                <w:rFonts w:hint="eastAsia"/>
                <w:szCs w:val="21"/>
              </w:rPr>
              <w:t>570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34</w:t>
            </w:r>
          </w:p>
        </w:tc>
        <w:tc>
          <w:tcPr>
            <w:tcW w:w="1004" w:type="pct"/>
            <w:noWrap w:val="0"/>
            <w:vAlign w:val="center"/>
          </w:tcPr>
          <w:p>
            <w:pPr>
              <w:pStyle w:val="35"/>
              <w:spacing w:line="290" w:lineRule="exact"/>
              <w:rPr>
                <w:szCs w:val="21"/>
              </w:rPr>
            </w:pPr>
            <w:r>
              <w:rPr>
                <w:rFonts w:hint="eastAsia"/>
                <w:szCs w:val="21"/>
              </w:rPr>
              <w:t>邻二甲苯</w:t>
            </w:r>
          </w:p>
        </w:tc>
        <w:tc>
          <w:tcPr>
            <w:tcW w:w="1777" w:type="pct"/>
            <w:noWrap w:val="0"/>
            <w:vAlign w:val="center"/>
          </w:tcPr>
          <w:p>
            <w:pPr>
              <w:pStyle w:val="35"/>
              <w:spacing w:line="290" w:lineRule="exact"/>
              <w:rPr>
                <w:szCs w:val="21"/>
              </w:rPr>
            </w:pPr>
            <w:r>
              <w:rPr>
                <w:szCs w:val="21"/>
              </w:rPr>
              <w:t>222</w:t>
            </w:r>
          </w:p>
        </w:tc>
        <w:tc>
          <w:tcPr>
            <w:tcW w:w="1619" w:type="pct"/>
            <w:noWrap w:val="0"/>
            <w:vAlign w:val="center"/>
          </w:tcPr>
          <w:p>
            <w:pPr>
              <w:pStyle w:val="35"/>
              <w:spacing w:line="290" w:lineRule="exact"/>
              <w:rPr>
                <w:szCs w:val="21"/>
              </w:rPr>
            </w:pPr>
            <w:r>
              <w:rPr>
                <w:rFonts w:hint="eastAsia"/>
                <w:szCs w:val="21"/>
              </w:rPr>
              <w:t>640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4"/>
            <w:noWrap w:val="0"/>
            <w:vAlign w:val="center"/>
          </w:tcPr>
          <w:p>
            <w:pPr>
              <w:pStyle w:val="35"/>
              <w:spacing w:line="290" w:lineRule="exact"/>
              <w:rPr>
                <w:szCs w:val="21"/>
              </w:rPr>
            </w:pPr>
            <w:r>
              <w:rPr>
                <w:rFonts w:hint="eastAsia"/>
                <w:szCs w:val="21"/>
              </w:rPr>
              <w:t>半挥发性有机物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35</w:t>
            </w:r>
          </w:p>
        </w:tc>
        <w:tc>
          <w:tcPr>
            <w:tcW w:w="1004" w:type="pct"/>
            <w:noWrap w:val="0"/>
            <w:vAlign w:val="center"/>
          </w:tcPr>
          <w:p>
            <w:pPr>
              <w:pStyle w:val="35"/>
              <w:spacing w:line="290" w:lineRule="exact"/>
              <w:rPr>
                <w:szCs w:val="21"/>
              </w:rPr>
            </w:pPr>
            <w:r>
              <w:rPr>
                <w:rFonts w:hint="eastAsia"/>
                <w:szCs w:val="21"/>
              </w:rPr>
              <w:t>硝基苯</w:t>
            </w:r>
          </w:p>
        </w:tc>
        <w:tc>
          <w:tcPr>
            <w:tcW w:w="1777" w:type="pct"/>
            <w:noWrap w:val="0"/>
            <w:vAlign w:val="center"/>
          </w:tcPr>
          <w:p>
            <w:pPr>
              <w:pStyle w:val="35"/>
              <w:spacing w:line="290" w:lineRule="exact"/>
              <w:rPr>
                <w:szCs w:val="21"/>
              </w:rPr>
            </w:pPr>
            <w:r>
              <w:rPr>
                <w:szCs w:val="21"/>
              </w:rPr>
              <w:t>34</w:t>
            </w:r>
          </w:p>
        </w:tc>
        <w:tc>
          <w:tcPr>
            <w:tcW w:w="1619" w:type="pct"/>
            <w:noWrap w:val="0"/>
            <w:vAlign w:val="center"/>
          </w:tcPr>
          <w:p>
            <w:pPr>
              <w:pStyle w:val="35"/>
              <w:spacing w:line="290" w:lineRule="exact"/>
              <w:rPr>
                <w:szCs w:val="21"/>
              </w:rPr>
            </w:pPr>
            <w:r>
              <w:rPr>
                <w:rFonts w:hint="eastAsia"/>
                <w:szCs w:val="21"/>
              </w:rPr>
              <w:t>76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36</w:t>
            </w:r>
          </w:p>
        </w:tc>
        <w:tc>
          <w:tcPr>
            <w:tcW w:w="1004" w:type="pct"/>
            <w:noWrap w:val="0"/>
            <w:vAlign w:val="center"/>
          </w:tcPr>
          <w:p>
            <w:pPr>
              <w:pStyle w:val="35"/>
              <w:spacing w:line="290" w:lineRule="exact"/>
              <w:rPr>
                <w:szCs w:val="21"/>
              </w:rPr>
            </w:pPr>
            <w:r>
              <w:rPr>
                <w:rFonts w:hint="eastAsia"/>
                <w:szCs w:val="21"/>
              </w:rPr>
              <w:t>苯胺</w:t>
            </w:r>
          </w:p>
        </w:tc>
        <w:tc>
          <w:tcPr>
            <w:tcW w:w="1777" w:type="pct"/>
            <w:noWrap w:val="0"/>
            <w:vAlign w:val="center"/>
          </w:tcPr>
          <w:p>
            <w:pPr>
              <w:pStyle w:val="35"/>
              <w:spacing w:line="290" w:lineRule="exact"/>
              <w:rPr>
                <w:szCs w:val="21"/>
              </w:rPr>
            </w:pPr>
            <w:r>
              <w:rPr>
                <w:szCs w:val="21"/>
              </w:rPr>
              <w:t>92</w:t>
            </w:r>
          </w:p>
        </w:tc>
        <w:tc>
          <w:tcPr>
            <w:tcW w:w="1619" w:type="pct"/>
            <w:noWrap w:val="0"/>
            <w:vAlign w:val="center"/>
          </w:tcPr>
          <w:p>
            <w:pPr>
              <w:pStyle w:val="35"/>
              <w:spacing w:line="290" w:lineRule="exact"/>
              <w:rPr>
                <w:szCs w:val="21"/>
              </w:rPr>
            </w:pPr>
            <w:r>
              <w:rPr>
                <w:rFonts w:hint="eastAsia"/>
                <w:szCs w:val="21"/>
              </w:rPr>
              <w:t>260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37</w:t>
            </w:r>
          </w:p>
        </w:tc>
        <w:tc>
          <w:tcPr>
            <w:tcW w:w="1004" w:type="pct"/>
            <w:noWrap w:val="0"/>
            <w:vAlign w:val="center"/>
          </w:tcPr>
          <w:p>
            <w:pPr>
              <w:pStyle w:val="35"/>
              <w:spacing w:line="290" w:lineRule="exact"/>
              <w:rPr>
                <w:szCs w:val="21"/>
              </w:rPr>
            </w:pPr>
            <w:r>
              <w:rPr>
                <w:rFonts w:hint="eastAsia"/>
                <w:szCs w:val="21"/>
              </w:rPr>
              <w:t>2-氯酚</w:t>
            </w:r>
          </w:p>
        </w:tc>
        <w:tc>
          <w:tcPr>
            <w:tcW w:w="1777" w:type="pct"/>
            <w:noWrap w:val="0"/>
            <w:vAlign w:val="center"/>
          </w:tcPr>
          <w:p>
            <w:pPr>
              <w:pStyle w:val="35"/>
              <w:spacing w:line="290" w:lineRule="exact"/>
              <w:rPr>
                <w:szCs w:val="21"/>
              </w:rPr>
            </w:pPr>
            <w:r>
              <w:rPr>
                <w:szCs w:val="21"/>
              </w:rPr>
              <w:t>250</w:t>
            </w:r>
          </w:p>
        </w:tc>
        <w:tc>
          <w:tcPr>
            <w:tcW w:w="1619" w:type="pct"/>
            <w:noWrap w:val="0"/>
            <w:vAlign w:val="center"/>
          </w:tcPr>
          <w:p>
            <w:pPr>
              <w:pStyle w:val="35"/>
              <w:spacing w:line="290" w:lineRule="exact"/>
              <w:rPr>
                <w:szCs w:val="21"/>
              </w:rPr>
            </w:pPr>
            <w:r>
              <w:rPr>
                <w:rFonts w:hint="eastAsia"/>
                <w:szCs w:val="21"/>
              </w:rPr>
              <w:t>2256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38</w:t>
            </w:r>
          </w:p>
        </w:tc>
        <w:tc>
          <w:tcPr>
            <w:tcW w:w="1004" w:type="pct"/>
            <w:noWrap w:val="0"/>
            <w:vAlign w:val="center"/>
          </w:tcPr>
          <w:p>
            <w:pPr>
              <w:pStyle w:val="35"/>
              <w:spacing w:line="290" w:lineRule="exact"/>
              <w:rPr>
                <w:szCs w:val="21"/>
              </w:rPr>
            </w:pPr>
            <w:r>
              <w:rPr>
                <w:rFonts w:hint="eastAsia"/>
                <w:szCs w:val="21"/>
              </w:rPr>
              <w:t>苯并[a]蒽</w:t>
            </w:r>
          </w:p>
        </w:tc>
        <w:tc>
          <w:tcPr>
            <w:tcW w:w="1777" w:type="pct"/>
            <w:noWrap w:val="0"/>
            <w:vAlign w:val="center"/>
          </w:tcPr>
          <w:p>
            <w:pPr>
              <w:pStyle w:val="35"/>
              <w:spacing w:line="290" w:lineRule="exact"/>
              <w:rPr>
                <w:szCs w:val="21"/>
              </w:rPr>
            </w:pPr>
            <w:r>
              <w:rPr>
                <w:szCs w:val="21"/>
              </w:rPr>
              <w:t>5.5</w:t>
            </w:r>
          </w:p>
        </w:tc>
        <w:tc>
          <w:tcPr>
            <w:tcW w:w="1619" w:type="pct"/>
            <w:noWrap w:val="0"/>
            <w:vAlign w:val="center"/>
          </w:tcPr>
          <w:p>
            <w:pPr>
              <w:pStyle w:val="35"/>
              <w:spacing w:line="290" w:lineRule="exact"/>
              <w:rPr>
                <w:szCs w:val="21"/>
              </w:rPr>
            </w:pPr>
            <w:r>
              <w:rPr>
                <w:rFonts w:hint="eastAsia"/>
                <w:szCs w:val="21"/>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39</w:t>
            </w:r>
          </w:p>
        </w:tc>
        <w:tc>
          <w:tcPr>
            <w:tcW w:w="1004" w:type="pct"/>
            <w:noWrap w:val="0"/>
            <w:vAlign w:val="center"/>
          </w:tcPr>
          <w:p>
            <w:pPr>
              <w:pStyle w:val="35"/>
              <w:spacing w:line="290" w:lineRule="exact"/>
              <w:rPr>
                <w:szCs w:val="21"/>
              </w:rPr>
            </w:pPr>
            <w:r>
              <w:rPr>
                <w:rFonts w:hint="eastAsia"/>
                <w:szCs w:val="21"/>
              </w:rPr>
              <w:t>苯并[a]芘</w:t>
            </w:r>
          </w:p>
        </w:tc>
        <w:tc>
          <w:tcPr>
            <w:tcW w:w="1777" w:type="pct"/>
            <w:noWrap w:val="0"/>
            <w:vAlign w:val="center"/>
          </w:tcPr>
          <w:p>
            <w:pPr>
              <w:pStyle w:val="35"/>
              <w:spacing w:line="290" w:lineRule="exact"/>
              <w:rPr>
                <w:szCs w:val="21"/>
              </w:rPr>
            </w:pPr>
            <w:r>
              <w:rPr>
                <w:szCs w:val="21"/>
              </w:rPr>
              <w:t>0.55</w:t>
            </w:r>
          </w:p>
        </w:tc>
        <w:tc>
          <w:tcPr>
            <w:tcW w:w="1619" w:type="pct"/>
            <w:noWrap w:val="0"/>
            <w:vAlign w:val="center"/>
          </w:tcPr>
          <w:p>
            <w:pPr>
              <w:pStyle w:val="35"/>
              <w:spacing w:line="290" w:lineRule="exact"/>
              <w:rPr>
                <w:szCs w:val="21"/>
              </w:rPr>
            </w:pPr>
            <w:r>
              <w:rPr>
                <w:rFonts w:hint="eastAsia"/>
                <w:szCs w:val="21"/>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40</w:t>
            </w:r>
          </w:p>
        </w:tc>
        <w:tc>
          <w:tcPr>
            <w:tcW w:w="1004" w:type="pct"/>
            <w:noWrap w:val="0"/>
            <w:vAlign w:val="center"/>
          </w:tcPr>
          <w:p>
            <w:pPr>
              <w:pStyle w:val="35"/>
              <w:spacing w:line="290" w:lineRule="exact"/>
              <w:rPr>
                <w:szCs w:val="21"/>
              </w:rPr>
            </w:pPr>
            <w:r>
              <w:rPr>
                <w:rFonts w:hint="eastAsia"/>
                <w:szCs w:val="21"/>
              </w:rPr>
              <w:t>苯并[b]荧蒽</w:t>
            </w:r>
          </w:p>
        </w:tc>
        <w:tc>
          <w:tcPr>
            <w:tcW w:w="1777" w:type="pct"/>
            <w:noWrap w:val="0"/>
            <w:vAlign w:val="center"/>
          </w:tcPr>
          <w:p>
            <w:pPr>
              <w:pStyle w:val="35"/>
              <w:spacing w:line="290" w:lineRule="exact"/>
              <w:rPr>
                <w:szCs w:val="21"/>
              </w:rPr>
            </w:pPr>
            <w:r>
              <w:rPr>
                <w:szCs w:val="21"/>
              </w:rPr>
              <w:t>5.5</w:t>
            </w:r>
          </w:p>
        </w:tc>
        <w:tc>
          <w:tcPr>
            <w:tcW w:w="1619" w:type="pct"/>
            <w:noWrap w:val="0"/>
            <w:vAlign w:val="center"/>
          </w:tcPr>
          <w:p>
            <w:pPr>
              <w:pStyle w:val="35"/>
              <w:spacing w:line="290" w:lineRule="exact"/>
              <w:rPr>
                <w:szCs w:val="21"/>
              </w:rPr>
            </w:pPr>
            <w:r>
              <w:rPr>
                <w:rFonts w:hint="eastAsia"/>
                <w:szCs w:val="21"/>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41</w:t>
            </w:r>
          </w:p>
        </w:tc>
        <w:tc>
          <w:tcPr>
            <w:tcW w:w="1004" w:type="pct"/>
            <w:noWrap w:val="0"/>
            <w:vAlign w:val="center"/>
          </w:tcPr>
          <w:p>
            <w:pPr>
              <w:pStyle w:val="35"/>
              <w:spacing w:line="290" w:lineRule="exact"/>
              <w:rPr>
                <w:szCs w:val="21"/>
              </w:rPr>
            </w:pPr>
            <w:r>
              <w:rPr>
                <w:rFonts w:hint="eastAsia"/>
                <w:szCs w:val="21"/>
              </w:rPr>
              <w:t>苯并[k]荧蒽</w:t>
            </w:r>
          </w:p>
        </w:tc>
        <w:tc>
          <w:tcPr>
            <w:tcW w:w="1777" w:type="pct"/>
            <w:noWrap w:val="0"/>
            <w:vAlign w:val="center"/>
          </w:tcPr>
          <w:p>
            <w:pPr>
              <w:pStyle w:val="35"/>
              <w:spacing w:line="290" w:lineRule="exact"/>
              <w:rPr>
                <w:szCs w:val="21"/>
              </w:rPr>
            </w:pPr>
            <w:r>
              <w:rPr>
                <w:szCs w:val="21"/>
              </w:rPr>
              <w:t>55</w:t>
            </w:r>
          </w:p>
        </w:tc>
        <w:tc>
          <w:tcPr>
            <w:tcW w:w="1619" w:type="pct"/>
            <w:noWrap w:val="0"/>
            <w:vAlign w:val="center"/>
          </w:tcPr>
          <w:p>
            <w:pPr>
              <w:pStyle w:val="35"/>
              <w:spacing w:line="290" w:lineRule="exact"/>
              <w:rPr>
                <w:szCs w:val="21"/>
              </w:rPr>
            </w:pPr>
            <w:r>
              <w:rPr>
                <w:rFonts w:hint="eastAsia"/>
                <w:szCs w:val="21"/>
              </w:rPr>
              <w:t>151</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42</w:t>
            </w:r>
          </w:p>
        </w:tc>
        <w:tc>
          <w:tcPr>
            <w:tcW w:w="1004" w:type="pct"/>
            <w:noWrap w:val="0"/>
            <w:vAlign w:val="center"/>
          </w:tcPr>
          <w:p>
            <w:pPr>
              <w:pStyle w:val="35"/>
              <w:spacing w:line="290" w:lineRule="exact"/>
              <w:rPr>
                <w:szCs w:val="21"/>
              </w:rPr>
            </w:pPr>
            <w:r>
              <w:rPr>
                <w:rFonts w:hint="eastAsia"/>
                <w:szCs w:val="21"/>
              </w:rPr>
              <w:t>䓛</w:t>
            </w:r>
          </w:p>
        </w:tc>
        <w:tc>
          <w:tcPr>
            <w:tcW w:w="1777" w:type="pct"/>
            <w:noWrap w:val="0"/>
            <w:vAlign w:val="center"/>
          </w:tcPr>
          <w:p>
            <w:pPr>
              <w:pStyle w:val="35"/>
              <w:spacing w:line="290" w:lineRule="exact"/>
              <w:rPr>
                <w:szCs w:val="21"/>
              </w:rPr>
            </w:pPr>
            <w:r>
              <w:rPr>
                <w:szCs w:val="21"/>
              </w:rPr>
              <w:t>490</w:t>
            </w:r>
          </w:p>
        </w:tc>
        <w:tc>
          <w:tcPr>
            <w:tcW w:w="1619" w:type="pct"/>
            <w:noWrap w:val="0"/>
            <w:vAlign w:val="center"/>
          </w:tcPr>
          <w:p>
            <w:pPr>
              <w:pStyle w:val="35"/>
              <w:spacing w:line="290" w:lineRule="exact"/>
              <w:rPr>
                <w:szCs w:val="21"/>
              </w:rPr>
            </w:pPr>
            <w:r>
              <w:rPr>
                <w:rFonts w:hint="eastAsia"/>
                <w:szCs w:val="21"/>
              </w:rPr>
              <w:t>1293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43</w:t>
            </w:r>
          </w:p>
        </w:tc>
        <w:tc>
          <w:tcPr>
            <w:tcW w:w="1004" w:type="pct"/>
            <w:noWrap w:val="0"/>
            <w:vAlign w:val="center"/>
          </w:tcPr>
          <w:p>
            <w:pPr>
              <w:pStyle w:val="35"/>
              <w:spacing w:line="290" w:lineRule="exact"/>
              <w:rPr>
                <w:szCs w:val="21"/>
              </w:rPr>
            </w:pPr>
            <w:r>
              <w:rPr>
                <w:rFonts w:hint="eastAsia"/>
                <w:szCs w:val="21"/>
              </w:rPr>
              <w:t>二苯并[a, h]蒽</w:t>
            </w:r>
          </w:p>
        </w:tc>
        <w:tc>
          <w:tcPr>
            <w:tcW w:w="1777" w:type="pct"/>
            <w:noWrap w:val="0"/>
            <w:vAlign w:val="center"/>
          </w:tcPr>
          <w:p>
            <w:pPr>
              <w:pStyle w:val="35"/>
              <w:spacing w:line="290" w:lineRule="exact"/>
              <w:rPr>
                <w:szCs w:val="21"/>
              </w:rPr>
            </w:pPr>
            <w:r>
              <w:rPr>
                <w:szCs w:val="21"/>
              </w:rPr>
              <w:t>0.55</w:t>
            </w:r>
          </w:p>
        </w:tc>
        <w:tc>
          <w:tcPr>
            <w:tcW w:w="1619" w:type="pct"/>
            <w:noWrap w:val="0"/>
            <w:vAlign w:val="center"/>
          </w:tcPr>
          <w:p>
            <w:pPr>
              <w:pStyle w:val="35"/>
              <w:spacing w:line="290" w:lineRule="exact"/>
              <w:rPr>
                <w:szCs w:val="21"/>
              </w:rPr>
            </w:pPr>
            <w:r>
              <w:rPr>
                <w:rFonts w:hint="eastAsia"/>
                <w:szCs w:val="21"/>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44</w:t>
            </w:r>
          </w:p>
        </w:tc>
        <w:tc>
          <w:tcPr>
            <w:tcW w:w="1004" w:type="pct"/>
            <w:noWrap w:val="0"/>
            <w:vAlign w:val="center"/>
          </w:tcPr>
          <w:p>
            <w:pPr>
              <w:pStyle w:val="35"/>
              <w:spacing w:line="290" w:lineRule="exact"/>
              <w:rPr>
                <w:szCs w:val="21"/>
              </w:rPr>
            </w:pPr>
            <w:r>
              <w:rPr>
                <w:rFonts w:hint="eastAsia"/>
                <w:szCs w:val="21"/>
              </w:rPr>
              <w:t>茚并[1,2,3-cd]芘</w:t>
            </w:r>
          </w:p>
        </w:tc>
        <w:tc>
          <w:tcPr>
            <w:tcW w:w="1777" w:type="pct"/>
            <w:noWrap w:val="0"/>
            <w:vAlign w:val="center"/>
          </w:tcPr>
          <w:p>
            <w:pPr>
              <w:pStyle w:val="35"/>
              <w:spacing w:line="290" w:lineRule="exact"/>
              <w:rPr>
                <w:szCs w:val="21"/>
              </w:rPr>
            </w:pPr>
            <w:r>
              <w:rPr>
                <w:szCs w:val="21"/>
              </w:rPr>
              <w:t>5.5</w:t>
            </w:r>
          </w:p>
        </w:tc>
        <w:tc>
          <w:tcPr>
            <w:tcW w:w="1619" w:type="pct"/>
            <w:noWrap w:val="0"/>
            <w:vAlign w:val="center"/>
          </w:tcPr>
          <w:p>
            <w:pPr>
              <w:pStyle w:val="35"/>
              <w:spacing w:line="290" w:lineRule="exact"/>
              <w:rPr>
                <w:szCs w:val="21"/>
              </w:rPr>
            </w:pPr>
            <w:r>
              <w:rPr>
                <w:rFonts w:hint="eastAsia"/>
                <w:szCs w:val="21"/>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szCs w:val="21"/>
              </w:rPr>
            </w:pPr>
            <w:r>
              <w:rPr>
                <w:rFonts w:hint="eastAsia"/>
                <w:szCs w:val="21"/>
              </w:rPr>
              <w:t>45</w:t>
            </w:r>
          </w:p>
        </w:tc>
        <w:tc>
          <w:tcPr>
            <w:tcW w:w="1004" w:type="pct"/>
            <w:noWrap w:val="0"/>
            <w:vAlign w:val="center"/>
          </w:tcPr>
          <w:p>
            <w:pPr>
              <w:pStyle w:val="35"/>
              <w:spacing w:line="290" w:lineRule="exact"/>
              <w:rPr>
                <w:szCs w:val="21"/>
              </w:rPr>
            </w:pPr>
            <w:r>
              <w:rPr>
                <w:rFonts w:hint="eastAsia"/>
                <w:szCs w:val="21"/>
              </w:rPr>
              <w:t>萘</w:t>
            </w:r>
          </w:p>
        </w:tc>
        <w:tc>
          <w:tcPr>
            <w:tcW w:w="1777" w:type="pct"/>
            <w:noWrap w:val="0"/>
            <w:vAlign w:val="center"/>
          </w:tcPr>
          <w:p>
            <w:pPr>
              <w:pStyle w:val="35"/>
              <w:spacing w:line="290" w:lineRule="exact"/>
              <w:rPr>
                <w:szCs w:val="21"/>
              </w:rPr>
            </w:pPr>
            <w:r>
              <w:rPr>
                <w:szCs w:val="21"/>
              </w:rPr>
              <w:t>25</w:t>
            </w:r>
          </w:p>
        </w:tc>
        <w:tc>
          <w:tcPr>
            <w:tcW w:w="1619" w:type="pct"/>
            <w:noWrap w:val="0"/>
            <w:vAlign w:val="center"/>
          </w:tcPr>
          <w:p>
            <w:pPr>
              <w:pStyle w:val="35"/>
              <w:spacing w:line="290" w:lineRule="exact"/>
              <w:rPr>
                <w:szCs w:val="21"/>
              </w:rPr>
            </w:pPr>
            <w:r>
              <w:rPr>
                <w:rFonts w:hint="eastAsia"/>
                <w:szCs w:val="21"/>
              </w:rPr>
              <w:t>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00" w:type="pct"/>
            <w:noWrap w:val="0"/>
            <w:vAlign w:val="center"/>
          </w:tcPr>
          <w:p>
            <w:pPr>
              <w:pStyle w:val="35"/>
              <w:spacing w:line="290" w:lineRule="exact"/>
              <w:rPr>
                <w:rFonts w:hint="eastAsia"/>
                <w:szCs w:val="21"/>
              </w:rPr>
            </w:pPr>
            <w:r>
              <w:rPr>
                <w:rFonts w:hint="eastAsia"/>
                <w:szCs w:val="21"/>
              </w:rPr>
              <w:t>46</w:t>
            </w:r>
          </w:p>
        </w:tc>
        <w:tc>
          <w:tcPr>
            <w:tcW w:w="1004" w:type="pct"/>
            <w:noWrap w:val="0"/>
            <w:vAlign w:val="center"/>
          </w:tcPr>
          <w:p>
            <w:pPr>
              <w:pStyle w:val="35"/>
              <w:spacing w:line="290" w:lineRule="exact"/>
              <w:rPr>
                <w:rFonts w:hint="eastAsia"/>
                <w:szCs w:val="21"/>
              </w:rPr>
            </w:pPr>
            <w:r>
              <w:rPr>
                <w:rFonts w:hint="eastAsia"/>
                <w:szCs w:val="21"/>
              </w:rPr>
              <w:t>石油烃</w:t>
            </w:r>
          </w:p>
        </w:tc>
        <w:tc>
          <w:tcPr>
            <w:tcW w:w="1777" w:type="pct"/>
            <w:noWrap w:val="0"/>
            <w:vAlign w:val="center"/>
          </w:tcPr>
          <w:p>
            <w:pPr>
              <w:pStyle w:val="35"/>
              <w:spacing w:line="290" w:lineRule="exact"/>
              <w:rPr>
                <w:szCs w:val="21"/>
              </w:rPr>
            </w:pPr>
            <w:r>
              <w:rPr>
                <w:rFonts w:hint="eastAsia"/>
                <w:szCs w:val="21"/>
              </w:rPr>
              <w:t>826</w:t>
            </w:r>
          </w:p>
        </w:tc>
        <w:tc>
          <w:tcPr>
            <w:tcW w:w="1619" w:type="pct"/>
            <w:noWrap w:val="0"/>
            <w:vAlign w:val="center"/>
          </w:tcPr>
          <w:p>
            <w:pPr>
              <w:pStyle w:val="35"/>
              <w:spacing w:line="290" w:lineRule="exact"/>
              <w:rPr>
                <w:rFonts w:hint="eastAsia"/>
                <w:szCs w:val="21"/>
              </w:rPr>
            </w:pPr>
            <w:r>
              <w:rPr>
                <w:rFonts w:hint="eastAsia"/>
                <w:szCs w:val="21"/>
              </w:rPr>
              <w:t>4500</w:t>
            </w:r>
          </w:p>
        </w:tc>
      </w:tr>
    </w:tbl>
    <w:p>
      <w:pPr>
        <w:pStyle w:val="32"/>
        <w:spacing w:line="500" w:lineRule="exact"/>
      </w:pPr>
      <w:r>
        <w:rPr>
          <w:rFonts w:hint="eastAsia"/>
        </w:rPr>
        <w:t>表2.6</w:t>
      </w:r>
      <w:r>
        <w:noBreakHyphen/>
      </w:r>
      <w:r>
        <w:rPr>
          <w:rFonts w:hint="eastAsia"/>
        </w:rPr>
        <w:t>3              土壤环境质量现状执行标准          单位：mg/kg</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05"/>
        <w:gridCol w:w="1842"/>
        <w:gridCol w:w="1629"/>
        <w:gridCol w:w="1631"/>
        <w:gridCol w:w="1485"/>
        <w:gridCol w:w="1483"/>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vMerge w:val="restart"/>
            <w:noWrap w:val="0"/>
            <w:vAlign w:val="center"/>
          </w:tcPr>
          <w:p>
            <w:pPr>
              <w:pStyle w:val="35"/>
              <w:spacing w:line="290" w:lineRule="exact"/>
              <w:rPr>
                <w:szCs w:val="21"/>
              </w:rPr>
            </w:pPr>
            <w:r>
              <w:rPr>
                <w:rFonts w:hint="eastAsia"/>
                <w:szCs w:val="21"/>
              </w:rPr>
              <w:t>序号</w:t>
            </w:r>
          </w:p>
        </w:tc>
        <w:tc>
          <w:tcPr>
            <w:tcW w:w="1004" w:type="pct"/>
            <w:vMerge w:val="restart"/>
            <w:noWrap w:val="0"/>
            <w:vAlign w:val="center"/>
          </w:tcPr>
          <w:p>
            <w:pPr>
              <w:pStyle w:val="35"/>
              <w:spacing w:line="290" w:lineRule="exact"/>
              <w:rPr>
                <w:szCs w:val="21"/>
              </w:rPr>
            </w:pPr>
            <w:r>
              <w:rPr>
                <w:rFonts w:hint="eastAsia"/>
                <w:szCs w:val="21"/>
              </w:rPr>
              <w:t>污染物项目</w:t>
            </w:r>
          </w:p>
        </w:tc>
        <w:tc>
          <w:tcPr>
            <w:tcW w:w="3394" w:type="pct"/>
            <w:gridSpan w:val="4"/>
            <w:noWrap w:val="0"/>
            <w:vAlign w:val="center"/>
          </w:tcPr>
          <w:p>
            <w:pPr>
              <w:pStyle w:val="35"/>
              <w:spacing w:line="290" w:lineRule="exact"/>
              <w:rPr>
                <w:szCs w:val="21"/>
              </w:rPr>
            </w:pPr>
            <w:r>
              <w:rPr>
                <w:rFonts w:hint="eastAsia"/>
                <w:szCs w:val="21"/>
              </w:rPr>
              <w:t>《土壤环境质量 农用地土壤污染风险管控标准》（试行）（GB15618-2018）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vMerge w:val="continue"/>
            <w:noWrap w:val="0"/>
            <w:vAlign w:val="center"/>
          </w:tcPr>
          <w:p>
            <w:pPr>
              <w:pStyle w:val="35"/>
              <w:spacing w:line="290" w:lineRule="exact"/>
              <w:rPr>
                <w:szCs w:val="21"/>
              </w:rPr>
            </w:pPr>
          </w:p>
        </w:tc>
        <w:tc>
          <w:tcPr>
            <w:tcW w:w="1004" w:type="pct"/>
            <w:vMerge w:val="continue"/>
            <w:noWrap w:val="0"/>
            <w:vAlign w:val="center"/>
          </w:tcPr>
          <w:p>
            <w:pPr>
              <w:pStyle w:val="35"/>
              <w:spacing w:line="290" w:lineRule="exact"/>
              <w:rPr>
                <w:szCs w:val="21"/>
              </w:rPr>
            </w:pPr>
          </w:p>
        </w:tc>
        <w:tc>
          <w:tcPr>
            <w:tcW w:w="888" w:type="pct"/>
            <w:noWrap w:val="0"/>
            <w:vAlign w:val="center"/>
          </w:tcPr>
          <w:p>
            <w:pPr>
              <w:pStyle w:val="35"/>
              <w:spacing w:line="290" w:lineRule="exact"/>
              <w:rPr>
                <w:szCs w:val="21"/>
              </w:rPr>
            </w:pPr>
            <w:r>
              <w:t>pH</w:t>
            </w:r>
            <w:r>
              <w:rPr>
                <w:rFonts w:hint="eastAsia"/>
              </w:rPr>
              <w:t>≤</w:t>
            </w:r>
            <w:r>
              <w:t>5.5</w:t>
            </w:r>
          </w:p>
        </w:tc>
        <w:tc>
          <w:tcPr>
            <w:tcW w:w="889" w:type="pct"/>
            <w:noWrap w:val="0"/>
            <w:vAlign w:val="center"/>
          </w:tcPr>
          <w:p>
            <w:pPr>
              <w:pStyle w:val="35"/>
              <w:spacing w:line="290" w:lineRule="exact"/>
              <w:rPr>
                <w:szCs w:val="21"/>
              </w:rPr>
            </w:pPr>
            <w:r>
              <w:t>5.5&lt;pH</w:t>
            </w:r>
            <w:r>
              <w:rPr>
                <w:rFonts w:hint="eastAsia"/>
              </w:rPr>
              <w:t>≤</w:t>
            </w:r>
            <w:r>
              <w:t>6.5</w:t>
            </w:r>
          </w:p>
        </w:tc>
        <w:tc>
          <w:tcPr>
            <w:tcW w:w="809" w:type="pct"/>
            <w:noWrap w:val="0"/>
            <w:vAlign w:val="center"/>
          </w:tcPr>
          <w:p>
            <w:pPr>
              <w:pStyle w:val="35"/>
              <w:spacing w:line="290" w:lineRule="exact"/>
              <w:rPr>
                <w:szCs w:val="21"/>
              </w:rPr>
            </w:pPr>
            <w:r>
              <w:t>6.5&lt;pH</w:t>
            </w:r>
            <w:r>
              <w:rPr>
                <w:rFonts w:hint="eastAsia"/>
              </w:rPr>
              <w:t>≤</w:t>
            </w:r>
            <w:r>
              <w:t>7.5</w:t>
            </w:r>
          </w:p>
        </w:tc>
        <w:tc>
          <w:tcPr>
            <w:tcW w:w="808" w:type="pct"/>
            <w:noWrap w:val="0"/>
            <w:vAlign w:val="center"/>
          </w:tcPr>
          <w:p>
            <w:pPr>
              <w:pStyle w:val="35"/>
              <w:spacing w:line="290" w:lineRule="exact"/>
              <w:rPr>
                <w:szCs w:val="21"/>
              </w:rPr>
            </w:pPr>
            <w:r>
              <w:t>pH&gt;7.5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1</w:t>
            </w:r>
          </w:p>
        </w:tc>
        <w:tc>
          <w:tcPr>
            <w:tcW w:w="1004" w:type="pct"/>
            <w:noWrap w:val="0"/>
            <w:vAlign w:val="center"/>
          </w:tcPr>
          <w:p>
            <w:pPr>
              <w:pStyle w:val="35"/>
              <w:spacing w:line="290" w:lineRule="exact"/>
              <w:rPr>
                <w:szCs w:val="21"/>
              </w:rPr>
            </w:pPr>
            <w:r>
              <w:rPr>
                <w:rFonts w:hint="eastAsia"/>
              </w:rPr>
              <w:t>镉</w:t>
            </w:r>
          </w:p>
        </w:tc>
        <w:tc>
          <w:tcPr>
            <w:tcW w:w="888" w:type="pct"/>
            <w:noWrap w:val="0"/>
            <w:vAlign w:val="center"/>
          </w:tcPr>
          <w:p>
            <w:pPr>
              <w:pStyle w:val="35"/>
              <w:spacing w:line="290" w:lineRule="exact"/>
              <w:rPr>
                <w:szCs w:val="21"/>
              </w:rPr>
            </w:pPr>
            <w:r>
              <w:t>0.3</w:t>
            </w:r>
          </w:p>
        </w:tc>
        <w:tc>
          <w:tcPr>
            <w:tcW w:w="889" w:type="pct"/>
            <w:noWrap w:val="0"/>
            <w:vAlign w:val="center"/>
          </w:tcPr>
          <w:p>
            <w:pPr>
              <w:pStyle w:val="35"/>
              <w:spacing w:line="290" w:lineRule="exact"/>
              <w:rPr>
                <w:szCs w:val="21"/>
              </w:rPr>
            </w:pPr>
            <w:r>
              <w:t>0.3</w:t>
            </w:r>
          </w:p>
        </w:tc>
        <w:tc>
          <w:tcPr>
            <w:tcW w:w="809" w:type="pct"/>
            <w:noWrap w:val="0"/>
            <w:vAlign w:val="center"/>
          </w:tcPr>
          <w:p>
            <w:pPr>
              <w:pStyle w:val="35"/>
              <w:spacing w:line="290" w:lineRule="exact"/>
              <w:rPr>
                <w:szCs w:val="21"/>
              </w:rPr>
            </w:pPr>
            <w:r>
              <w:t>0.3</w:t>
            </w:r>
          </w:p>
        </w:tc>
        <w:tc>
          <w:tcPr>
            <w:tcW w:w="808" w:type="pct"/>
            <w:noWrap w:val="0"/>
            <w:vAlign w:val="center"/>
          </w:tcPr>
          <w:p>
            <w:pPr>
              <w:pStyle w:val="35"/>
              <w:spacing w:line="290" w:lineRule="exact"/>
              <w:rPr>
                <w:szCs w:val="21"/>
              </w:rPr>
            </w:pPr>
            <w:r>
              <w:t>0.6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2</w:t>
            </w:r>
          </w:p>
        </w:tc>
        <w:tc>
          <w:tcPr>
            <w:tcW w:w="1004" w:type="pct"/>
            <w:noWrap w:val="0"/>
            <w:vAlign w:val="center"/>
          </w:tcPr>
          <w:p>
            <w:pPr>
              <w:pStyle w:val="35"/>
              <w:spacing w:line="290" w:lineRule="exact"/>
              <w:rPr>
                <w:szCs w:val="21"/>
              </w:rPr>
            </w:pPr>
            <w:r>
              <w:rPr>
                <w:rFonts w:hint="eastAsia"/>
              </w:rPr>
              <w:t>汞</w:t>
            </w:r>
          </w:p>
        </w:tc>
        <w:tc>
          <w:tcPr>
            <w:tcW w:w="888" w:type="pct"/>
            <w:noWrap w:val="0"/>
            <w:vAlign w:val="center"/>
          </w:tcPr>
          <w:p>
            <w:pPr>
              <w:pStyle w:val="35"/>
              <w:spacing w:line="290" w:lineRule="exact"/>
              <w:rPr>
                <w:szCs w:val="21"/>
              </w:rPr>
            </w:pPr>
            <w:r>
              <w:t>1.3</w:t>
            </w:r>
          </w:p>
        </w:tc>
        <w:tc>
          <w:tcPr>
            <w:tcW w:w="889" w:type="pct"/>
            <w:noWrap w:val="0"/>
            <w:vAlign w:val="center"/>
          </w:tcPr>
          <w:p>
            <w:pPr>
              <w:pStyle w:val="35"/>
              <w:spacing w:line="290" w:lineRule="exact"/>
              <w:rPr>
                <w:szCs w:val="21"/>
              </w:rPr>
            </w:pPr>
            <w:r>
              <w:t>1.8</w:t>
            </w:r>
          </w:p>
        </w:tc>
        <w:tc>
          <w:tcPr>
            <w:tcW w:w="809" w:type="pct"/>
            <w:noWrap w:val="0"/>
            <w:vAlign w:val="center"/>
          </w:tcPr>
          <w:p>
            <w:pPr>
              <w:pStyle w:val="35"/>
              <w:spacing w:line="290" w:lineRule="exact"/>
              <w:rPr>
                <w:szCs w:val="21"/>
              </w:rPr>
            </w:pPr>
            <w:r>
              <w:t>2.4</w:t>
            </w:r>
          </w:p>
        </w:tc>
        <w:tc>
          <w:tcPr>
            <w:tcW w:w="808" w:type="pct"/>
            <w:noWrap w:val="0"/>
            <w:vAlign w:val="center"/>
          </w:tcPr>
          <w:p>
            <w:pPr>
              <w:pStyle w:val="35"/>
              <w:spacing w:line="290" w:lineRule="exact"/>
              <w:rPr>
                <w:szCs w:val="21"/>
              </w:rPr>
            </w:pPr>
            <w:r>
              <w:t>3.4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3</w:t>
            </w:r>
          </w:p>
        </w:tc>
        <w:tc>
          <w:tcPr>
            <w:tcW w:w="1004" w:type="pct"/>
            <w:noWrap w:val="0"/>
            <w:vAlign w:val="center"/>
          </w:tcPr>
          <w:p>
            <w:pPr>
              <w:pStyle w:val="35"/>
              <w:spacing w:line="290" w:lineRule="exact"/>
              <w:rPr>
                <w:szCs w:val="21"/>
              </w:rPr>
            </w:pPr>
            <w:r>
              <w:rPr>
                <w:rFonts w:hint="eastAsia"/>
              </w:rPr>
              <w:t>砷</w:t>
            </w:r>
          </w:p>
        </w:tc>
        <w:tc>
          <w:tcPr>
            <w:tcW w:w="888" w:type="pct"/>
            <w:noWrap w:val="0"/>
            <w:vAlign w:val="center"/>
          </w:tcPr>
          <w:p>
            <w:pPr>
              <w:pStyle w:val="35"/>
              <w:spacing w:line="290" w:lineRule="exact"/>
              <w:rPr>
                <w:szCs w:val="21"/>
              </w:rPr>
            </w:pPr>
            <w:r>
              <w:t>40</w:t>
            </w:r>
          </w:p>
        </w:tc>
        <w:tc>
          <w:tcPr>
            <w:tcW w:w="889" w:type="pct"/>
            <w:noWrap w:val="0"/>
            <w:vAlign w:val="center"/>
          </w:tcPr>
          <w:p>
            <w:pPr>
              <w:pStyle w:val="35"/>
              <w:spacing w:line="290" w:lineRule="exact"/>
              <w:rPr>
                <w:szCs w:val="21"/>
              </w:rPr>
            </w:pPr>
            <w:r>
              <w:t>40</w:t>
            </w:r>
          </w:p>
        </w:tc>
        <w:tc>
          <w:tcPr>
            <w:tcW w:w="809" w:type="pct"/>
            <w:noWrap w:val="0"/>
            <w:vAlign w:val="center"/>
          </w:tcPr>
          <w:p>
            <w:pPr>
              <w:pStyle w:val="35"/>
              <w:spacing w:line="290" w:lineRule="exact"/>
              <w:rPr>
                <w:szCs w:val="21"/>
              </w:rPr>
            </w:pPr>
            <w:r>
              <w:t>30</w:t>
            </w:r>
          </w:p>
        </w:tc>
        <w:tc>
          <w:tcPr>
            <w:tcW w:w="808" w:type="pct"/>
            <w:noWrap w:val="0"/>
            <w:vAlign w:val="center"/>
          </w:tcPr>
          <w:p>
            <w:pPr>
              <w:pStyle w:val="35"/>
              <w:spacing w:line="290" w:lineRule="exact"/>
              <w:rPr>
                <w:szCs w:val="21"/>
              </w:rPr>
            </w:pPr>
            <w:r>
              <w:t>25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4</w:t>
            </w:r>
          </w:p>
        </w:tc>
        <w:tc>
          <w:tcPr>
            <w:tcW w:w="1004" w:type="pct"/>
            <w:noWrap w:val="0"/>
            <w:vAlign w:val="center"/>
          </w:tcPr>
          <w:p>
            <w:pPr>
              <w:pStyle w:val="35"/>
              <w:spacing w:line="290" w:lineRule="exact"/>
              <w:rPr>
                <w:szCs w:val="21"/>
              </w:rPr>
            </w:pPr>
            <w:r>
              <w:rPr>
                <w:rFonts w:hint="eastAsia"/>
              </w:rPr>
              <w:t>铅</w:t>
            </w:r>
          </w:p>
        </w:tc>
        <w:tc>
          <w:tcPr>
            <w:tcW w:w="888" w:type="pct"/>
            <w:noWrap w:val="0"/>
            <w:vAlign w:val="center"/>
          </w:tcPr>
          <w:p>
            <w:pPr>
              <w:pStyle w:val="35"/>
              <w:spacing w:line="290" w:lineRule="exact"/>
              <w:rPr>
                <w:szCs w:val="21"/>
              </w:rPr>
            </w:pPr>
            <w:r>
              <w:t>70</w:t>
            </w:r>
          </w:p>
        </w:tc>
        <w:tc>
          <w:tcPr>
            <w:tcW w:w="889" w:type="pct"/>
            <w:noWrap w:val="0"/>
            <w:vAlign w:val="center"/>
          </w:tcPr>
          <w:p>
            <w:pPr>
              <w:pStyle w:val="35"/>
              <w:spacing w:line="290" w:lineRule="exact"/>
              <w:rPr>
                <w:szCs w:val="21"/>
              </w:rPr>
            </w:pPr>
            <w:r>
              <w:t>90</w:t>
            </w:r>
          </w:p>
        </w:tc>
        <w:tc>
          <w:tcPr>
            <w:tcW w:w="809" w:type="pct"/>
            <w:noWrap w:val="0"/>
            <w:vAlign w:val="center"/>
          </w:tcPr>
          <w:p>
            <w:pPr>
              <w:pStyle w:val="35"/>
              <w:spacing w:line="290" w:lineRule="exact"/>
              <w:rPr>
                <w:szCs w:val="21"/>
              </w:rPr>
            </w:pPr>
            <w:r>
              <w:t>120</w:t>
            </w:r>
          </w:p>
        </w:tc>
        <w:tc>
          <w:tcPr>
            <w:tcW w:w="808" w:type="pct"/>
            <w:noWrap w:val="0"/>
            <w:vAlign w:val="center"/>
          </w:tcPr>
          <w:p>
            <w:pPr>
              <w:pStyle w:val="35"/>
              <w:spacing w:line="290" w:lineRule="exact"/>
              <w:rPr>
                <w:szCs w:val="21"/>
              </w:rPr>
            </w:pPr>
            <w:r>
              <w:t>170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5</w:t>
            </w:r>
          </w:p>
        </w:tc>
        <w:tc>
          <w:tcPr>
            <w:tcW w:w="1004" w:type="pct"/>
            <w:noWrap w:val="0"/>
            <w:vAlign w:val="center"/>
          </w:tcPr>
          <w:p>
            <w:pPr>
              <w:pStyle w:val="35"/>
              <w:spacing w:line="290" w:lineRule="exact"/>
              <w:rPr>
                <w:szCs w:val="21"/>
              </w:rPr>
            </w:pPr>
            <w:r>
              <w:rPr>
                <w:rFonts w:hint="eastAsia"/>
              </w:rPr>
              <w:t>铬</w:t>
            </w:r>
          </w:p>
        </w:tc>
        <w:tc>
          <w:tcPr>
            <w:tcW w:w="888" w:type="pct"/>
            <w:noWrap w:val="0"/>
            <w:vAlign w:val="center"/>
          </w:tcPr>
          <w:p>
            <w:pPr>
              <w:pStyle w:val="35"/>
              <w:spacing w:line="290" w:lineRule="exact"/>
              <w:rPr>
                <w:szCs w:val="21"/>
              </w:rPr>
            </w:pPr>
            <w:r>
              <w:t>150</w:t>
            </w:r>
          </w:p>
        </w:tc>
        <w:tc>
          <w:tcPr>
            <w:tcW w:w="889" w:type="pct"/>
            <w:noWrap w:val="0"/>
            <w:vAlign w:val="center"/>
          </w:tcPr>
          <w:p>
            <w:pPr>
              <w:pStyle w:val="35"/>
              <w:spacing w:line="290" w:lineRule="exact"/>
              <w:rPr>
                <w:szCs w:val="21"/>
              </w:rPr>
            </w:pPr>
            <w:r>
              <w:t>150</w:t>
            </w:r>
          </w:p>
        </w:tc>
        <w:tc>
          <w:tcPr>
            <w:tcW w:w="809" w:type="pct"/>
            <w:noWrap w:val="0"/>
            <w:vAlign w:val="center"/>
          </w:tcPr>
          <w:p>
            <w:pPr>
              <w:pStyle w:val="35"/>
              <w:spacing w:line="290" w:lineRule="exact"/>
              <w:rPr>
                <w:szCs w:val="21"/>
              </w:rPr>
            </w:pPr>
            <w:r>
              <w:t>200</w:t>
            </w:r>
          </w:p>
        </w:tc>
        <w:tc>
          <w:tcPr>
            <w:tcW w:w="808" w:type="pct"/>
            <w:noWrap w:val="0"/>
            <w:vAlign w:val="center"/>
          </w:tcPr>
          <w:p>
            <w:pPr>
              <w:pStyle w:val="35"/>
              <w:spacing w:line="290" w:lineRule="exact"/>
              <w:rPr>
                <w:szCs w:val="21"/>
              </w:rPr>
            </w:pPr>
            <w:r>
              <w:t>250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6</w:t>
            </w:r>
          </w:p>
        </w:tc>
        <w:tc>
          <w:tcPr>
            <w:tcW w:w="1004" w:type="pct"/>
            <w:noWrap w:val="0"/>
            <w:vAlign w:val="center"/>
          </w:tcPr>
          <w:p>
            <w:pPr>
              <w:pStyle w:val="35"/>
              <w:spacing w:line="290" w:lineRule="exact"/>
              <w:rPr>
                <w:szCs w:val="21"/>
              </w:rPr>
            </w:pPr>
            <w:r>
              <w:rPr>
                <w:rFonts w:hint="eastAsia"/>
              </w:rPr>
              <w:t>铜</w:t>
            </w:r>
          </w:p>
        </w:tc>
        <w:tc>
          <w:tcPr>
            <w:tcW w:w="888" w:type="pct"/>
            <w:noWrap w:val="0"/>
            <w:vAlign w:val="center"/>
          </w:tcPr>
          <w:p>
            <w:pPr>
              <w:pStyle w:val="35"/>
              <w:spacing w:line="290" w:lineRule="exact"/>
              <w:rPr>
                <w:szCs w:val="21"/>
              </w:rPr>
            </w:pPr>
            <w:r>
              <w:t>50</w:t>
            </w:r>
          </w:p>
        </w:tc>
        <w:tc>
          <w:tcPr>
            <w:tcW w:w="889" w:type="pct"/>
            <w:noWrap w:val="0"/>
            <w:vAlign w:val="center"/>
          </w:tcPr>
          <w:p>
            <w:pPr>
              <w:pStyle w:val="35"/>
              <w:spacing w:line="290" w:lineRule="exact"/>
              <w:rPr>
                <w:szCs w:val="21"/>
              </w:rPr>
            </w:pPr>
            <w:r>
              <w:t>50</w:t>
            </w:r>
          </w:p>
        </w:tc>
        <w:tc>
          <w:tcPr>
            <w:tcW w:w="809" w:type="pct"/>
            <w:noWrap w:val="0"/>
            <w:vAlign w:val="center"/>
          </w:tcPr>
          <w:p>
            <w:pPr>
              <w:pStyle w:val="35"/>
              <w:spacing w:line="290" w:lineRule="exact"/>
              <w:rPr>
                <w:szCs w:val="21"/>
              </w:rPr>
            </w:pPr>
            <w:r>
              <w:t>100</w:t>
            </w:r>
          </w:p>
        </w:tc>
        <w:tc>
          <w:tcPr>
            <w:tcW w:w="808" w:type="pct"/>
            <w:noWrap w:val="0"/>
            <w:vAlign w:val="center"/>
          </w:tcPr>
          <w:p>
            <w:pPr>
              <w:pStyle w:val="35"/>
              <w:spacing w:line="290" w:lineRule="exact"/>
              <w:rPr>
                <w:szCs w:val="21"/>
              </w:rPr>
            </w:pPr>
            <w:r>
              <w:t>100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7</w:t>
            </w:r>
          </w:p>
        </w:tc>
        <w:tc>
          <w:tcPr>
            <w:tcW w:w="1004" w:type="pct"/>
            <w:noWrap w:val="0"/>
            <w:vAlign w:val="center"/>
          </w:tcPr>
          <w:p>
            <w:pPr>
              <w:pStyle w:val="35"/>
              <w:spacing w:line="290" w:lineRule="exact"/>
              <w:rPr>
                <w:szCs w:val="21"/>
              </w:rPr>
            </w:pPr>
            <w:r>
              <w:rPr>
                <w:rFonts w:hint="eastAsia"/>
              </w:rPr>
              <w:t>镍</w:t>
            </w:r>
          </w:p>
        </w:tc>
        <w:tc>
          <w:tcPr>
            <w:tcW w:w="888" w:type="pct"/>
            <w:noWrap w:val="0"/>
            <w:vAlign w:val="center"/>
          </w:tcPr>
          <w:p>
            <w:pPr>
              <w:pStyle w:val="35"/>
              <w:spacing w:line="290" w:lineRule="exact"/>
              <w:rPr>
                <w:szCs w:val="21"/>
              </w:rPr>
            </w:pPr>
            <w:r>
              <w:t>60</w:t>
            </w:r>
          </w:p>
        </w:tc>
        <w:tc>
          <w:tcPr>
            <w:tcW w:w="889" w:type="pct"/>
            <w:noWrap w:val="0"/>
            <w:vAlign w:val="center"/>
          </w:tcPr>
          <w:p>
            <w:pPr>
              <w:pStyle w:val="35"/>
              <w:spacing w:line="290" w:lineRule="exact"/>
              <w:rPr>
                <w:szCs w:val="21"/>
              </w:rPr>
            </w:pPr>
            <w:r>
              <w:t>70</w:t>
            </w:r>
          </w:p>
        </w:tc>
        <w:tc>
          <w:tcPr>
            <w:tcW w:w="809" w:type="pct"/>
            <w:noWrap w:val="0"/>
            <w:vAlign w:val="center"/>
          </w:tcPr>
          <w:p>
            <w:pPr>
              <w:pStyle w:val="35"/>
              <w:spacing w:line="290" w:lineRule="exact"/>
              <w:rPr>
                <w:szCs w:val="21"/>
              </w:rPr>
            </w:pPr>
            <w:r>
              <w:t>100</w:t>
            </w:r>
          </w:p>
        </w:tc>
        <w:tc>
          <w:tcPr>
            <w:tcW w:w="808" w:type="pct"/>
            <w:noWrap w:val="0"/>
            <w:vAlign w:val="center"/>
          </w:tcPr>
          <w:p>
            <w:pPr>
              <w:pStyle w:val="35"/>
              <w:spacing w:line="290" w:lineRule="exact"/>
              <w:rPr>
                <w:szCs w:val="21"/>
              </w:rPr>
            </w:pPr>
            <w:r>
              <w:t>190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602" w:type="pct"/>
            <w:noWrap w:val="0"/>
            <w:vAlign w:val="center"/>
          </w:tcPr>
          <w:p>
            <w:pPr>
              <w:pStyle w:val="35"/>
              <w:spacing w:line="290" w:lineRule="exact"/>
              <w:rPr>
                <w:szCs w:val="21"/>
              </w:rPr>
            </w:pPr>
            <w:r>
              <w:rPr>
                <w:rFonts w:hint="eastAsia"/>
                <w:szCs w:val="21"/>
              </w:rPr>
              <w:t>8</w:t>
            </w:r>
          </w:p>
        </w:tc>
        <w:tc>
          <w:tcPr>
            <w:tcW w:w="1004" w:type="pct"/>
            <w:noWrap w:val="0"/>
            <w:vAlign w:val="center"/>
          </w:tcPr>
          <w:p>
            <w:pPr>
              <w:pStyle w:val="35"/>
              <w:spacing w:line="290" w:lineRule="exact"/>
              <w:rPr>
                <w:szCs w:val="21"/>
              </w:rPr>
            </w:pPr>
            <w:r>
              <w:rPr>
                <w:rFonts w:hint="eastAsia"/>
              </w:rPr>
              <w:t>锌</w:t>
            </w:r>
          </w:p>
        </w:tc>
        <w:tc>
          <w:tcPr>
            <w:tcW w:w="888" w:type="pct"/>
            <w:noWrap w:val="0"/>
            <w:vAlign w:val="center"/>
          </w:tcPr>
          <w:p>
            <w:pPr>
              <w:pStyle w:val="35"/>
              <w:spacing w:line="290" w:lineRule="exact"/>
              <w:rPr>
                <w:szCs w:val="21"/>
              </w:rPr>
            </w:pPr>
            <w:r>
              <w:t>200</w:t>
            </w:r>
          </w:p>
        </w:tc>
        <w:tc>
          <w:tcPr>
            <w:tcW w:w="889" w:type="pct"/>
            <w:noWrap w:val="0"/>
            <w:vAlign w:val="center"/>
          </w:tcPr>
          <w:p>
            <w:pPr>
              <w:pStyle w:val="35"/>
              <w:spacing w:line="290" w:lineRule="exact"/>
              <w:rPr>
                <w:szCs w:val="21"/>
              </w:rPr>
            </w:pPr>
            <w:r>
              <w:t>200</w:t>
            </w:r>
          </w:p>
        </w:tc>
        <w:tc>
          <w:tcPr>
            <w:tcW w:w="809" w:type="pct"/>
            <w:noWrap w:val="0"/>
            <w:vAlign w:val="center"/>
          </w:tcPr>
          <w:p>
            <w:pPr>
              <w:pStyle w:val="35"/>
              <w:spacing w:line="290" w:lineRule="exact"/>
              <w:rPr>
                <w:szCs w:val="21"/>
              </w:rPr>
            </w:pPr>
            <w:r>
              <w:t>250</w:t>
            </w:r>
          </w:p>
        </w:tc>
        <w:tc>
          <w:tcPr>
            <w:tcW w:w="808" w:type="pct"/>
            <w:noWrap w:val="0"/>
            <w:vAlign w:val="center"/>
          </w:tcPr>
          <w:p>
            <w:pPr>
              <w:pStyle w:val="35"/>
              <w:spacing w:line="290" w:lineRule="exact"/>
              <w:rPr>
                <w:szCs w:val="21"/>
              </w:rPr>
            </w:pPr>
            <w:r>
              <w:t>300</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2.6.2  污染物排放标准</w:t>
      </w:r>
      <w:bookmarkEnd w:id="20"/>
    </w:p>
    <w:p>
      <w:pPr>
        <w:pStyle w:val="27"/>
        <w:ind w:firstLine="560"/>
      </w:pPr>
      <w:r>
        <w:t>本次评价执行的污染物排放标准见表2.6-</w:t>
      </w:r>
      <w:r>
        <w:rPr>
          <w:rFonts w:hint="eastAsia"/>
        </w:rPr>
        <w:t>4</w:t>
      </w:r>
      <w:r>
        <w:t>。</w:t>
      </w:r>
    </w:p>
    <w:p>
      <w:pPr>
        <w:pStyle w:val="32"/>
      </w:pPr>
      <w:r>
        <w:t>表2.6-</w:t>
      </w:r>
      <w:r>
        <w:rPr>
          <w:rFonts w:hint="eastAsia"/>
        </w:rPr>
        <w:t>4</w:t>
      </w:r>
      <w:r>
        <w:t xml:space="preserve">                   污染物排放标准一览表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5"/>
        <w:gridCol w:w="1276"/>
        <w:gridCol w:w="2887"/>
        <w:gridCol w:w="801"/>
        <w:gridCol w:w="710"/>
        <w:gridCol w:w="849"/>
        <w:gridCol w:w="993"/>
        <w:gridCol w:w="101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restart"/>
            <w:noWrap w:val="0"/>
            <w:vAlign w:val="center"/>
          </w:tcPr>
          <w:p>
            <w:pPr>
              <w:pStyle w:val="36"/>
              <w:spacing w:line="300" w:lineRule="exact"/>
              <w:rPr>
                <w:snapToGrid w:val="0"/>
                <w:color w:val="auto"/>
                <w:szCs w:val="21"/>
              </w:rPr>
            </w:pPr>
            <w:r>
              <w:rPr>
                <w:snapToGrid w:val="0"/>
                <w:color w:val="auto"/>
                <w:szCs w:val="21"/>
              </w:rPr>
              <w:t>项目</w:t>
            </w:r>
          </w:p>
        </w:tc>
        <w:tc>
          <w:tcPr>
            <w:tcW w:w="1611" w:type="pct"/>
            <w:vMerge w:val="restart"/>
            <w:noWrap w:val="0"/>
            <w:vAlign w:val="center"/>
          </w:tcPr>
          <w:p>
            <w:pPr>
              <w:pStyle w:val="36"/>
              <w:spacing w:line="300" w:lineRule="exact"/>
              <w:rPr>
                <w:snapToGrid w:val="0"/>
                <w:color w:val="auto"/>
                <w:szCs w:val="21"/>
              </w:rPr>
            </w:pPr>
            <w:r>
              <w:rPr>
                <w:snapToGrid w:val="0"/>
                <w:color w:val="auto"/>
                <w:szCs w:val="21"/>
              </w:rPr>
              <w:t>标准名称</w:t>
            </w:r>
          </w:p>
          <w:p>
            <w:pPr>
              <w:pStyle w:val="36"/>
              <w:spacing w:line="300" w:lineRule="exact"/>
              <w:rPr>
                <w:snapToGrid w:val="0"/>
                <w:color w:val="auto"/>
                <w:szCs w:val="21"/>
              </w:rPr>
            </w:pPr>
            <w:r>
              <w:rPr>
                <w:snapToGrid w:val="0"/>
                <w:color w:val="auto"/>
                <w:szCs w:val="21"/>
              </w:rPr>
              <w:t>及标准号</w:t>
            </w:r>
          </w:p>
        </w:tc>
        <w:tc>
          <w:tcPr>
            <w:tcW w:w="447" w:type="pct"/>
            <w:vMerge w:val="restart"/>
            <w:noWrap w:val="0"/>
            <w:vAlign w:val="center"/>
          </w:tcPr>
          <w:p>
            <w:pPr>
              <w:pStyle w:val="36"/>
              <w:spacing w:line="300" w:lineRule="exact"/>
              <w:rPr>
                <w:snapToGrid w:val="0"/>
                <w:color w:val="auto"/>
                <w:szCs w:val="21"/>
              </w:rPr>
            </w:pPr>
            <w:r>
              <w:rPr>
                <w:snapToGrid w:val="0"/>
                <w:color w:val="auto"/>
                <w:szCs w:val="21"/>
              </w:rPr>
              <w:t>级(类)别</w:t>
            </w:r>
          </w:p>
        </w:tc>
        <w:tc>
          <w:tcPr>
            <w:tcW w:w="870" w:type="pct"/>
            <w:gridSpan w:val="2"/>
            <w:vMerge w:val="restart"/>
            <w:noWrap w:val="0"/>
            <w:vAlign w:val="center"/>
          </w:tcPr>
          <w:p>
            <w:pPr>
              <w:pStyle w:val="36"/>
              <w:spacing w:line="300" w:lineRule="exact"/>
              <w:rPr>
                <w:snapToGrid w:val="0"/>
                <w:color w:val="auto"/>
                <w:szCs w:val="21"/>
              </w:rPr>
            </w:pPr>
            <w:r>
              <w:rPr>
                <w:snapToGrid w:val="0"/>
                <w:color w:val="auto"/>
                <w:szCs w:val="21"/>
              </w:rPr>
              <w:t>因子</w:t>
            </w:r>
          </w:p>
        </w:tc>
        <w:tc>
          <w:tcPr>
            <w:tcW w:w="1122" w:type="pct"/>
            <w:gridSpan w:val="2"/>
            <w:noWrap w:val="0"/>
            <w:vAlign w:val="center"/>
          </w:tcPr>
          <w:p>
            <w:pPr>
              <w:pStyle w:val="36"/>
              <w:spacing w:line="300" w:lineRule="exact"/>
              <w:rPr>
                <w:snapToGrid w:val="0"/>
                <w:color w:val="auto"/>
                <w:szCs w:val="21"/>
              </w:rPr>
            </w:pPr>
            <w:r>
              <w:rPr>
                <w:snapToGrid w:val="0"/>
                <w:color w:val="auto"/>
                <w:szCs w:val="21"/>
              </w:rPr>
              <w:t>排放限值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blHeader/>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vMerge w:val="continue"/>
            <w:noWrap w:val="0"/>
            <w:vAlign w:val="center"/>
          </w:tcPr>
          <w:p>
            <w:pPr>
              <w:pStyle w:val="36"/>
              <w:spacing w:line="300" w:lineRule="exact"/>
              <w:rPr>
                <w:snapToGrid w:val="0"/>
                <w:color w:val="auto"/>
                <w:szCs w:val="21"/>
              </w:rPr>
            </w:pPr>
          </w:p>
        </w:tc>
        <w:tc>
          <w:tcPr>
            <w:tcW w:w="554" w:type="pct"/>
            <w:noWrap w:val="0"/>
            <w:vAlign w:val="center"/>
          </w:tcPr>
          <w:p>
            <w:pPr>
              <w:pStyle w:val="36"/>
              <w:spacing w:line="300" w:lineRule="exact"/>
              <w:rPr>
                <w:snapToGrid w:val="0"/>
                <w:color w:val="auto"/>
                <w:szCs w:val="21"/>
              </w:rPr>
            </w:pPr>
            <w:r>
              <w:rPr>
                <w:snapToGrid w:val="0"/>
                <w:color w:val="auto"/>
                <w:szCs w:val="21"/>
              </w:rPr>
              <w:t>单位</w:t>
            </w:r>
          </w:p>
        </w:tc>
        <w:tc>
          <w:tcPr>
            <w:tcW w:w="568" w:type="pct"/>
            <w:noWrap w:val="0"/>
            <w:vAlign w:val="center"/>
          </w:tcPr>
          <w:p>
            <w:pPr>
              <w:pStyle w:val="36"/>
              <w:spacing w:line="300" w:lineRule="exact"/>
              <w:rPr>
                <w:snapToGrid w:val="0"/>
                <w:color w:val="auto"/>
                <w:szCs w:val="21"/>
              </w:rPr>
            </w:pPr>
            <w:r>
              <w:rPr>
                <w:snapToGrid w:val="0"/>
                <w:color w:val="auto"/>
                <w:szCs w:val="21"/>
              </w:rPr>
              <w:t>数值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30" w:hRule="atLeast"/>
          <w:tblHeader/>
          <w:jc w:val="center"/>
        </w:trPr>
        <w:tc>
          <w:tcPr>
            <w:tcW w:w="238" w:type="pct"/>
            <w:vMerge w:val="restart"/>
            <w:noWrap w:val="0"/>
            <w:vAlign w:val="center"/>
          </w:tcPr>
          <w:p>
            <w:pPr>
              <w:pStyle w:val="36"/>
              <w:spacing w:line="300" w:lineRule="exact"/>
              <w:rPr>
                <w:snapToGrid w:val="0"/>
                <w:color w:val="auto"/>
                <w:szCs w:val="21"/>
              </w:rPr>
            </w:pPr>
            <w:r>
              <w:rPr>
                <w:rFonts w:hint="eastAsia"/>
                <w:snapToGrid w:val="0"/>
                <w:color w:val="auto"/>
                <w:szCs w:val="21"/>
              </w:rPr>
              <w:t>废气</w:t>
            </w:r>
          </w:p>
        </w:tc>
        <w:tc>
          <w:tcPr>
            <w:tcW w:w="712" w:type="pct"/>
            <w:noWrap w:val="0"/>
            <w:vAlign w:val="center"/>
          </w:tcPr>
          <w:p>
            <w:pPr>
              <w:pStyle w:val="36"/>
              <w:spacing w:line="300" w:lineRule="exact"/>
              <w:rPr>
                <w:snapToGrid w:val="0"/>
                <w:color w:val="auto"/>
                <w:szCs w:val="21"/>
              </w:rPr>
            </w:pPr>
            <w:r>
              <w:rPr>
                <w:rFonts w:hint="eastAsia"/>
                <w:snapToGrid w:val="0"/>
                <w:color w:val="auto"/>
                <w:szCs w:val="21"/>
              </w:rPr>
              <w:t>尾气洗涤塔</w:t>
            </w:r>
          </w:p>
        </w:tc>
        <w:tc>
          <w:tcPr>
            <w:tcW w:w="1611" w:type="pct"/>
            <w:noWrap w:val="0"/>
            <w:vAlign w:val="center"/>
          </w:tcPr>
          <w:p>
            <w:pPr>
              <w:pStyle w:val="36"/>
              <w:spacing w:line="300" w:lineRule="exact"/>
              <w:rPr>
                <w:rFonts w:hint="eastAsia"/>
                <w:color w:val="auto"/>
                <w:spacing w:val="2"/>
                <w:szCs w:val="21"/>
              </w:rPr>
            </w:pPr>
            <w:r>
              <w:rPr>
                <w:rFonts w:hint="eastAsia"/>
                <w:color w:val="auto"/>
                <w:spacing w:val="2"/>
                <w:szCs w:val="21"/>
              </w:rPr>
              <w:t>参照</w:t>
            </w:r>
            <w:bookmarkStart w:id="21" w:name="_Hlk68248559"/>
            <w:r>
              <w:rPr>
                <w:color w:val="auto"/>
                <w:spacing w:val="2"/>
                <w:szCs w:val="21"/>
              </w:rPr>
              <w:t>《石油化学工业污染物排放标准》（GB31571-2015）</w:t>
            </w:r>
            <w:bookmarkEnd w:id="21"/>
          </w:p>
        </w:tc>
        <w:tc>
          <w:tcPr>
            <w:tcW w:w="447" w:type="pct"/>
            <w:noWrap w:val="0"/>
            <w:vAlign w:val="center"/>
          </w:tcPr>
          <w:p>
            <w:pPr>
              <w:pStyle w:val="36"/>
              <w:spacing w:line="300" w:lineRule="exact"/>
              <w:rPr>
                <w:snapToGrid w:val="0"/>
                <w:color w:val="auto"/>
                <w:szCs w:val="21"/>
              </w:rPr>
            </w:pPr>
            <w:r>
              <w:rPr>
                <w:rFonts w:hint="eastAsia"/>
                <w:snapToGrid w:val="0"/>
                <w:color w:val="auto"/>
                <w:szCs w:val="21"/>
              </w:rPr>
              <w:t>表6</w:t>
            </w:r>
          </w:p>
        </w:tc>
        <w:tc>
          <w:tcPr>
            <w:tcW w:w="870" w:type="pct"/>
            <w:gridSpan w:val="2"/>
            <w:noWrap w:val="0"/>
            <w:vAlign w:val="center"/>
          </w:tcPr>
          <w:p>
            <w:pPr>
              <w:pStyle w:val="36"/>
              <w:spacing w:line="300" w:lineRule="exact"/>
              <w:rPr>
                <w:snapToGrid w:val="0"/>
                <w:color w:val="auto"/>
                <w:szCs w:val="21"/>
              </w:rPr>
            </w:pPr>
            <w:r>
              <w:rPr>
                <w:rFonts w:hint="eastAsia"/>
                <w:snapToGrid w:val="0"/>
                <w:color w:val="auto"/>
                <w:szCs w:val="21"/>
              </w:rPr>
              <w:t>乙二醇*</w:t>
            </w:r>
          </w:p>
        </w:tc>
        <w:tc>
          <w:tcPr>
            <w:tcW w:w="554" w:type="pct"/>
            <w:noWrap w:val="0"/>
            <w:vAlign w:val="center"/>
          </w:tcPr>
          <w:p>
            <w:pPr>
              <w:pStyle w:val="36"/>
              <w:spacing w:line="300" w:lineRule="exact"/>
              <w:rPr>
                <w:snapToGrid w:val="0"/>
                <w:color w:val="auto"/>
                <w:szCs w:val="21"/>
              </w:rPr>
            </w:pPr>
            <w:r>
              <w:rPr>
                <w:snapToGrid w:val="0"/>
                <w:color w:val="auto"/>
                <w:szCs w:val="21"/>
              </w:rPr>
              <w:t>mg/m</w:t>
            </w:r>
            <w:r>
              <w:rPr>
                <w:snapToGrid w:val="0"/>
                <w:color w:val="auto"/>
                <w:szCs w:val="21"/>
                <w:vertAlign w:val="superscript"/>
              </w:rPr>
              <w:t>3</w:t>
            </w:r>
          </w:p>
        </w:tc>
        <w:tc>
          <w:tcPr>
            <w:tcW w:w="568" w:type="pct"/>
            <w:noWrap w:val="0"/>
            <w:vAlign w:val="center"/>
          </w:tcPr>
          <w:p>
            <w:pPr>
              <w:pStyle w:val="36"/>
              <w:spacing w:line="300" w:lineRule="exact"/>
              <w:rPr>
                <w:snapToGrid w:val="0"/>
                <w:color w:val="auto"/>
                <w:szCs w:val="21"/>
              </w:rPr>
            </w:pPr>
            <w:r>
              <w:rPr>
                <w:snapToGrid w:val="0"/>
                <w:color w:val="auto"/>
                <w:szCs w:val="21"/>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blHeader/>
          <w:jc w:val="center"/>
        </w:trPr>
        <w:tc>
          <w:tcPr>
            <w:tcW w:w="238" w:type="pct"/>
            <w:vMerge w:val="continue"/>
            <w:noWrap w:val="0"/>
            <w:vAlign w:val="center"/>
          </w:tcPr>
          <w:p>
            <w:pPr>
              <w:pStyle w:val="36"/>
              <w:spacing w:line="300" w:lineRule="exact"/>
              <w:rPr>
                <w:snapToGrid w:val="0"/>
                <w:color w:val="auto"/>
                <w:szCs w:val="21"/>
              </w:rPr>
            </w:pPr>
          </w:p>
        </w:tc>
        <w:tc>
          <w:tcPr>
            <w:tcW w:w="712" w:type="pct"/>
            <w:noWrap w:val="0"/>
            <w:vAlign w:val="center"/>
          </w:tcPr>
          <w:p>
            <w:pPr>
              <w:pStyle w:val="36"/>
              <w:spacing w:line="300" w:lineRule="exact"/>
              <w:rPr>
                <w:snapToGrid w:val="0"/>
                <w:color w:val="auto"/>
                <w:szCs w:val="21"/>
              </w:rPr>
            </w:pPr>
            <w:r>
              <w:rPr>
                <w:rFonts w:hint="eastAsia"/>
                <w:snapToGrid w:val="0"/>
                <w:color w:val="auto"/>
                <w:szCs w:val="21"/>
              </w:rPr>
              <w:t>厂界</w:t>
            </w:r>
          </w:p>
          <w:p>
            <w:pPr>
              <w:pStyle w:val="36"/>
              <w:spacing w:line="300" w:lineRule="exact"/>
              <w:rPr>
                <w:rFonts w:hint="eastAsia"/>
                <w:snapToGrid w:val="0"/>
                <w:color w:val="auto"/>
                <w:szCs w:val="21"/>
              </w:rPr>
            </w:pPr>
            <w:r>
              <w:rPr>
                <w:rFonts w:hint="eastAsia"/>
                <w:snapToGrid w:val="0"/>
                <w:color w:val="auto"/>
                <w:szCs w:val="21"/>
              </w:rPr>
              <w:t>无组织</w:t>
            </w:r>
          </w:p>
        </w:tc>
        <w:tc>
          <w:tcPr>
            <w:tcW w:w="1611" w:type="pct"/>
            <w:noWrap w:val="0"/>
            <w:vAlign w:val="center"/>
          </w:tcPr>
          <w:p>
            <w:pPr>
              <w:pStyle w:val="36"/>
              <w:spacing w:line="300" w:lineRule="exact"/>
              <w:jc w:val="left"/>
              <w:rPr>
                <w:snapToGrid w:val="0"/>
                <w:color w:val="auto"/>
                <w:szCs w:val="21"/>
              </w:rPr>
            </w:pPr>
            <w:bookmarkStart w:id="22" w:name="_Hlk68248573"/>
            <w:r>
              <w:rPr>
                <w:color w:val="auto"/>
                <w:szCs w:val="21"/>
              </w:rPr>
              <w:t>关于全省开展工业企业挥发性有机物专项治理工作中排放建议值的通知》（豫环攻坚办[2017]162号</w:t>
            </w:r>
            <w:bookmarkEnd w:id="22"/>
          </w:p>
        </w:tc>
        <w:tc>
          <w:tcPr>
            <w:tcW w:w="447" w:type="pct"/>
            <w:noWrap w:val="0"/>
            <w:vAlign w:val="center"/>
          </w:tcPr>
          <w:p>
            <w:pPr>
              <w:pStyle w:val="36"/>
              <w:spacing w:line="300" w:lineRule="exact"/>
              <w:rPr>
                <w:snapToGrid w:val="0"/>
                <w:color w:val="auto"/>
                <w:szCs w:val="21"/>
              </w:rPr>
            </w:pPr>
            <w:r>
              <w:rPr>
                <w:rFonts w:hint="eastAsia"/>
                <w:snapToGrid w:val="0"/>
                <w:color w:val="auto"/>
                <w:szCs w:val="21"/>
              </w:rPr>
              <w:t>附件2</w:t>
            </w:r>
          </w:p>
        </w:tc>
        <w:tc>
          <w:tcPr>
            <w:tcW w:w="870" w:type="pct"/>
            <w:gridSpan w:val="2"/>
            <w:noWrap w:val="0"/>
            <w:vAlign w:val="center"/>
          </w:tcPr>
          <w:p>
            <w:pPr>
              <w:pStyle w:val="36"/>
              <w:spacing w:line="300" w:lineRule="exact"/>
              <w:rPr>
                <w:rFonts w:hint="eastAsia"/>
                <w:snapToGrid w:val="0"/>
                <w:color w:val="auto"/>
                <w:szCs w:val="21"/>
              </w:rPr>
            </w:pPr>
            <w:r>
              <w:rPr>
                <w:rFonts w:hint="eastAsia"/>
                <w:snapToGrid w:val="0"/>
                <w:color w:val="auto"/>
                <w:szCs w:val="21"/>
              </w:rPr>
              <w:t>非甲烷总烃</w:t>
            </w:r>
          </w:p>
        </w:tc>
        <w:tc>
          <w:tcPr>
            <w:tcW w:w="554" w:type="pct"/>
            <w:noWrap w:val="0"/>
            <w:vAlign w:val="center"/>
          </w:tcPr>
          <w:p>
            <w:pPr>
              <w:pStyle w:val="36"/>
              <w:spacing w:line="300" w:lineRule="exact"/>
              <w:rPr>
                <w:snapToGrid w:val="0"/>
                <w:color w:val="auto"/>
                <w:szCs w:val="21"/>
              </w:rPr>
            </w:pPr>
            <w:r>
              <w:rPr>
                <w:snapToGrid w:val="0"/>
                <w:color w:val="auto"/>
                <w:szCs w:val="21"/>
              </w:rPr>
              <w:t>mg/m</w:t>
            </w:r>
            <w:r>
              <w:rPr>
                <w:snapToGrid w:val="0"/>
                <w:color w:val="auto"/>
                <w:szCs w:val="21"/>
                <w:vertAlign w:val="superscript"/>
              </w:rPr>
              <w:t>3</w:t>
            </w:r>
          </w:p>
        </w:tc>
        <w:tc>
          <w:tcPr>
            <w:tcW w:w="568" w:type="pct"/>
            <w:noWrap w:val="0"/>
            <w:vAlign w:val="center"/>
          </w:tcPr>
          <w:p>
            <w:pPr>
              <w:pStyle w:val="36"/>
              <w:spacing w:line="300" w:lineRule="exact"/>
              <w:rPr>
                <w:rFonts w:hint="eastAsia"/>
                <w:snapToGrid w:val="0"/>
                <w:color w:val="auto"/>
                <w:szCs w:val="21"/>
              </w:rPr>
            </w:pPr>
            <w:r>
              <w:rPr>
                <w:rFonts w:hint="eastAsia"/>
                <w:snapToGrid w:val="0"/>
                <w:color w:val="auto"/>
                <w:szCs w:val="21"/>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restart"/>
            <w:noWrap w:val="0"/>
            <w:vAlign w:val="center"/>
          </w:tcPr>
          <w:p>
            <w:pPr>
              <w:pStyle w:val="36"/>
              <w:spacing w:line="300" w:lineRule="exact"/>
              <w:rPr>
                <w:snapToGrid w:val="0"/>
                <w:color w:val="auto"/>
                <w:szCs w:val="21"/>
              </w:rPr>
            </w:pPr>
            <w:r>
              <w:rPr>
                <w:snapToGrid w:val="0"/>
                <w:color w:val="auto"/>
                <w:szCs w:val="21"/>
              </w:rPr>
              <w:t>废水</w:t>
            </w:r>
          </w:p>
        </w:tc>
        <w:tc>
          <w:tcPr>
            <w:tcW w:w="1611" w:type="pct"/>
            <w:vMerge w:val="restart"/>
            <w:noWrap w:val="0"/>
            <w:vAlign w:val="center"/>
          </w:tcPr>
          <w:p>
            <w:pPr>
              <w:pStyle w:val="36"/>
              <w:spacing w:line="300" w:lineRule="exact"/>
              <w:rPr>
                <w:snapToGrid w:val="0"/>
                <w:color w:val="auto"/>
                <w:szCs w:val="21"/>
              </w:rPr>
            </w:pPr>
            <w:bookmarkStart w:id="23" w:name="_Hlk68248622"/>
            <w:r>
              <w:rPr>
                <w:snapToGrid w:val="0"/>
                <w:color w:val="auto"/>
                <w:szCs w:val="21"/>
              </w:rPr>
              <w:t>《污水综合排放标准》</w:t>
            </w:r>
          </w:p>
          <w:p>
            <w:pPr>
              <w:pStyle w:val="36"/>
              <w:spacing w:line="300" w:lineRule="exact"/>
              <w:rPr>
                <w:snapToGrid w:val="0"/>
                <w:color w:val="auto"/>
                <w:szCs w:val="21"/>
              </w:rPr>
            </w:pPr>
            <w:r>
              <w:rPr>
                <w:snapToGrid w:val="0"/>
                <w:color w:val="auto"/>
                <w:szCs w:val="21"/>
              </w:rPr>
              <w:t>(GB8978 -1996)</w:t>
            </w:r>
          </w:p>
          <w:bookmarkEnd w:id="23"/>
          <w:p>
            <w:pPr>
              <w:pStyle w:val="36"/>
              <w:spacing w:line="300" w:lineRule="exact"/>
              <w:rPr>
                <w:snapToGrid w:val="0"/>
                <w:color w:val="auto"/>
                <w:szCs w:val="21"/>
              </w:rPr>
            </w:pPr>
            <w:r>
              <w:rPr>
                <w:snapToGrid w:val="0"/>
                <w:color w:val="auto"/>
                <w:szCs w:val="21"/>
              </w:rPr>
              <w:t>（</w:t>
            </w:r>
            <w:r>
              <w:rPr>
                <w:rFonts w:hint="eastAsia"/>
                <w:snapToGrid w:val="0"/>
                <w:color w:val="auto"/>
                <w:szCs w:val="21"/>
              </w:rPr>
              <w:t>厂区</w:t>
            </w:r>
            <w:r>
              <w:rPr>
                <w:snapToGrid w:val="0"/>
                <w:color w:val="auto"/>
                <w:szCs w:val="21"/>
              </w:rPr>
              <w:t>污水总排口）</w:t>
            </w:r>
          </w:p>
        </w:tc>
        <w:tc>
          <w:tcPr>
            <w:tcW w:w="447" w:type="pct"/>
            <w:vMerge w:val="restart"/>
            <w:noWrap w:val="0"/>
            <w:vAlign w:val="center"/>
          </w:tcPr>
          <w:p>
            <w:pPr>
              <w:pStyle w:val="36"/>
              <w:spacing w:line="300" w:lineRule="exact"/>
              <w:rPr>
                <w:snapToGrid w:val="0"/>
                <w:color w:val="auto"/>
                <w:szCs w:val="21"/>
              </w:rPr>
            </w:pPr>
            <w:r>
              <w:rPr>
                <w:snapToGrid w:val="0"/>
                <w:color w:val="auto"/>
                <w:szCs w:val="21"/>
              </w:rPr>
              <w:t>二级</w:t>
            </w:r>
          </w:p>
        </w:tc>
        <w:tc>
          <w:tcPr>
            <w:tcW w:w="870" w:type="pct"/>
            <w:gridSpan w:val="2"/>
            <w:noWrap w:val="0"/>
            <w:vAlign w:val="center"/>
          </w:tcPr>
          <w:p>
            <w:pPr>
              <w:pStyle w:val="36"/>
              <w:spacing w:line="300" w:lineRule="exact"/>
              <w:rPr>
                <w:snapToGrid w:val="0"/>
                <w:color w:val="auto"/>
                <w:szCs w:val="21"/>
              </w:rPr>
            </w:pPr>
            <w:r>
              <w:rPr>
                <w:snapToGrid w:val="0"/>
                <w:color w:val="auto"/>
                <w:szCs w:val="21"/>
              </w:rPr>
              <w:t>pH</w:t>
            </w:r>
          </w:p>
        </w:tc>
        <w:tc>
          <w:tcPr>
            <w:tcW w:w="554" w:type="pct"/>
            <w:noWrap w:val="0"/>
            <w:vAlign w:val="center"/>
          </w:tcPr>
          <w:p>
            <w:pPr>
              <w:pStyle w:val="36"/>
              <w:spacing w:line="300" w:lineRule="exact"/>
              <w:rPr>
                <w:snapToGrid w:val="0"/>
                <w:color w:val="auto"/>
                <w:szCs w:val="21"/>
              </w:rPr>
            </w:pPr>
            <w:r>
              <w:rPr>
                <w:snapToGrid w:val="0"/>
                <w:color w:val="auto"/>
                <w:szCs w:val="21"/>
              </w:rPr>
              <w:t>无量纲</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6~9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noWrap w:val="0"/>
            <w:vAlign w:val="center"/>
          </w:tcPr>
          <w:p>
            <w:pPr>
              <w:pStyle w:val="36"/>
              <w:spacing w:line="300" w:lineRule="exact"/>
              <w:rPr>
                <w:snapToGrid w:val="0"/>
                <w:color w:val="auto"/>
                <w:szCs w:val="21"/>
              </w:rPr>
            </w:pPr>
            <w:r>
              <w:rPr>
                <w:snapToGrid w:val="0"/>
                <w:color w:val="auto"/>
                <w:szCs w:val="21"/>
              </w:rPr>
              <w:t>COD</w:t>
            </w:r>
          </w:p>
        </w:tc>
        <w:tc>
          <w:tcPr>
            <w:tcW w:w="554" w:type="pct"/>
            <w:noWrap w:val="0"/>
            <w:vAlign w:val="center"/>
          </w:tcPr>
          <w:p>
            <w:pPr>
              <w:pStyle w:val="36"/>
              <w:spacing w:line="300" w:lineRule="exact"/>
              <w:rPr>
                <w:snapToGrid w:val="0"/>
                <w:color w:val="auto"/>
                <w:szCs w:val="21"/>
              </w:rPr>
            </w:pPr>
            <w:r>
              <w:rPr>
                <w:snapToGrid w:val="0"/>
                <w:color w:val="auto"/>
                <w:szCs w:val="21"/>
              </w:rPr>
              <w:t>mg/L</w:t>
            </w:r>
          </w:p>
        </w:tc>
        <w:tc>
          <w:tcPr>
            <w:tcW w:w="568" w:type="pct"/>
            <w:noWrap w:val="0"/>
            <w:vAlign w:val="center"/>
          </w:tcPr>
          <w:p>
            <w:pPr>
              <w:spacing w:line="300" w:lineRule="exact"/>
              <w:jc w:val="center"/>
              <w:rPr>
                <w:rFonts w:ascii="Times New Roman" w:hAnsi="Times New Roman"/>
                <w:spacing w:val="2"/>
                <w:szCs w:val="21"/>
              </w:rPr>
            </w:pPr>
            <w:r>
              <w:rPr>
                <w:rFonts w:hint="eastAsia" w:ascii="Times New Roman" w:hAnsi="Times New Roman"/>
                <w:snapToGrid w:val="0"/>
                <w:szCs w:val="21"/>
              </w:rPr>
              <w:t>150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noWrap w:val="0"/>
            <w:vAlign w:val="center"/>
          </w:tcPr>
          <w:p>
            <w:pPr>
              <w:pStyle w:val="36"/>
              <w:spacing w:line="300" w:lineRule="exact"/>
              <w:rPr>
                <w:snapToGrid w:val="0"/>
                <w:color w:val="auto"/>
                <w:szCs w:val="21"/>
              </w:rPr>
            </w:pPr>
            <w:r>
              <w:rPr>
                <w:snapToGrid w:val="0"/>
                <w:color w:val="auto"/>
                <w:szCs w:val="21"/>
              </w:rPr>
              <w:t>BOD</w:t>
            </w:r>
          </w:p>
        </w:tc>
        <w:tc>
          <w:tcPr>
            <w:tcW w:w="554" w:type="pct"/>
            <w:noWrap w:val="0"/>
            <w:vAlign w:val="center"/>
          </w:tcPr>
          <w:p>
            <w:pPr>
              <w:pStyle w:val="36"/>
              <w:spacing w:line="300" w:lineRule="exact"/>
              <w:rPr>
                <w:snapToGrid w:val="0"/>
                <w:color w:val="auto"/>
                <w:szCs w:val="21"/>
              </w:rPr>
            </w:pPr>
            <w:r>
              <w:rPr>
                <w:snapToGrid w:val="0"/>
                <w:color w:val="auto"/>
                <w:szCs w:val="21"/>
              </w:rPr>
              <w:t>mg/L</w:t>
            </w:r>
          </w:p>
        </w:tc>
        <w:tc>
          <w:tcPr>
            <w:tcW w:w="568" w:type="pct"/>
            <w:noWrap w:val="0"/>
            <w:vAlign w:val="center"/>
          </w:tcPr>
          <w:p>
            <w:pPr>
              <w:spacing w:line="300" w:lineRule="exact"/>
              <w:jc w:val="center"/>
              <w:rPr>
                <w:rFonts w:ascii="Times New Roman" w:hAnsi="Times New Roman"/>
                <w:spacing w:val="2"/>
                <w:szCs w:val="21"/>
              </w:rPr>
            </w:pPr>
            <w:r>
              <w:rPr>
                <w:rFonts w:hint="eastAsia" w:ascii="Times New Roman" w:hAnsi="Times New Roman"/>
                <w:snapToGrid w:val="0"/>
                <w:szCs w:val="21"/>
              </w:rPr>
              <w:t>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noWrap w:val="0"/>
            <w:vAlign w:val="center"/>
          </w:tcPr>
          <w:p>
            <w:pPr>
              <w:pStyle w:val="36"/>
              <w:spacing w:line="300" w:lineRule="exact"/>
              <w:rPr>
                <w:snapToGrid w:val="0"/>
                <w:color w:val="auto"/>
                <w:szCs w:val="21"/>
              </w:rPr>
            </w:pPr>
            <w:r>
              <w:rPr>
                <w:snapToGrid w:val="0"/>
                <w:color w:val="auto"/>
                <w:szCs w:val="21"/>
              </w:rPr>
              <w:t>SS</w:t>
            </w:r>
          </w:p>
        </w:tc>
        <w:tc>
          <w:tcPr>
            <w:tcW w:w="554" w:type="pct"/>
            <w:noWrap w:val="0"/>
            <w:vAlign w:val="center"/>
          </w:tcPr>
          <w:p>
            <w:pPr>
              <w:pStyle w:val="36"/>
              <w:spacing w:line="300" w:lineRule="exact"/>
              <w:rPr>
                <w:snapToGrid w:val="0"/>
                <w:color w:val="auto"/>
                <w:szCs w:val="21"/>
              </w:rPr>
            </w:pPr>
            <w:r>
              <w:rPr>
                <w:snapToGrid w:val="0"/>
                <w:color w:val="auto"/>
                <w:szCs w:val="21"/>
              </w:rPr>
              <w:t>mg/L</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150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noWrap w:val="0"/>
            <w:vAlign w:val="center"/>
          </w:tcPr>
          <w:p>
            <w:pPr>
              <w:pStyle w:val="36"/>
              <w:spacing w:line="300" w:lineRule="exact"/>
              <w:rPr>
                <w:snapToGrid w:val="0"/>
                <w:color w:val="auto"/>
                <w:szCs w:val="21"/>
              </w:rPr>
            </w:pPr>
            <w:r>
              <w:rPr>
                <w:snapToGrid w:val="0"/>
                <w:color w:val="auto"/>
                <w:szCs w:val="21"/>
              </w:rPr>
              <w:t>NH</w:t>
            </w:r>
            <w:r>
              <w:rPr>
                <w:snapToGrid w:val="0"/>
                <w:color w:val="auto"/>
                <w:szCs w:val="21"/>
                <w:vertAlign w:val="subscript"/>
              </w:rPr>
              <w:t>3</w:t>
            </w:r>
            <w:r>
              <w:rPr>
                <w:snapToGrid w:val="0"/>
                <w:color w:val="auto"/>
                <w:szCs w:val="21"/>
              </w:rPr>
              <w:t>-N</w:t>
            </w:r>
          </w:p>
        </w:tc>
        <w:tc>
          <w:tcPr>
            <w:tcW w:w="554" w:type="pct"/>
            <w:noWrap w:val="0"/>
            <w:vAlign w:val="center"/>
          </w:tcPr>
          <w:p>
            <w:pPr>
              <w:pStyle w:val="36"/>
              <w:spacing w:line="300" w:lineRule="exact"/>
              <w:rPr>
                <w:snapToGrid w:val="0"/>
                <w:color w:val="auto"/>
                <w:szCs w:val="21"/>
              </w:rPr>
            </w:pPr>
            <w:r>
              <w:rPr>
                <w:snapToGrid w:val="0"/>
                <w:color w:val="auto"/>
                <w:szCs w:val="21"/>
              </w:rPr>
              <w:t>mg/L</w:t>
            </w:r>
          </w:p>
        </w:tc>
        <w:tc>
          <w:tcPr>
            <w:tcW w:w="568" w:type="pct"/>
            <w:noWrap w:val="0"/>
            <w:vAlign w:val="center"/>
          </w:tcPr>
          <w:p>
            <w:pPr>
              <w:spacing w:line="300" w:lineRule="exact"/>
              <w:jc w:val="center"/>
              <w:rPr>
                <w:rFonts w:ascii="Times New Roman" w:hAnsi="Times New Roman"/>
                <w:spacing w:val="2"/>
                <w:szCs w:val="21"/>
              </w:rPr>
            </w:pPr>
            <w:r>
              <w:rPr>
                <w:rFonts w:hint="eastAsia" w:ascii="Times New Roman" w:hAnsi="Times New Roman"/>
                <w:snapToGrid w:val="0"/>
                <w:szCs w:val="21"/>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870" w:type="pct"/>
            <w:gridSpan w:val="2"/>
            <w:noWrap w:val="0"/>
            <w:vAlign w:val="center"/>
          </w:tcPr>
          <w:p>
            <w:pPr>
              <w:pStyle w:val="36"/>
              <w:spacing w:line="300" w:lineRule="exact"/>
              <w:rPr>
                <w:snapToGrid w:val="0"/>
                <w:color w:val="auto"/>
                <w:szCs w:val="21"/>
              </w:rPr>
            </w:pPr>
            <w:r>
              <w:rPr>
                <w:snapToGrid w:val="0"/>
                <w:color w:val="auto"/>
                <w:szCs w:val="21"/>
              </w:rPr>
              <w:t>石油类</w:t>
            </w:r>
          </w:p>
        </w:tc>
        <w:tc>
          <w:tcPr>
            <w:tcW w:w="554" w:type="pct"/>
            <w:noWrap w:val="0"/>
            <w:vAlign w:val="center"/>
          </w:tcPr>
          <w:p>
            <w:pPr>
              <w:pStyle w:val="36"/>
              <w:spacing w:line="300" w:lineRule="exact"/>
              <w:rPr>
                <w:snapToGrid w:val="0"/>
                <w:color w:val="auto"/>
                <w:szCs w:val="21"/>
              </w:rPr>
            </w:pPr>
            <w:r>
              <w:rPr>
                <w:snapToGrid w:val="0"/>
                <w:color w:val="auto"/>
                <w:szCs w:val="21"/>
              </w:rPr>
              <w:t>mg/L</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restart"/>
            <w:noWrap w:val="0"/>
            <w:vAlign w:val="center"/>
          </w:tcPr>
          <w:p>
            <w:pPr>
              <w:spacing w:line="240" w:lineRule="exact"/>
              <w:jc w:val="center"/>
              <w:rPr>
                <w:rFonts w:ascii="Times New Roman" w:hAnsi="Times New Roman"/>
                <w:snapToGrid w:val="0"/>
                <w:szCs w:val="21"/>
              </w:rPr>
            </w:pPr>
            <w:r>
              <w:rPr>
                <w:snapToGrid w:val="0"/>
                <w:szCs w:val="21"/>
              </w:rPr>
              <w:t>噪声</w:t>
            </w:r>
          </w:p>
        </w:tc>
        <w:tc>
          <w:tcPr>
            <w:tcW w:w="1611" w:type="pct"/>
            <w:vMerge w:val="restart"/>
            <w:noWrap w:val="0"/>
            <w:vAlign w:val="center"/>
          </w:tcPr>
          <w:p>
            <w:pPr>
              <w:spacing w:line="240" w:lineRule="exact"/>
              <w:jc w:val="center"/>
              <w:rPr>
                <w:rFonts w:ascii="Times New Roman" w:hAnsi="Times New Roman"/>
                <w:snapToGrid w:val="0"/>
                <w:szCs w:val="21"/>
              </w:rPr>
            </w:pPr>
            <w:r>
              <w:rPr>
                <w:rFonts w:ascii="Times New Roman" w:hAnsi="Times New Roman"/>
                <w:snapToGrid w:val="0"/>
                <w:szCs w:val="21"/>
              </w:rPr>
              <w:t>《工业企业厂界环境噪声排放标准》(GB12348-2008)</w:t>
            </w:r>
          </w:p>
        </w:tc>
        <w:tc>
          <w:tcPr>
            <w:tcW w:w="447" w:type="pct"/>
            <w:vMerge w:val="restart"/>
            <w:noWrap w:val="0"/>
            <w:vAlign w:val="center"/>
          </w:tcPr>
          <w:p>
            <w:pPr>
              <w:pStyle w:val="36"/>
              <w:spacing w:line="300" w:lineRule="exact"/>
              <w:rPr>
                <w:snapToGrid w:val="0"/>
                <w:color w:val="auto"/>
                <w:szCs w:val="21"/>
              </w:rPr>
            </w:pPr>
            <w:r>
              <w:rPr>
                <w:snapToGrid w:val="0"/>
                <w:color w:val="auto"/>
                <w:szCs w:val="21"/>
              </w:rPr>
              <w:t>3类</w:t>
            </w:r>
          </w:p>
        </w:tc>
        <w:tc>
          <w:tcPr>
            <w:tcW w:w="396" w:type="pct"/>
            <w:vMerge w:val="restart"/>
            <w:noWrap w:val="0"/>
            <w:vAlign w:val="center"/>
          </w:tcPr>
          <w:p>
            <w:pPr>
              <w:pStyle w:val="36"/>
              <w:spacing w:line="300" w:lineRule="exact"/>
              <w:rPr>
                <w:snapToGrid w:val="0"/>
                <w:color w:val="auto"/>
                <w:szCs w:val="21"/>
              </w:rPr>
            </w:pPr>
            <w:r>
              <w:rPr>
                <w:snapToGrid w:val="0"/>
                <w:color w:val="auto"/>
                <w:szCs w:val="21"/>
              </w:rPr>
              <w:t>Leq</w:t>
            </w:r>
          </w:p>
        </w:tc>
        <w:tc>
          <w:tcPr>
            <w:tcW w:w="474" w:type="pct"/>
            <w:noWrap w:val="0"/>
            <w:vAlign w:val="center"/>
          </w:tcPr>
          <w:p>
            <w:pPr>
              <w:pStyle w:val="36"/>
              <w:spacing w:line="300" w:lineRule="exact"/>
              <w:rPr>
                <w:snapToGrid w:val="0"/>
                <w:color w:val="auto"/>
                <w:szCs w:val="21"/>
              </w:rPr>
            </w:pPr>
            <w:r>
              <w:rPr>
                <w:snapToGrid w:val="0"/>
                <w:color w:val="auto"/>
                <w:szCs w:val="21"/>
              </w:rPr>
              <w:t>昼间</w:t>
            </w:r>
          </w:p>
        </w:tc>
        <w:tc>
          <w:tcPr>
            <w:tcW w:w="554" w:type="pct"/>
            <w:noWrap w:val="0"/>
            <w:vAlign w:val="center"/>
          </w:tcPr>
          <w:p>
            <w:pPr>
              <w:pStyle w:val="36"/>
              <w:spacing w:line="300" w:lineRule="exact"/>
              <w:rPr>
                <w:snapToGrid w:val="0"/>
                <w:color w:val="auto"/>
                <w:szCs w:val="21"/>
              </w:rPr>
            </w:pPr>
            <w:r>
              <w:rPr>
                <w:snapToGrid w:val="0"/>
                <w:color w:val="auto"/>
                <w:szCs w:val="21"/>
              </w:rPr>
              <w:t>dB(A)</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447" w:type="pct"/>
            <w:vMerge w:val="continue"/>
            <w:noWrap w:val="0"/>
            <w:vAlign w:val="center"/>
          </w:tcPr>
          <w:p>
            <w:pPr>
              <w:pStyle w:val="36"/>
              <w:spacing w:line="300" w:lineRule="exact"/>
              <w:rPr>
                <w:snapToGrid w:val="0"/>
                <w:color w:val="auto"/>
                <w:szCs w:val="21"/>
              </w:rPr>
            </w:pPr>
          </w:p>
        </w:tc>
        <w:tc>
          <w:tcPr>
            <w:tcW w:w="396" w:type="pct"/>
            <w:vMerge w:val="continue"/>
            <w:noWrap w:val="0"/>
            <w:vAlign w:val="center"/>
          </w:tcPr>
          <w:p>
            <w:pPr>
              <w:pStyle w:val="36"/>
              <w:spacing w:line="300" w:lineRule="exact"/>
              <w:rPr>
                <w:snapToGrid w:val="0"/>
                <w:color w:val="auto"/>
                <w:szCs w:val="21"/>
              </w:rPr>
            </w:pPr>
          </w:p>
        </w:tc>
        <w:tc>
          <w:tcPr>
            <w:tcW w:w="474" w:type="pct"/>
            <w:noWrap w:val="0"/>
            <w:vAlign w:val="center"/>
          </w:tcPr>
          <w:p>
            <w:pPr>
              <w:pStyle w:val="36"/>
              <w:spacing w:line="300" w:lineRule="exact"/>
              <w:rPr>
                <w:snapToGrid w:val="0"/>
                <w:color w:val="auto"/>
                <w:szCs w:val="21"/>
              </w:rPr>
            </w:pPr>
            <w:r>
              <w:rPr>
                <w:snapToGrid w:val="0"/>
                <w:color w:val="auto"/>
                <w:szCs w:val="21"/>
              </w:rPr>
              <w:t>夜间</w:t>
            </w:r>
          </w:p>
        </w:tc>
        <w:tc>
          <w:tcPr>
            <w:tcW w:w="554" w:type="pct"/>
            <w:noWrap w:val="0"/>
            <w:vAlign w:val="center"/>
          </w:tcPr>
          <w:p>
            <w:pPr>
              <w:pStyle w:val="36"/>
              <w:spacing w:line="300" w:lineRule="exact"/>
              <w:rPr>
                <w:snapToGrid w:val="0"/>
                <w:color w:val="auto"/>
                <w:szCs w:val="21"/>
              </w:rPr>
            </w:pPr>
            <w:r>
              <w:rPr>
                <w:snapToGrid w:val="0"/>
                <w:color w:val="auto"/>
                <w:szCs w:val="21"/>
              </w:rPr>
              <w:t>dB(A)</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55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spacing w:line="240" w:lineRule="exact"/>
              <w:jc w:val="center"/>
              <w:rPr>
                <w:rFonts w:ascii="Times New Roman" w:hAnsi="Times New Roman"/>
                <w:snapToGrid w:val="0"/>
                <w:szCs w:val="21"/>
              </w:rPr>
            </w:pPr>
          </w:p>
        </w:tc>
        <w:tc>
          <w:tcPr>
            <w:tcW w:w="1611" w:type="pct"/>
            <w:vMerge w:val="restart"/>
            <w:noWrap w:val="0"/>
            <w:vAlign w:val="center"/>
          </w:tcPr>
          <w:p>
            <w:pPr>
              <w:spacing w:line="240" w:lineRule="exact"/>
              <w:jc w:val="center"/>
              <w:rPr>
                <w:rFonts w:ascii="Times New Roman" w:hAnsi="Times New Roman"/>
                <w:spacing w:val="2"/>
                <w:szCs w:val="21"/>
              </w:rPr>
            </w:pPr>
            <w:r>
              <w:rPr>
                <w:rFonts w:ascii="Times New Roman" w:hAnsi="Times New Roman"/>
                <w:snapToGrid w:val="0"/>
                <w:szCs w:val="21"/>
              </w:rPr>
              <w:t>《</w:t>
            </w:r>
            <w:r>
              <w:rPr>
                <w:rFonts w:ascii="Times New Roman" w:hAnsi="Times New Roman"/>
                <w:spacing w:val="2"/>
                <w:szCs w:val="21"/>
              </w:rPr>
              <w:t>建筑施工厂界环境噪声排放标准》</w:t>
            </w:r>
          </w:p>
          <w:p>
            <w:pPr>
              <w:spacing w:line="240" w:lineRule="exact"/>
              <w:jc w:val="center"/>
              <w:rPr>
                <w:rFonts w:ascii="Times New Roman" w:hAnsi="Times New Roman"/>
                <w:snapToGrid w:val="0"/>
                <w:szCs w:val="21"/>
              </w:rPr>
            </w:pPr>
            <w:r>
              <w:rPr>
                <w:rFonts w:ascii="Times New Roman" w:hAnsi="Times New Roman"/>
                <w:spacing w:val="2"/>
                <w:szCs w:val="21"/>
              </w:rPr>
              <w:t>（GB12523-2011）</w:t>
            </w:r>
          </w:p>
        </w:tc>
        <w:tc>
          <w:tcPr>
            <w:tcW w:w="1317" w:type="pct"/>
            <w:gridSpan w:val="3"/>
            <w:noWrap w:val="0"/>
            <w:vAlign w:val="center"/>
          </w:tcPr>
          <w:p>
            <w:pPr>
              <w:pStyle w:val="36"/>
              <w:spacing w:line="300" w:lineRule="exact"/>
              <w:rPr>
                <w:snapToGrid w:val="0"/>
                <w:color w:val="auto"/>
                <w:szCs w:val="21"/>
              </w:rPr>
            </w:pPr>
            <w:r>
              <w:rPr>
                <w:snapToGrid w:val="0"/>
                <w:color w:val="auto"/>
                <w:szCs w:val="21"/>
              </w:rPr>
              <w:t>昼间</w:t>
            </w:r>
          </w:p>
        </w:tc>
        <w:tc>
          <w:tcPr>
            <w:tcW w:w="554" w:type="pct"/>
            <w:noWrap w:val="0"/>
            <w:vAlign w:val="center"/>
          </w:tcPr>
          <w:p>
            <w:pPr>
              <w:pStyle w:val="36"/>
              <w:spacing w:line="300" w:lineRule="exact"/>
              <w:rPr>
                <w:snapToGrid w:val="0"/>
                <w:color w:val="auto"/>
                <w:szCs w:val="21"/>
              </w:rPr>
            </w:pPr>
            <w:r>
              <w:rPr>
                <w:snapToGrid w:val="0"/>
                <w:color w:val="auto"/>
                <w:szCs w:val="21"/>
              </w:rPr>
              <w:t>dB(A)</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70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vMerge w:val="continue"/>
            <w:noWrap w:val="0"/>
            <w:vAlign w:val="center"/>
          </w:tcPr>
          <w:p>
            <w:pPr>
              <w:pStyle w:val="36"/>
              <w:spacing w:line="300" w:lineRule="exact"/>
              <w:rPr>
                <w:snapToGrid w:val="0"/>
                <w:color w:val="auto"/>
                <w:szCs w:val="21"/>
              </w:rPr>
            </w:pPr>
          </w:p>
        </w:tc>
        <w:tc>
          <w:tcPr>
            <w:tcW w:w="1611" w:type="pct"/>
            <w:vMerge w:val="continue"/>
            <w:noWrap w:val="0"/>
            <w:vAlign w:val="center"/>
          </w:tcPr>
          <w:p>
            <w:pPr>
              <w:pStyle w:val="36"/>
              <w:spacing w:line="300" w:lineRule="exact"/>
              <w:rPr>
                <w:snapToGrid w:val="0"/>
                <w:color w:val="auto"/>
                <w:szCs w:val="21"/>
              </w:rPr>
            </w:pPr>
          </w:p>
        </w:tc>
        <w:tc>
          <w:tcPr>
            <w:tcW w:w="1317" w:type="pct"/>
            <w:gridSpan w:val="3"/>
            <w:noWrap w:val="0"/>
            <w:vAlign w:val="center"/>
          </w:tcPr>
          <w:p>
            <w:pPr>
              <w:pStyle w:val="36"/>
              <w:spacing w:line="300" w:lineRule="exact"/>
              <w:rPr>
                <w:snapToGrid w:val="0"/>
                <w:color w:val="auto"/>
                <w:szCs w:val="21"/>
              </w:rPr>
            </w:pPr>
            <w:r>
              <w:rPr>
                <w:snapToGrid w:val="0"/>
                <w:color w:val="auto"/>
                <w:szCs w:val="21"/>
              </w:rPr>
              <w:t>夜间</w:t>
            </w:r>
          </w:p>
        </w:tc>
        <w:tc>
          <w:tcPr>
            <w:tcW w:w="554" w:type="pct"/>
            <w:noWrap w:val="0"/>
            <w:vAlign w:val="center"/>
          </w:tcPr>
          <w:p>
            <w:pPr>
              <w:pStyle w:val="36"/>
              <w:spacing w:line="300" w:lineRule="exact"/>
              <w:rPr>
                <w:snapToGrid w:val="0"/>
                <w:color w:val="auto"/>
                <w:szCs w:val="21"/>
              </w:rPr>
            </w:pPr>
            <w:r>
              <w:rPr>
                <w:snapToGrid w:val="0"/>
                <w:color w:val="auto"/>
                <w:szCs w:val="21"/>
              </w:rPr>
              <w:t>dB(A)</w:t>
            </w:r>
          </w:p>
        </w:tc>
        <w:tc>
          <w:tcPr>
            <w:tcW w:w="568" w:type="pct"/>
            <w:noWrap w:val="0"/>
            <w:vAlign w:val="center"/>
          </w:tcPr>
          <w:p>
            <w:pPr>
              <w:spacing w:line="300" w:lineRule="exact"/>
              <w:jc w:val="center"/>
              <w:rPr>
                <w:rFonts w:ascii="Times New Roman" w:hAnsi="Times New Roman"/>
                <w:spacing w:val="2"/>
                <w:szCs w:val="21"/>
              </w:rPr>
            </w:pPr>
            <w:r>
              <w:rPr>
                <w:rFonts w:ascii="Times New Roman" w:hAnsi="Times New Roman"/>
                <w:snapToGrid w:val="0"/>
                <w:szCs w:val="21"/>
              </w:rPr>
              <w:t>55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gridSpan w:val="2"/>
            <w:noWrap w:val="0"/>
            <w:vAlign w:val="center"/>
          </w:tcPr>
          <w:p>
            <w:pPr>
              <w:spacing w:line="300" w:lineRule="exact"/>
              <w:ind w:firstLine="138" w:firstLineChars="66"/>
              <w:jc w:val="center"/>
              <w:rPr>
                <w:rFonts w:ascii="Times New Roman" w:hAnsi="Times New Roman"/>
                <w:szCs w:val="21"/>
              </w:rPr>
            </w:pPr>
            <w:r>
              <w:rPr>
                <w:snapToGrid w:val="0"/>
                <w:szCs w:val="21"/>
              </w:rPr>
              <w:t>固废</w:t>
            </w:r>
          </w:p>
        </w:tc>
        <w:tc>
          <w:tcPr>
            <w:tcW w:w="4050" w:type="pct"/>
            <w:gridSpan w:val="6"/>
            <w:noWrap w:val="0"/>
            <w:vAlign w:val="center"/>
          </w:tcPr>
          <w:p>
            <w:pPr>
              <w:spacing w:line="300" w:lineRule="exact"/>
              <w:ind w:firstLine="138" w:firstLineChars="66"/>
              <w:jc w:val="left"/>
              <w:rPr>
                <w:rFonts w:ascii="Times New Roman" w:hAnsi="Times New Roman"/>
                <w:szCs w:val="21"/>
              </w:rPr>
            </w:pPr>
            <w:bookmarkStart w:id="24" w:name="_Hlk68248754"/>
            <w:r>
              <w:rPr>
                <w:rFonts w:ascii="Times New Roman" w:hAnsi="Times New Roman"/>
                <w:szCs w:val="21"/>
              </w:rPr>
              <w:t>《危险废物贮存污染物控制标准》（GB18597-2001）及2013年修改单</w:t>
            </w:r>
            <w:bookmarkEnd w:id="24"/>
          </w:p>
        </w:tc>
      </w:tr>
    </w:tbl>
    <w:p>
      <w:pPr>
        <w:rPr>
          <w:rFonts w:hint="eastAsia" w:ascii="Times New Roman" w:hAnsi="Times New Roman"/>
          <w:sz w:val="18"/>
          <w:szCs w:val="18"/>
        </w:rPr>
      </w:pPr>
      <w:r>
        <w:rPr>
          <w:rFonts w:ascii="Times New Roman" w:hAnsi="Times New Roman"/>
          <w:sz w:val="18"/>
          <w:szCs w:val="18"/>
        </w:rPr>
        <w:t xml:space="preserve">注：* </w:t>
      </w:r>
      <w:r>
        <w:rPr>
          <w:rFonts w:hint="eastAsia" w:ascii="Times New Roman" w:hAnsi="Times New Roman"/>
          <w:sz w:val="18"/>
          <w:szCs w:val="18"/>
        </w:rPr>
        <w:t>待国家污染物监测方法标准发布后实施</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厂区内</w:t>
      </w:r>
      <w:r>
        <w:rPr>
          <w:rFonts w:ascii="Times New Roman" w:hAnsi="Times New Roman"/>
          <w:kern w:val="0"/>
          <w:sz w:val="28"/>
          <w:szCs w:val="28"/>
        </w:rPr>
        <w:t>VOCs 无组织排放监测按照</w:t>
      </w:r>
      <w:bookmarkStart w:id="25" w:name="_Hlk68248552"/>
      <w:r>
        <w:rPr>
          <w:rFonts w:ascii="Times New Roman" w:hAnsi="Times New Roman"/>
          <w:sz w:val="28"/>
          <w:szCs w:val="28"/>
        </w:rPr>
        <w:t>《挥发性有机物无组织排放污染控制标准》（GB37822-2019）</w:t>
      </w:r>
      <w:bookmarkEnd w:id="25"/>
      <w:r>
        <w:rPr>
          <w:rFonts w:ascii="Times New Roman" w:hAnsi="Times New Roman"/>
          <w:sz w:val="28"/>
          <w:szCs w:val="28"/>
        </w:rPr>
        <w:t>相关标准要求实施。</w:t>
      </w:r>
    </w:p>
    <w:p>
      <w:pPr>
        <w:spacing w:line="520" w:lineRule="exact"/>
        <w:ind w:firstLine="560" w:firstLineChars="200"/>
        <w:rPr>
          <w:rFonts w:hint="eastAsia" w:ascii="Times New Roman" w:hAnsi="Times New Roman"/>
          <w:sz w:val="28"/>
          <w:szCs w:val="28"/>
        </w:rPr>
      </w:pPr>
      <w:r>
        <w:rPr>
          <w:rFonts w:ascii="Times New Roman" w:hAnsi="Times New Roman"/>
          <w:kern w:val="0"/>
          <w:sz w:val="28"/>
          <w:szCs w:val="28"/>
        </w:rPr>
        <w:t>（1）对厂区内VOCs 无组织排放进行监控时，在厂房门窗或通风口、其他开口（孔）等排放口外1 m，距离地面1.5 m以上位置处进行监测。若厂房不完整（如有顶无围墙），则在操作工位下风向1 m，距离地面1.5 m以上位置处进行监测。</w:t>
      </w:r>
    </w:p>
    <w:p>
      <w:pPr>
        <w:spacing w:line="520" w:lineRule="exact"/>
        <w:ind w:firstLine="560" w:firstLineChars="200"/>
        <w:rPr>
          <w:rFonts w:hint="eastAsia" w:ascii="Times New Roman" w:hAnsi="Times New Roman"/>
          <w:sz w:val="28"/>
          <w:szCs w:val="28"/>
        </w:rPr>
      </w:pPr>
      <w:r>
        <w:rPr>
          <w:rFonts w:ascii="Times New Roman" w:hAnsi="Times New Roman"/>
          <w:kern w:val="0"/>
          <w:sz w:val="28"/>
          <w:szCs w:val="28"/>
        </w:rPr>
        <w:t>（2）厂区内NMHC 任何1 h 平均浓度的监测采用HJ 604、HJ 1012 规定的方法，以连续1 h 采样获取平均值，或在1 h 内以等时间间隔采集3～4 个样品计平均值。厂区内NMHC任意一次浓度值的监测，按便携式监测仪器相关规定执行。</w:t>
      </w:r>
    </w:p>
    <w:p>
      <w:pPr>
        <w:spacing w:line="520" w:lineRule="exact"/>
        <w:ind w:firstLine="560" w:firstLineChars="200"/>
        <w:rPr>
          <w:rFonts w:ascii="Times New Roman" w:hAnsi="Times New Roman"/>
          <w:sz w:val="28"/>
          <w:szCs w:val="28"/>
        </w:rPr>
      </w:pPr>
      <w:r>
        <w:rPr>
          <w:rFonts w:ascii="Times New Roman" w:hAnsi="Times New Roman"/>
          <w:kern w:val="0"/>
          <w:sz w:val="28"/>
          <w:szCs w:val="28"/>
        </w:rPr>
        <w:t>企业厂区内VOC</w:t>
      </w:r>
      <w:r>
        <w:rPr>
          <w:rFonts w:ascii="Times New Roman" w:hAnsi="Times New Roman"/>
          <w:kern w:val="0"/>
          <w:sz w:val="28"/>
          <w:szCs w:val="28"/>
          <w:vertAlign w:val="subscript"/>
        </w:rPr>
        <w:t>S</w:t>
      </w:r>
      <w:r>
        <w:rPr>
          <w:rFonts w:ascii="Times New Roman" w:hAnsi="Times New Roman"/>
          <w:kern w:val="0"/>
          <w:sz w:val="28"/>
          <w:szCs w:val="28"/>
        </w:rPr>
        <w:t>无组织排放监控点浓度应符合表</w:t>
      </w:r>
      <w:r>
        <w:rPr>
          <w:rFonts w:ascii="Times New Roman" w:hAnsi="Times New Roman"/>
          <w:sz w:val="28"/>
          <w:szCs w:val="28"/>
        </w:rPr>
        <w:t>表2.6-5规定的现值。</w:t>
      </w:r>
    </w:p>
    <w:p>
      <w:pPr>
        <w:pStyle w:val="32"/>
      </w:pPr>
      <w:r>
        <w:t>表2.6-</w:t>
      </w:r>
      <w:r>
        <w:rPr>
          <w:rFonts w:hint="eastAsia"/>
        </w:rPr>
        <w:t>5</w:t>
      </w:r>
      <w:r>
        <w:t xml:space="preserve">                  </w:t>
      </w:r>
      <w:r>
        <w:rPr>
          <w:rFonts w:hint="eastAsia"/>
        </w:rPr>
        <w:t>厂区内VOC</w:t>
      </w:r>
      <w:r>
        <w:rPr>
          <w:rFonts w:hint="eastAsia"/>
          <w:vertAlign w:val="subscript"/>
        </w:rPr>
        <w:t>S</w:t>
      </w:r>
      <w:r>
        <w:rPr>
          <w:rFonts w:hint="eastAsia"/>
        </w:rPr>
        <w:t>无组织排放限值</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702"/>
        <w:gridCol w:w="1842"/>
        <w:gridCol w:w="1846"/>
        <w:gridCol w:w="1559"/>
        <w:gridCol w:w="20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noWrap w:val="0"/>
            <w:vAlign w:val="center"/>
          </w:tcPr>
          <w:p>
            <w:pPr>
              <w:pStyle w:val="36"/>
              <w:spacing w:line="240" w:lineRule="auto"/>
              <w:rPr>
                <w:snapToGrid w:val="0"/>
                <w:color w:val="auto"/>
                <w:szCs w:val="21"/>
              </w:rPr>
            </w:pPr>
            <w:r>
              <w:rPr>
                <w:rFonts w:hint="eastAsia"/>
                <w:snapToGrid w:val="0"/>
                <w:color w:val="auto"/>
                <w:szCs w:val="21"/>
              </w:rPr>
              <w:t>污染项目</w:t>
            </w:r>
          </w:p>
        </w:tc>
        <w:tc>
          <w:tcPr>
            <w:tcW w:w="1028" w:type="pct"/>
            <w:noWrap w:val="0"/>
            <w:vAlign w:val="center"/>
          </w:tcPr>
          <w:p>
            <w:pPr>
              <w:pStyle w:val="36"/>
              <w:spacing w:line="240" w:lineRule="auto"/>
              <w:rPr>
                <w:snapToGrid w:val="0"/>
                <w:color w:val="auto"/>
                <w:szCs w:val="21"/>
              </w:rPr>
            </w:pPr>
            <w:r>
              <w:rPr>
                <w:rFonts w:hint="eastAsia"/>
                <w:snapToGrid w:val="0"/>
                <w:color w:val="auto"/>
                <w:szCs w:val="21"/>
              </w:rPr>
              <w:t>排放限值</w:t>
            </w:r>
          </w:p>
        </w:tc>
        <w:tc>
          <w:tcPr>
            <w:tcW w:w="1030" w:type="pct"/>
            <w:noWrap w:val="0"/>
            <w:vAlign w:val="center"/>
          </w:tcPr>
          <w:p>
            <w:pPr>
              <w:pStyle w:val="36"/>
              <w:spacing w:line="240" w:lineRule="auto"/>
              <w:rPr>
                <w:snapToGrid w:val="0"/>
                <w:color w:val="auto"/>
                <w:szCs w:val="21"/>
              </w:rPr>
            </w:pPr>
            <w:r>
              <w:rPr>
                <w:rFonts w:hint="eastAsia"/>
                <w:snapToGrid w:val="0"/>
                <w:color w:val="auto"/>
                <w:szCs w:val="21"/>
              </w:rPr>
              <w:t>特别排放限值</w:t>
            </w:r>
          </w:p>
        </w:tc>
        <w:tc>
          <w:tcPr>
            <w:tcW w:w="870" w:type="pct"/>
            <w:noWrap w:val="0"/>
            <w:vAlign w:val="center"/>
          </w:tcPr>
          <w:p>
            <w:pPr>
              <w:pStyle w:val="36"/>
              <w:spacing w:line="240" w:lineRule="auto"/>
              <w:rPr>
                <w:snapToGrid w:val="0"/>
                <w:color w:val="auto"/>
                <w:szCs w:val="21"/>
              </w:rPr>
            </w:pPr>
            <w:r>
              <w:rPr>
                <w:rFonts w:hint="eastAsia"/>
                <w:snapToGrid w:val="0"/>
                <w:color w:val="auto"/>
                <w:szCs w:val="21"/>
              </w:rPr>
              <w:t>限值意义</w:t>
            </w:r>
          </w:p>
        </w:tc>
        <w:tc>
          <w:tcPr>
            <w:tcW w:w="1122" w:type="pct"/>
            <w:noWrap w:val="0"/>
            <w:vAlign w:val="center"/>
          </w:tcPr>
          <w:p>
            <w:pPr>
              <w:pStyle w:val="36"/>
              <w:spacing w:line="240" w:lineRule="auto"/>
              <w:rPr>
                <w:snapToGrid w:val="0"/>
                <w:color w:val="auto"/>
                <w:szCs w:val="21"/>
              </w:rPr>
            </w:pPr>
            <w:r>
              <w:rPr>
                <w:rFonts w:hint="eastAsia"/>
                <w:snapToGrid w:val="0"/>
                <w:color w:val="auto"/>
                <w:szCs w:val="21"/>
              </w:rPr>
              <w:t>无组织排放监控位置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vMerge w:val="restart"/>
            <w:noWrap w:val="0"/>
            <w:vAlign w:val="center"/>
          </w:tcPr>
          <w:p>
            <w:pPr>
              <w:pStyle w:val="36"/>
              <w:spacing w:line="240" w:lineRule="auto"/>
              <w:rPr>
                <w:snapToGrid w:val="0"/>
                <w:color w:val="auto"/>
                <w:szCs w:val="21"/>
              </w:rPr>
            </w:pPr>
            <w:r>
              <w:rPr>
                <w:rFonts w:hint="eastAsia"/>
                <w:snapToGrid w:val="0"/>
                <w:color w:val="auto"/>
                <w:szCs w:val="21"/>
              </w:rPr>
              <w:t>NMHC</w:t>
            </w:r>
          </w:p>
        </w:tc>
        <w:tc>
          <w:tcPr>
            <w:tcW w:w="1028" w:type="pct"/>
            <w:noWrap w:val="0"/>
            <w:vAlign w:val="center"/>
          </w:tcPr>
          <w:p>
            <w:pPr>
              <w:pStyle w:val="36"/>
              <w:spacing w:line="240" w:lineRule="auto"/>
              <w:rPr>
                <w:snapToGrid w:val="0"/>
                <w:color w:val="auto"/>
                <w:szCs w:val="21"/>
              </w:rPr>
            </w:pPr>
            <w:r>
              <w:rPr>
                <w:rFonts w:hint="eastAsia"/>
                <w:snapToGrid w:val="0"/>
                <w:color w:val="auto"/>
                <w:szCs w:val="21"/>
              </w:rPr>
              <w:t>10</w:t>
            </w:r>
          </w:p>
        </w:tc>
        <w:tc>
          <w:tcPr>
            <w:tcW w:w="1030" w:type="pct"/>
            <w:noWrap w:val="0"/>
            <w:vAlign w:val="center"/>
          </w:tcPr>
          <w:p>
            <w:pPr>
              <w:pStyle w:val="36"/>
              <w:spacing w:line="240" w:lineRule="auto"/>
              <w:rPr>
                <w:snapToGrid w:val="0"/>
                <w:color w:val="auto"/>
                <w:szCs w:val="21"/>
              </w:rPr>
            </w:pPr>
            <w:r>
              <w:rPr>
                <w:rFonts w:hint="eastAsia"/>
                <w:snapToGrid w:val="0"/>
                <w:color w:val="auto"/>
                <w:szCs w:val="21"/>
              </w:rPr>
              <w:t>6</w:t>
            </w:r>
          </w:p>
        </w:tc>
        <w:tc>
          <w:tcPr>
            <w:tcW w:w="870" w:type="pct"/>
            <w:noWrap w:val="0"/>
            <w:vAlign w:val="center"/>
          </w:tcPr>
          <w:p>
            <w:pPr>
              <w:pStyle w:val="36"/>
              <w:spacing w:line="240" w:lineRule="auto"/>
              <w:rPr>
                <w:snapToGrid w:val="0"/>
                <w:color w:val="auto"/>
                <w:szCs w:val="21"/>
              </w:rPr>
            </w:pPr>
            <w:r>
              <w:rPr>
                <w:rFonts w:hint="eastAsia"/>
                <w:snapToGrid w:val="0"/>
                <w:color w:val="auto"/>
                <w:szCs w:val="21"/>
              </w:rPr>
              <w:t>监控点处1h平均浓度值</w:t>
            </w:r>
          </w:p>
        </w:tc>
        <w:tc>
          <w:tcPr>
            <w:tcW w:w="1122" w:type="pct"/>
            <w:vMerge w:val="restart"/>
            <w:noWrap w:val="0"/>
            <w:vAlign w:val="center"/>
          </w:tcPr>
          <w:p>
            <w:pPr>
              <w:pStyle w:val="36"/>
              <w:spacing w:line="240" w:lineRule="auto"/>
              <w:rPr>
                <w:snapToGrid w:val="0"/>
                <w:color w:val="auto"/>
                <w:szCs w:val="21"/>
              </w:rPr>
            </w:pPr>
            <w:r>
              <w:rPr>
                <w:rFonts w:hint="eastAsia"/>
                <w:snapToGrid w:val="0"/>
                <w:color w:val="auto"/>
                <w:szCs w:val="21"/>
              </w:rPr>
              <w:t>在厂房外设置监控点</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950" w:type="pct"/>
            <w:vMerge w:val="continue"/>
            <w:noWrap w:val="0"/>
            <w:vAlign w:val="center"/>
          </w:tcPr>
          <w:p>
            <w:pPr>
              <w:pStyle w:val="36"/>
              <w:spacing w:line="240" w:lineRule="auto"/>
              <w:rPr>
                <w:snapToGrid w:val="0"/>
                <w:color w:val="auto"/>
                <w:szCs w:val="21"/>
              </w:rPr>
            </w:pPr>
          </w:p>
        </w:tc>
        <w:tc>
          <w:tcPr>
            <w:tcW w:w="1028" w:type="pct"/>
            <w:noWrap w:val="0"/>
            <w:vAlign w:val="center"/>
          </w:tcPr>
          <w:p>
            <w:pPr>
              <w:pStyle w:val="36"/>
              <w:spacing w:line="240" w:lineRule="auto"/>
              <w:rPr>
                <w:snapToGrid w:val="0"/>
                <w:color w:val="auto"/>
                <w:szCs w:val="21"/>
              </w:rPr>
            </w:pPr>
            <w:r>
              <w:rPr>
                <w:rFonts w:hint="eastAsia"/>
                <w:snapToGrid w:val="0"/>
                <w:color w:val="auto"/>
                <w:szCs w:val="21"/>
              </w:rPr>
              <w:t>30</w:t>
            </w:r>
          </w:p>
        </w:tc>
        <w:tc>
          <w:tcPr>
            <w:tcW w:w="1030" w:type="pct"/>
            <w:noWrap w:val="0"/>
            <w:vAlign w:val="center"/>
          </w:tcPr>
          <w:p>
            <w:pPr>
              <w:pStyle w:val="36"/>
              <w:spacing w:line="240" w:lineRule="auto"/>
              <w:rPr>
                <w:snapToGrid w:val="0"/>
                <w:color w:val="auto"/>
                <w:szCs w:val="21"/>
              </w:rPr>
            </w:pPr>
            <w:r>
              <w:rPr>
                <w:rFonts w:hint="eastAsia"/>
                <w:snapToGrid w:val="0"/>
                <w:color w:val="auto"/>
                <w:szCs w:val="21"/>
              </w:rPr>
              <w:t>20</w:t>
            </w:r>
          </w:p>
        </w:tc>
        <w:tc>
          <w:tcPr>
            <w:tcW w:w="870" w:type="pct"/>
            <w:noWrap w:val="0"/>
            <w:vAlign w:val="center"/>
          </w:tcPr>
          <w:p>
            <w:pPr>
              <w:pStyle w:val="36"/>
              <w:spacing w:line="240" w:lineRule="auto"/>
              <w:rPr>
                <w:snapToGrid w:val="0"/>
                <w:color w:val="auto"/>
                <w:szCs w:val="21"/>
              </w:rPr>
            </w:pPr>
            <w:r>
              <w:rPr>
                <w:rFonts w:hint="eastAsia"/>
                <w:snapToGrid w:val="0"/>
                <w:color w:val="auto"/>
                <w:szCs w:val="21"/>
              </w:rPr>
              <w:t>监控点处任意一次浓度值</w:t>
            </w:r>
          </w:p>
        </w:tc>
        <w:tc>
          <w:tcPr>
            <w:tcW w:w="1122" w:type="pct"/>
            <w:vMerge w:val="continue"/>
            <w:noWrap w:val="0"/>
            <w:vAlign w:val="center"/>
          </w:tcPr>
          <w:p>
            <w:pPr>
              <w:pStyle w:val="36"/>
              <w:spacing w:line="240" w:lineRule="auto"/>
              <w:rPr>
                <w:snapToGrid w:val="0"/>
                <w:color w:val="auto"/>
                <w:szCs w:val="21"/>
              </w:rPr>
            </w:pPr>
          </w:p>
        </w:tc>
      </w:tr>
    </w:tbl>
    <w:p>
      <w:pPr>
        <w:pStyle w:val="4"/>
        <w:spacing w:before="0" w:after="0" w:line="520" w:lineRule="exact"/>
        <w:rPr>
          <w:rFonts w:ascii="Times New Roman" w:hAnsi="Times New Roman"/>
        </w:rPr>
      </w:pPr>
      <w:bookmarkStart w:id="26" w:name="_Toc439060153"/>
      <w:r>
        <w:rPr>
          <w:rFonts w:ascii="Times New Roman" w:hAnsi="Times New Roman" w:eastAsia="黑体"/>
          <w:sz w:val="28"/>
          <w:szCs w:val="28"/>
          <w:lang w:val="en-US" w:eastAsia="zh-CN"/>
        </w:rPr>
        <w:t>2.7  评价工作等级</w:t>
      </w:r>
      <w:bookmarkEnd w:id="26"/>
    </w:p>
    <w:p>
      <w:pPr>
        <w:pStyle w:val="5"/>
        <w:spacing w:before="0" w:after="0" w:line="530" w:lineRule="exact"/>
        <w:rPr>
          <w:rFonts w:ascii="Times New Roman" w:hAnsi="Times New Roman" w:eastAsia="楷体_GB2312"/>
          <w:sz w:val="28"/>
          <w:szCs w:val="28"/>
          <w:lang w:val="en-US" w:eastAsia="zh-CN"/>
        </w:rPr>
      </w:pPr>
      <w:bookmarkStart w:id="27" w:name="_Toc439060154"/>
      <w:r>
        <w:rPr>
          <w:rFonts w:ascii="Times New Roman" w:hAnsi="Times New Roman" w:eastAsia="楷体_GB2312"/>
          <w:sz w:val="28"/>
          <w:szCs w:val="28"/>
          <w:lang w:val="en-US" w:eastAsia="zh-CN"/>
        </w:rPr>
        <w:t>2.7.1  环境空气评价工作等级</w:t>
      </w:r>
      <w:bookmarkEnd w:id="27"/>
    </w:p>
    <w:p>
      <w:pPr>
        <w:pStyle w:val="15"/>
        <w:spacing w:line="520" w:lineRule="exact"/>
        <w:ind w:firstLine="560" w:firstLineChars="200"/>
        <w:rPr>
          <w:rFonts w:ascii="Times New Roman" w:hAnsi="Times New Roman"/>
          <w:sz w:val="28"/>
          <w:szCs w:val="28"/>
        </w:rPr>
      </w:pPr>
      <w:r>
        <w:rPr>
          <w:rFonts w:ascii="Times New Roman" w:hAnsi="Times New Roman"/>
          <w:sz w:val="28"/>
          <w:szCs w:val="28"/>
        </w:rPr>
        <w:t>评价根据AERSCREEN估算模式分别计算每一种污染物的最大地面质量浓度占标率P</w:t>
      </w:r>
      <w:r>
        <w:rPr>
          <w:rFonts w:ascii="Times New Roman" w:hAnsi="Times New Roman"/>
          <w:sz w:val="28"/>
          <w:szCs w:val="28"/>
          <w:vertAlign w:val="subscript"/>
        </w:rPr>
        <w:t>i</w:t>
      </w:r>
      <w:r>
        <w:rPr>
          <w:rFonts w:ascii="Times New Roman" w:hAnsi="Times New Roman"/>
          <w:sz w:val="28"/>
          <w:szCs w:val="28"/>
        </w:rPr>
        <w:t>（第i 个污染物），及第i 个污染物的地面质量浓度达标准限值10%时所对应的最远距离D</w:t>
      </w:r>
      <w:r>
        <w:rPr>
          <w:rFonts w:ascii="Times New Roman" w:hAnsi="Times New Roman"/>
          <w:sz w:val="28"/>
          <w:szCs w:val="28"/>
          <w:vertAlign w:val="subscript"/>
        </w:rPr>
        <w:t>10%</w:t>
      </w:r>
      <w:r>
        <w:rPr>
          <w:rFonts w:ascii="Times New Roman" w:hAnsi="Times New Roman"/>
          <w:sz w:val="28"/>
          <w:szCs w:val="28"/>
        </w:rPr>
        <w:t>。其中P</w:t>
      </w:r>
      <w:r>
        <w:rPr>
          <w:rFonts w:ascii="Times New Roman" w:hAnsi="Times New Roman"/>
          <w:sz w:val="28"/>
          <w:szCs w:val="28"/>
          <w:vertAlign w:val="subscript"/>
        </w:rPr>
        <w:t xml:space="preserve">i </w:t>
      </w:r>
      <w:r>
        <w:rPr>
          <w:rFonts w:ascii="Times New Roman" w:hAnsi="Times New Roman"/>
          <w:sz w:val="28"/>
          <w:szCs w:val="28"/>
        </w:rPr>
        <w:t>定义为：</w:t>
      </w:r>
    </w:p>
    <w:p>
      <w:pPr>
        <w:pStyle w:val="15"/>
        <w:ind w:firstLine="560" w:firstLineChars="200"/>
        <w:jc w:val="center"/>
        <w:rPr>
          <w:rFonts w:ascii="Times New Roman" w:hAnsi="Times New Roman"/>
          <w:sz w:val="28"/>
          <w:szCs w:val="28"/>
        </w:rPr>
      </w:pPr>
      <w:r>
        <w:rPr>
          <w:rFonts w:ascii="Times New Roman" w:hAnsi="Times New Roman"/>
          <w:position w:val="-30"/>
          <w:sz w:val="28"/>
          <w:szCs w:val="28"/>
        </w:rPr>
        <w:object>
          <v:shape id="_x0000_i1025" o:spt="75" type="#_x0000_t75" style="height:34.5pt;width:79.55pt;" o:ole="t" filled="f" o:preferrelative="t" stroked="f" coordsize="21600,21600">
            <v:path/>
            <v:fill on="f" focussize="0,0"/>
            <v:stroke on="f"/>
            <v:imagedata r:id="rId27" o:title=""/>
            <o:lock v:ext="edit" aspectratio="t"/>
            <w10:wrap type="none"/>
            <w10:anchorlock/>
          </v:shape>
          <o:OLEObject Type="Embed" ProgID="Equation.3" ShapeID="_x0000_i1025" DrawAspect="Content" ObjectID="_1468075725" r:id="rId26">
            <o:LockedField>false</o:LockedField>
          </o:OLEObject>
        </w:object>
      </w:r>
    </w:p>
    <w:p>
      <w:pPr>
        <w:pStyle w:val="15"/>
        <w:spacing w:line="520" w:lineRule="exact"/>
        <w:ind w:firstLine="560" w:firstLineChars="200"/>
        <w:rPr>
          <w:rFonts w:ascii="Times New Roman" w:hAnsi="Times New Roman"/>
          <w:sz w:val="28"/>
          <w:szCs w:val="28"/>
        </w:rPr>
      </w:pPr>
      <w:r>
        <w:rPr>
          <w:rFonts w:ascii="Times New Roman" w:hAnsi="Times New Roman"/>
          <w:sz w:val="28"/>
          <w:szCs w:val="28"/>
        </w:rPr>
        <w:t>式中：P</w:t>
      </w:r>
      <w:r>
        <w:rPr>
          <w:rFonts w:ascii="Times New Roman" w:hAnsi="Times New Roman"/>
          <w:sz w:val="28"/>
          <w:szCs w:val="28"/>
          <w:vertAlign w:val="subscript"/>
        </w:rPr>
        <w:t>i</w:t>
      </w:r>
      <w:r>
        <w:rPr>
          <w:rFonts w:ascii="Times New Roman" w:hAnsi="Times New Roman"/>
          <w:sz w:val="28"/>
          <w:szCs w:val="28"/>
        </w:rPr>
        <w:t>—第i 个污染物的最大地面质量浓度占标率，%；</w:t>
      </w:r>
    </w:p>
    <w:p>
      <w:pPr>
        <w:pStyle w:val="15"/>
        <w:spacing w:line="520" w:lineRule="exact"/>
        <w:ind w:firstLine="560" w:firstLineChars="200"/>
        <w:rPr>
          <w:rFonts w:ascii="Times New Roman" w:hAnsi="Times New Roman"/>
          <w:sz w:val="28"/>
          <w:szCs w:val="28"/>
        </w:rPr>
      </w:pPr>
      <w:r>
        <w:rPr>
          <w:rFonts w:ascii="Times New Roman" w:hAnsi="Times New Roman"/>
          <w:sz w:val="28"/>
          <w:szCs w:val="28"/>
        </w:rPr>
        <w:t>C</w:t>
      </w:r>
      <w:r>
        <w:rPr>
          <w:rFonts w:ascii="Times New Roman" w:hAnsi="Times New Roman"/>
          <w:sz w:val="28"/>
          <w:szCs w:val="28"/>
          <w:vertAlign w:val="subscript"/>
        </w:rPr>
        <w:t>i</w:t>
      </w:r>
      <w:r>
        <w:rPr>
          <w:rFonts w:ascii="Times New Roman" w:hAnsi="Times New Roman"/>
          <w:sz w:val="28"/>
          <w:szCs w:val="28"/>
        </w:rPr>
        <w:t>—采用估算模式计算出的第i 个污染物最大地面质量浓度，μg/m</w:t>
      </w:r>
      <w:r>
        <w:rPr>
          <w:rFonts w:ascii="Times New Roman" w:hAnsi="Times New Roman"/>
          <w:sz w:val="28"/>
          <w:szCs w:val="28"/>
          <w:vertAlign w:val="superscript"/>
        </w:rPr>
        <w:t>3</w:t>
      </w:r>
      <w:r>
        <w:rPr>
          <w:rFonts w:ascii="Times New Roman" w:hAnsi="Times New Roman"/>
          <w:sz w:val="28"/>
          <w:szCs w:val="28"/>
        </w:rPr>
        <w:t>；</w:t>
      </w:r>
    </w:p>
    <w:p>
      <w:pPr>
        <w:pStyle w:val="15"/>
        <w:spacing w:line="520" w:lineRule="exact"/>
        <w:ind w:firstLine="560" w:firstLineChars="200"/>
        <w:rPr>
          <w:rFonts w:ascii="Times New Roman" w:hAnsi="Times New Roman"/>
          <w:sz w:val="28"/>
          <w:szCs w:val="28"/>
        </w:rPr>
      </w:pPr>
      <w:r>
        <w:rPr>
          <w:rFonts w:ascii="Times New Roman" w:hAnsi="Times New Roman"/>
          <w:sz w:val="28"/>
          <w:szCs w:val="28"/>
        </w:rPr>
        <w:t>C</w:t>
      </w:r>
      <w:r>
        <w:rPr>
          <w:rFonts w:ascii="Times New Roman" w:hAnsi="Times New Roman"/>
          <w:sz w:val="28"/>
          <w:szCs w:val="28"/>
          <w:vertAlign w:val="subscript"/>
        </w:rPr>
        <w:t>0i</w:t>
      </w:r>
      <w:r>
        <w:rPr>
          <w:rFonts w:ascii="Times New Roman" w:hAnsi="Times New Roman"/>
          <w:sz w:val="28"/>
          <w:szCs w:val="28"/>
        </w:rPr>
        <w:t>—第i 个污染物的环境空气质量浓度标准，μg/m</w:t>
      </w:r>
      <w:r>
        <w:rPr>
          <w:rFonts w:ascii="Times New Roman" w:hAnsi="Times New Roman"/>
          <w:sz w:val="28"/>
          <w:szCs w:val="28"/>
          <w:vertAlign w:val="superscript"/>
        </w:rPr>
        <w:t>3</w:t>
      </w:r>
      <w:r>
        <w:rPr>
          <w:rFonts w:ascii="Times New Roman" w:hAnsi="Times New Roman"/>
          <w:sz w:val="28"/>
          <w:szCs w:val="28"/>
        </w:rPr>
        <w:t>。</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C</w:t>
      </w:r>
      <w:r>
        <w:rPr>
          <w:rFonts w:ascii="Times New Roman" w:hAnsi="Times New Roman"/>
          <w:sz w:val="28"/>
          <w:szCs w:val="28"/>
          <w:vertAlign w:val="subscript"/>
        </w:rPr>
        <w:t>0i</w:t>
      </w:r>
      <w:r>
        <w:rPr>
          <w:rFonts w:ascii="Times New Roman" w:hAnsi="Times New Roman"/>
          <w:sz w:val="28"/>
          <w:szCs w:val="28"/>
        </w:rPr>
        <w:t>一般选用《环境空气质量标准》（GB 3095-2012） 中1h平均质量浓度的二级浓度限值，如项目位于一类环境空气功能区，应选择相应的一级浓度限值。对仅有8h平均质量浓度限值、日平均质量浓度限值或年平均质量浓度限值的，可分别按2倍、3倍、6倍折算为1h平均质量浓度限值。</w:t>
      </w:r>
    </w:p>
    <w:p>
      <w:pPr>
        <w:spacing w:line="520" w:lineRule="exact"/>
        <w:ind w:firstLine="560" w:firstLineChars="200"/>
        <w:rPr>
          <w:rFonts w:ascii="Times New Roman" w:hAnsi="Times New Roman"/>
          <w:sz w:val="28"/>
          <w:szCs w:val="28"/>
        </w:rPr>
      </w:pPr>
      <w:r>
        <w:rPr>
          <w:rFonts w:ascii="Times New Roman" w:hAnsi="Times New Roman"/>
          <w:sz w:val="28"/>
          <w:szCs w:val="28"/>
        </w:rPr>
        <w:t>采用估算模式计算本项目各废气污染源在简单平坦地形、全气象组合情况下的最大影响程度和最远影响范围，从而确定评价等级，计算结果见</w:t>
      </w:r>
      <w:r>
        <w:rPr>
          <w:rFonts w:hint="eastAsia" w:ascii="Times New Roman" w:hAnsi="Times New Roman"/>
          <w:sz w:val="28"/>
          <w:szCs w:val="28"/>
        </w:rPr>
        <w:t>表2.7-1</w:t>
      </w:r>
      <w:r>
        <w:rPr>
          <w:rFonts w:ascii="Times New Roman" w:hAnsi="Times New Roman"/>
          <w:sz w:val="28"/>
          <w:szCs w:val="28"/>
        </w:rPr>
        <w:t>。</w:t>
      </w:r>
    </w:p>
    <w:p>
      <w:pPr>
        <w:pStyle w:val="27"/>
        <w:ind w:firstLine="560"/>
      </w:pPr>
      <w:bookmarkStart w:id="28" w:name="_Ref529820370"/>
      <w:r>
        <w:t>由表</w:t>
      </w:r>
      <w:r>
        <w:rPr>
          <w:rFonts w:hint="eastAsia"/>
          <w:szCs w:val="28"/>
        </w:rPr>
        <w:t>表2.7-1</w:t>
      </w:r>
      <w:r>
        <w:t>可知，本项目P</w:t>
      </w:r>
      <w:r>
        <w:rPr>
          <w:vertAlign w:val="subscript"/>
        </w:rPr>
        <w:t>max</w:t>
      </w:r>
      <w:r>
        <w:t>=0.92%（</w:t>
      </w:r>
      <w:r>
        <w:rPr>
          <w:szCs w:val="21"/>
        </w:rPr>
        <w:t>g</w:t>
      </w:r>
      <w:r>
        <w:rPr>
          <w:szCs w:val="21"/>
          <w:vertAlign w:val="subscript"/>
        </w:rPr>
        <w:t>1</w:t>
      </w:r>
      <w:r>
        <w:rPr>
          <w:szCs w:val="21"/>
        </w:rPr>
        <w:t>无组织</w:t>
      </w:r>
      <w:r>
        <w:t>）&lt;1%。根据HJ2.2-2018规定，对电力、钢铁、水泥、石化、化工、平板玻璃、有色等高耗能行业的多源项目或以使用高污染燃料为主的多源项目，并且编制环境影响报告书的项目评价等级提高一级。因此本项目大气影响评价工作等级为二级。</w:t>
      </w:r>
    </w:p>
    <w:p>
      <w:pPr>
        <w:pStyle w:val="32"/>
        <w:rPr>
          <w:rFonts w:hint="eastAsia"/>
        </w:rPr>
      </w:pPr>
      <w:r>
        <w:t>表2.7</w:t>
      </w:r>
      <w:r>
        <w:noBreakHyphen/>
      </w:r>
      <w:bookmarkEnd w:id="28"/>
      <w:r>
        <w:t>1</w:t>
      </w:r>
      <w:r>
        <w:rPr>
          <w:rFonts w:hint="eastAsia"/>
        </w:rPr>
        <w:t xml:space="preserve">              </w:t>
      </w:r>
      <w:r>
        <w:t xml:space="preserve"> 环境空气评价等级计算结果</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98"/>
        <w:gridCol w:w="1611"/>
        <w:gridCol w:w="953"/>
        <w:gridCol w:w="1435"/>
        <w:gridCol w:w="1439"/>
        <w:gridCol w:w="951"/>
        <w:gridCol w:w="801"/>
        <w:gridCol w:w="67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613" w:type="pct"/>
            <w:vMerge w:val="restart"/>
            <w:noWrap w:val="0"/>
            <w:vAlign w:val="center"/>
          </w:tcPr>
          <w:p>
            <w:pPr>
              <w:adjustRightInd w:val="0"/>
              <w:snapToGrid w:val="0"/>
              <w:spacing w:line="260" w:lineRule="exact"/>
              <w:jc w:val="center"/>
              <w:rPr>
                <w:b/>
                <w:szCs w:val="21"/>
              </w:rPr>
            </w:pPr>
            <w:r>
              <w:rPr>
                <w:rFonts w:ascii="Times New Roman" w:hAnsi="Times New Roman"/>
                <w:b/>
                <w:szCs w:val="21"/>
              </w:rPr>
              <w:t>污染类别</w:t>
            </w:r>
          </w:p>
        </w:tc>
        <w:tc>
          <w:tcPr>
            <w:tcW w:w="899" w:type="pct"/>
            <w:vMerge w:val="restart"/>
            <w:noWrap w:val="0"/>
            <w:vAlign w:val="center"/>
          </w:tcPr>
          <w:p>
            <w:pPr>
              <w:adjustRightInd w:val="0"/>
              <w:snapToGrid w:val="0"/>
              <w:spacing w:line="260" w:lineRule="exact"/>
              <w:jc w:val="center"/>
              <w:rPr>
                <w:b/>
                <w:szCs w:val="21"/>
              </w:rPr>
            </w:pPr>
            <w:r>
              <w:rPr>
                <w:rFonts w:ascii="Times New Roman" w:hAnsi="Times New Roman"/>
                <w:b/>
                <w:szCs w:val="21"/>
              </w:rPr>
              <w:t>污染源</w:t>
            </w:r>
          </w:p>
        </w:tc>
        <w:tc>
          <w:tcPr>
            <w:tcW w:w="532" w:type="pct"/>
            <w:vMerge w:val="restart"/>
            <w:noWrap w:val="0"/>
            <w:vAlign w:val="center"/>
          </w:tcPr>
          <w:p>
            <w:pPr>
              <w:adjustRightInd w:val="0"/>
              <w:snapToGrid w:val="0"/>
              <w:spacing w:line="260" w:lineRule="exact"/>
              <w:jc w:val="center"/>
              <w:rPr>
                <w:b/>
                <w:szCs w:val="21"/>
              </w:rPr>
            </w:pPr>
            <w:r>
              <w:rPr>
                <w:rFonts w:ascii="Times New Roman" w:hAnsi="Times New Roman"/>
                <w:b/>
                <w:szCs w:val="21"/>
              </w:rPr>
              <w:t>污染物</w:t>
            </w:r>
          </w:p>
          <w:p>
            <w:pPr>
              <w:adjustRightInd w:val="0"/>
              <w:snapToGrid w:val="0"/>
              <w:spacing w:line="260" w:lineRule="exact"/>
              <w:jc w:val="center"/>
              <w:rPr>
                <w:b/>
                <w:szCs w:val="21"/>
              </w:rPr>
            </w:pPr>
            <w:r>
              <w:rPr>
                <w:rFonts w:ascii="Times New Roman" w:hAnsi="Times New Roman"/>
                <w:b/>
                <w:szCs w:val="21"/>
              </w:rPr>
              <w:t>类别</w:t>
            </w:r>
          </w:p>
        </w:tc>
        <w:tc>
          <w:tcPr>
            <w:tcW w:w="801" w:type="pct"/>
            <w:vMerge w:val="restart"/>
            <w:noWrap w:val="0"/>
            <w:vAlign w:val="center"/>
          </w:tcPr>
          <w:p>
            <w:pPr>
              <w:adjustRightInd w:val="0"/>
              <w:snapToGrid w:val="0"/>
              <w:spacing w:line="260" w:lineRule="exact"/>
              <w:jc w:val="center"/>
              <w:rPr>
                <w:b/>
                <w:szCs w:val="21"/>
              </w:rPr>
            </w:pPr>
            <w:r>
              <w:rPr>
                <w:rFonts w:ascii="Times New Roman" w:hAnsi="Times New Roman"/>
                <w:b/>
                <w:szCs w:val="21"/>
              </w:rPr>
              <w:t>最大地面浓度下风距离（m）</w:t>
            </w:r>
          </w:p>
        </w:tc>
        <w:tc>
          <w:tcPr>
            <w:tcW w:w="803" w:type="pct"/>
            <w:vMerge w:val="restart"/>
            <w:noWrap w:val="0"/>
            <w:vAlign w:val="center"/>
          </w:tcPr>
          <w:p>
            <w:pPr>
              <w:adjustRightInd w:val="0"/>
              <w:snapToGrid w:val="0"/>
              <w:spacing w:line="260" w:lineRule="exact"/>
              <w:jc w:val="center"/>
              <w:rPr>
                <w:b/>
                <w:szCs w:val="21"/>
              </w:rPr>
            </w:pPr>
            <w:r>
              <w:rPr>
                <w:rFonts w:ascii="Times New Roman" w:hAnsi="Times New Roman"/>
                <w:b/>
                <w:szCs w:val="21"/>
              </w:rPr>
              <w:t>质量预测浓度（mg/m</w:t>
            </w:r>
            <w:r>
              <w:rPr>
                <w:rFonts w:ascii="Times New Roman" w:hAnsi="Times New Roman"/>
                <w:b/>
                <w:szCs w:val="21"/>
                <w:vertAlign w:val="superscript"/>
              </w:rPr>
              <w:t>3</w:t>
            </w:r>
            <w:r>
              <w:rPr>
                <w:rFonts w:ascii="Times New Roman" w:hAnsi="Times New Roman"/>
                <w:b/>
                <w:szCs w:val="21"/>
              </w:rPr>
              <w:t>）</w:t>
            </w:r>
          </w:p>
        </w:tc>
        <w:tc>
          <w:tcPr>
            <w:tcW w:w="978" w:type="pct"/>
            <w:gridSpan w:val="2"/>
            <w:noWrap w:val="0"/>
            <w:vAlign w:val="center"/>
          </w:tcPr>
          <w:p>
            <w:pPr>
              <w:adjustRightInd w:val="0"/>
              <w:snapToGrid w:val="0"/>
              <w:spacing w:line="260" w:lineRule="exact"/>
              <w:jc w:val="center"/>
              <w:rPr>
                <w:b/>
                <w:szCs w:val="21"/>
              </w:rPr>
            </w:pPr>
            <w:r>
              <w:rPr>
                <w:rFonts w:ascii="Times New Roman" w:hAnsi="Times New Roman"/>
                <w:b/>
                <w:szCs w:val="21"/>
              </w:rPr>
              <w:t>占标率 %</w:t>
            </w:r>
          </w:p>
        </w:tc>
        <w:tc>
          <w:tcPr>
            <w:tcW w:w="375" w:type="pct"/>
            <w:vMerge w:val="restart"/>
            <w:noWrap w:val="0"/>
            <w:vAlign w:val="center"/>
          </w:tcPr>
          <w:p>
            <w:pPr>
              <w:adjustRightInd w:val="0"/>
              <w:snapToGrid w:val="0"/>
              <w:spacing w:line="260" w:lineRule="exact"/>
              <w:jc w:val="center"/>
              <w:rPr>
                <w:b/>
                <w:szCs w:val="21"/>
              </w:rPr>
            </w:pPr>
            <w:r>
              <w:rPr>
                <w:rFonts w:ascii="Times New Roman" w:hAnsi="Times New Roman"/>
                <w:b/>
                <w:szCs w:val="21"/>
              </w:rPr>
              <w:t>评价</w:t>
            </w:r>
          </w:p>
          <w:p>
            <w:pPr>
              <w:adjustRightInd w:val="0"/>
              <w:snapToGrid w:val="0"/>
              <w:spacing w:line="260" w:lineRule="exact"/>
              <w:jc w:val="center"/>
              <w:rPr>
                <w:b/>
                <w:szCs w:val="21"/>
              </w:rPr>
            </w:pPr>
            <w:r>
              <w:rPr>
                <w:rFonts w:ascii="Times New Roman" w:hAnsi="Times New Roman"/>
                <w:b/>
                <w:szCs w:val="21"/>
              </w:rPr>
              <w:t>等级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613" w:type="pct"/>
            <w:vMerge w:val="continue"/>
            <w:noWrap w:val="0"/>
            <w:vAlign w:val="center"/>
          </w:tcPr>
          <w:p>
            <w:pPr>
              <w:adjustRightInd w:val="0"/>
              <w:snapToGrid w:val="0"/>
              <w:spacing w:line="260" w:lineRule="exact"/>
              <w:jc w:val="center"/>
              <w:rPr>
                <w:szCs w:val="21"/>
              </w:rPr>
            </w:pPr>
          </w:p>
        </w:tc>
        <w:tc>
          <w:tcPr>
            <w:tcW w:w="899" w:type="pct"/>
            <w:vMerge w:val="continue"/>
            <w:noWrap w:val="0"/>
            <w:vAlign w:val="center"/>
          </w:tcPr>
          <w:p>
            <w:pPr>
              <w:adjustRightInd w:val="0"/>
              <w:snapToGrid w:val="0"/>
              <w:spacing w:line="260" w:lineRule="exact"/>
              <w:jc w:val="center"/>
              <w:rPr>
                <w:szCs w:val="21"/>
              </w:rPr>
            </w:pPr>
          </w:p>
        </w:tc>
        <w:tc>
          <w:tcPr>
            <w:tcW w:w="532" w:type="pct"/>
            <w:vMerge w:val="continue"/>
            <w:noWrap w:val="0"/>
            <w:vAlign w:val="center"/>
          </w:tcPr>
          <w:p>
            <w:pPr>
              <w:adjustRightInd w:val="0"/>
              <w:snapToGrid w:val="0"/>
              <w:spacing w:line="260" w:lineRule="exact"/>
              <w:jc w:val="center"/>
              <w:rPr>
                <w:szCs w:val="21"/>
              </w:rPr>
            </w:pPr>
          </w:p>
        </w:tc>
        <w:tc>
          <w:tcPr>
            <w:tcW w:w="801" w:type="pct"/>
            <w:vMerge w:val="continue"/>
            <w:noWrap w:val="0"/>
            <w:vAlign w:val="center"/>
          </w:tcPr>
          <w:p>
            <w:pPr>
              <w:adjustRightInd w:val="0"/>
              <w:snapToGrid w:val="0"/>
              <w:spacing w:line="260" w:lineRule="exact"/>
              <w:jc w:val="center"/>
              <w:rPr>
                <w:szCs w:val="21"/>
              </w:rPr>
            </w:pPr>
          </w:p>
        </w:tc>
        <w:tc>
          <w:tcPr>
            <w:tcW w:w="803" w:type="pct"/>
            <w:vMerge w:val="continue"/>
            <w:noWrap w:val="0"/>
            <w:vAlign w:val="center"/>
          </w:tcPr>
          <w:p>
            <w:pPr>
              <w:adjustRightInd w:val="0"/>
              <w:snapToGrid w:val="0"/>
              <w:spacing w:line="260" w:lineRule="exact"/>
              <w:jc w:val="center"/>
              <w:rPr>
                <w:szCs w:val="21"/>
              </w:rPr>
            </w:pPr>
          </w:p>
        </w:tc>
        <w:tc>
          <w:tcPr>
            <w:tcW w:w="531" w:type="pct"/>
            <w:noWrap w:val="0"/>
            <w:vAlign w:val="center"/>
          </w:tcPr>
          <w:p>
            <w:pPr>
              <w:adjustRightInd w:val="0"/>
              <w:snapToGrid w:val="0"/>
              <w:spacing w:line="260" w:lineRule="exact"/>
              <w:jc w:val="center"/>
              <w:rPr>
                <w:b/>
                <w:szCs w:val="21"/>
              </w:rPr>
            </w:pPr>
            <w:r>
              <w:rPr>
                <w:rFonts w:ascii="Times New Roman" w:hAnsi="Times New Roman"/>
                <w:b/>
                <w:szCs w:val="21"/>
              </w:rPr>
              <w:t>P</w:t>
            </w:r>
          </w:p>
        </w:tc>
        <w:tc>
          <w:tcPr>
            <w:tcW w:w="447" w:type="pct"/>
            <w:noWrap w:val="0"/>
            <w:vAlign w:val="center"/>
          </w:tcPr>
          <w:p>
            <w:pPr>
              <w:adjustRightInd w:val="0"/>
              <w:snapToGrid w:val="0"/>
              <w:spacing w:line="260" w:lineRule="exact"/>
              <w:jc w:val="center"/>
              <w:rPr>
                <w:b/>
                <w:szCs w:val="21"/>
              </w:rPr>
            </w:pPr>
            <w:r>
              <w:rPr>
                <w:rFonts w:ascii="Times New Roman" w:hAnsi="Times New Roman"/>
                <w:b/>
                <w:szCs w:val="21"/>
              </w:rPr>
              <w:t>P</w:t>
            </w:r>
            <w:r>
              <w:rPr>
                <w:rFonts w:ascii="Times New Roman" w:hAnsi="Times New Roman"/>
                <w:b/>
                <w:szCs w:val="21"/>
                <w:vertAlign w:val="subscript"/>
              </w:rPr>
              <w:t>max</w:t>
            </w:r>
          </w:p>
        </w:tc>
        <w:tc>
          <w:tcPr>
            <w:tcW w:w="375" w:type="pct"/>
            <w:vMerge w:val="continue"/>
            <w:noWrap w:val="0"/>
            <w:vAlign w:val="center"/>
          </w:tcPr>
          <w:p>
            <w:pPr>
              <w:adjustRightInd w:val="0"/>
              <w:snapToGrid w:val="0"/>
              <w:spacing w:line="260" w:lineRule="exact"/>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13" w:type="pct"/>
            <w:noWrap w:val="0"/>
            <w:vAlign w:val="center"/>
          </w:tcPr>
          <w:p>
            <w:pPr>
              <w:adjustRightInd w:val="0"/>
              <w:snapToGrid w:val="0"/>
              <w:spacing w:line="260" w:lineRule="exact"/>
              <w:jc w:val="center"/>
              <w:rPr>
                <w:szCs w:val="21"/>
              </w:rPr>
            </w:pPr>
            <w:r>
              <w:rPr>
                <w:rFonts w:ascii="Times New Roman" w:hAnsi="Times New Roman"/>
                <w:szCs w:val="21"/>
              </w:rPr>
              <w:t>有组织源</w:t>
            </w:r>
          </w:p>
        </w:tc>
        <w:tc>
          <w:tcPr>
            <w:tcW w:w="899" w:type="pct"/>
            <w:noWrap w:val="0"/>
            <w:vAlign w:val="center"/>
          </w:tcPr>
          <w:p>
            <w:pPr>
              <w:pStyle w:val="35"/>
            </w:pPr>
            <w:r>
              <w:t>G</w:t>
            </w:r>
            <w:r>
              <w:rPr>
                <w:vertAlign w:val="subscript"/>
              </w:rPr>
              <w:t>3</w:t>
            </w:r>
            <w:r>
              <w:t>真空泵尾气</w:t>
            </w:r>
          </w:p>
        </w:tc>
        <w:tc>
          <w:tcPr>
            <w:tcW w:w="532" w:type="pct"/>
            <w:noWrap w:val="0"/>
            <w:vAlign w:val="center"/>
          </w:tcPr>
          <w:p>
            <w:pPr>
              <w:adjustRightInd w:val="0"/>
              <w:snapToGrid w:val="0"/>
              <w:spacing w:line="260" w:lineRule="exact"/>
              <w:jc w:val="center"/>
              <w:rPr>
                <w:szCs w:val="21"/>
              </w:rPr>
            </w:pPr>
            <w:r>
              <w:rPr>
                <w:rFonts w:ascii="Times New Roman" w:hAnsi="Times New Roman"/>
              </w:rPr>
              <w:t>NMHC</w:t>
            </w:r>
          </w:p>
        </w:tc>
        <w:tc>
          <w:tcPr>
            <w:tcW w:w="801" w:type="pct"/>
            <w:noWrap w:val="0"/>
            <w:vAlign w:val="center"/>
          </w:tcPr>
          <w:p>
            <w:pPr>
              <w:adjustRightInd w:val="0"/>
              <w:snapToGrid w:val="0"/>
              <w:spacing w:line="260" w:lineRule="exact"/>
              <w:jc w:val="center"/>
              <w:rPr>
                <w:szCs w:val="21"/>
              </w:rPr>
            </w:pPr>
            <w:r>
              <w:rPr>
                <w:rFonts w:ascii="Times New Roman" w:hAnsi="Times New Roman"/>
                <w:szCs w:val="21"/>
              </w:rPr>
              <w:t>97</w:t>
            </w:r>
          </w:p>
        </w:tc>
        <w:tc>
          <w:tcPr>
            <w:tcW w:w="803" w:type="pct"/>
            <w:noWrap w:val="0"/>
            <w:vAlign w:val="center"/>
          </w:tcPr>
          <w:p>
            <w:pPr>
              <w:adjustRightInd w:val="0"/>
              <w:snapToGrid w:val="0"/>
              <w:spacing w:line="260" w:lineRule="exact"/>
              <w:jc w:val="center"/>
              <w:rPr>
                <w:szCs w:val="21"/>
              </w:rPr>
            </w:pPr>
            <w:r>
              <w:rPr>
                <w:rFonts w:ascii="Times New Roman" w:hAnsi="Times New Roman"/>
                <w:szCs w:val="21"/>
              </w:rPr>
              <w:t>7.59E-04</w:t>
            </w:r>
          </w:p>
        </w:tc>
        <w:tc>
          <w:tcPr>
            <w:tcW w:w="531" w:type="pct"/>
            <w:noWrap w:val="0"/>
            <w:vAlign w:val="center"/>
          </w:tcPr>
          <w:p>
            <w:pPr>
              <w:adjustRightInd w:val="0"/>
              <w:snapToGrid w:val="0"/>
              <w:spacing w:line="260" w:lineRule="exact"/>
              <w:jc w:val="center"/>
              <w:rPr>
                <w:szCs w:val="21"/>
              </w:rPr>
            </w:pPr>
            <w:r>
              <w:rPr>
                <w:rFonts w:ascii="Times New Roman" w:hAnsi="Times New Roman"/>
                <w:szCs w:val="21"/>
              </w:rPr>
              <w:t>0.04</w:t>
            </w:r>
          </w:p>
        </w:tc>
        <w:tc>
          <w:tcPr>
            <w:tcW w:w="447" w:type="pct"/>
            <w:vMerge w:val="restart"/>
            <w:noWrap w:val="0"/>
            <w:vAlign w:val="center"/>
          </w:tcPr>
          <w:p>
            <w:pPr>
              <w:adjustRightInd w:val="0"/>
              <w:snapToGrid w:val="0"/>
              <w:spacing w:line="260" w:lineRule="exact"/>
              <w:jc w:val="center"/>
              <w:rPr>
                <w:szCs w:val="21"/>
              </w:rPr>
            </w:pPr>
            <w:r>
              <w:rPr>
                <w:rFonts w:ascii="Times New Roman" w:hAnsi="Times New Roman"/>
                <w:szCs w:val="21"/>
              </w:rPr>
              <w:t>0.92</w:t>
            </w:r>
          </w:p>
        </w:tc>
        <w:tc>
          <w:tcPr>
            <w:tcW w:w="375" w:type="pct"/>
            <w:vMerge w:val="restart"/>
            <w:noWrap w:val="0"/>
            <w:vAlign w:val="center"/>
          </w:tcPr>
          <w:p>
            <w:pPr>
              <w:adjustRightInd w:val="0"/>
              <w:snapToGrid w:val="0"/>
              <w:spacing w:line="260" w:lineRule="exact"/>
              <w:jc w:val="center"/>
              <w:rPr>
                <w:szCs w:val="21"/>
              </w:rPr>
            </w:pPr>
            <w:r>
              <w:rPr>
                <w:rFonts w:hint="eastAsia" w:ascii="Times New Roman" w:hAnsi="Times New Roman"/>
                <w:szCs w:val="21"/>
              </w:rPr>
              <w:t>二级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13" w:type="pct"/>
            <w:noWrap w:val="0"/>
            <w:vAlign w:val="center"/>
          </w:tcPr>
          <w:p>
            <w:pPr>
              <w:adjustRightInd w:val="0"/>
              <w:snapToGrid w:val="0"/>
              <w:spacing w:line="260" w:lineRule="exact"/>
              <w:jc w:val="center"/>
              <w:rPr>
                <w:szCs w:val="21"/>
              </w:rPr>
            </w:pPr>
            <w:r>
              <w:rPr>
                <w:rFonts w:ascii="Times New Roman" w:hAnsi="Times New Roman"/>
                <w:szCs w:val="21"/>
              </w:rPr>
              <w:t>无组织源</w:t>
            </w:r>
          </w:p>
        </w:tc>
        <w:tc>
          <w:tcPr>
            <w:tcW w:w="899" w:type="pct"/>
            <w:noWrap w:val="0"/>
            <w:vAlign w:val="center"/>
          </w:tcPr>
          <w:p>
            <w:pPr>
              <w:pStyle w:val="35"/>
            </w:pPr>
            <w:r>
              <w:t>g</w:t>
            </w:r>
            <w:r>
              <w:rPr>
                <w:vertAlign w:val="subscript"/>
              </w:rPr>
              <w:t>1</w:t>
            </w:r>
            <w:r>
              <w:t>无组织</w:t>
            </w:r>
          </w:p>
        </w:tc>
        <w:tc>
          <w:tcPr>
            <w:tcW w:w="532" w:type="pct"/>
            <w:noWrap w:val="0"/>
            <w:vAlign w:val="center"/>
          </w:tcPr>
          <w:p>
            <w:pPr>
              <w:adjustRightInd w:val="0"/>
              <w:snapToGrid w:val="0"/>
              <w:spacing w:line="260" w:lineRule="exact"/>
              <w:jc w:val="center"/>
              <w:rPr>
                <w:szCs w:val="21"/>
              </w:rPr>
            </w:pPr>
            <w:r>
              <w:rPr>
                <w:rFonts w:ascii="Times New Roman" w:hAnsi="Times New Roman"/>
              </w:rPr>
              <w:t>NMHC</w:t>
            </w:r>
          </w:p>
        </w:tc>
        <w:tc>
          <w:tcPr>
            <w:tcW w:w="801" w:type="pct"/>
            <w:noWrap w:val="0"/>
            <w:vAlign w:val="center"/>
          </w:tcPr>
          <w:p>
            <w:pPr>
              <w:adjustRightInd w:val="0"/>
              <w:snapToGrid w:val="0"/>
              <w:spacing w:line="260" w:lineRule="exact"/>
              <w:jc w:val="center"/>
              <w:rPr>
                <w:szCs w:val="21"/>
              </w:rPr>
            </w:pPr>
            <w:r>
              <w:rPr>
                <w:rFonts w:ascii="Times New Roman" w:hAnsi="Times New Roman"/>
                <w:szCs w:val="21"/>
              </w:rPr>
              <w:t>60</w:t>
            </w:r>
          </w:p>
        </w:tc>
        <w:tc>
          <w:tcPr>
            <w:tcW w:w="803" w:type="pct"/>
            <w:noWrap w:val="0"/>
            <w:vAlign w:val="center"/>
          </w:tcPr>
          <w:p>
            <w:pPr>
              <w:adjustRightInd w:val="0"/>
              <w:snapToGrid w:val="0"/>
              <w:spacing w:line="260" w:lineRule="exact"/>
              <w:jc w:val="center"/>
              <w:rPr>
                <w:szCs w:val="21"/>
              </w:rPr>
            </w:pPr>
            <w:r>
              <w:rPr>
                <w:rFonts w:ascii="Times New Roman" w:hAnsi="Times New Roman"/>
                <w:szCs w:val="21"/>
              </w:rPr>
              <w:t>1.84E-02</w:t>
            </w:r>
          </w:p>
        </w:tc>
        <w:tc>
          <w:tcPr>
            <w:tcW w:w="531" w:type="pct"/>
            <w:noWrap w:val="0"/>
            <w:vAlign w:val="center"/>
          </w:tcPr>
          <w:p>
            <w:pPr>
              <w:adjustRightInd w:val="0"/>
              <w:snapToGrid w:val="0"/>
              <w:spacing w:line="260" w:lineRule="exact"/>
              <w:jc w:val="center"/>
              <w:rPr>
                <w:szCs w:val="21"/>
              </w:rPr>
            </w:pPr>
            <w:r>
              <w:rPr>
                <w:rFonts w:ascii="Times New Roman" w:hAnsi="Times New Roman"/>
                <w:szCs w:val="21"/>
              </w:rPr>
              <w:t>0.92</w:t>
            </w:r>
          </w:p>
        </w:tc>
        <w:tc>
          <w:tcPr>
            <w:tcW w:w="447" w:type="pct"/>
            <w:vMerge w:val="continue"/>
            <w:noWrap w:val="0"/>
            <w:vAlign w:val="center"/>
          </w:tcPr>
          <w:p>
            <w:pPr>
              <w:adjustRightInd w:val="0"/>
              <w:snapToGrid w:val="0"/>
              <w:spacing w:line="260" w:lineRule="exact"/>
              <w:jc w:val="center"/>
              <w:rPr>
                <w:szCs w:val="21"/>
              </w:rPr>
            </w:pPr>
          </w:p>
        </w:tc>
        <w:tc>
          <w:tcPr>
            <w:tcW w:w="375" w:type="pct"/>
            <w:vMerge w:val="continue"/>
            <w:noWrap w:val="0"/>
            <w:vAlign w:val="center"/>
          </w:tcPr>
          <w:p>
            <w:pPr>
              <w:adjustRightInd w:val="0"/>
              <w:snapToGrid w:val="0"/>
              <w:spacing w:line="260" w:lineRule="exact"/>
              <w:jc w:val="center"/>
              <w:rPr>
                <w:szCs w:val="21"/>
              </w:rPr>
            </w:pPr>
          </w:p>
        </w:tc>
      </w:tr>
    </w:tbl>
    <w:p>
      <w:pPr>
        <w:pStyle w:val="5"/>
        <w:spacing w:before="0" w:after="0" w:line="530" w:lineRule="exact"/>
        <w:rPr>
          <w:rFonts w:ascii="Times New Roman" w:hAnsi="Times New Roman" w:eastAsia="楷体_GB2312"/>
          <w:sz w:val="28"/>
          <w:szCs w:val="28"/>
          <w:lang w:val="en-US" w:eastAsia="zh-CN"/>
        </w:rPr>
      </w:pPr>
      <w:bookmarkStart w:id="29" w:name="_Toc439060155"/>
      <w:r>
        <w:rPr>
          <w:rFonts w:ascii="Times New Roman" w:hAnsi="Times New Roman" w:eastAsia="楷体_GB2312"/>
          <w:sz w:val="28"/>
          <w:szCs w:val="28"/>
          <w:lang w:val="en-US" w:eastAsia="zh-CN"/>
        </w:rPr>
        <w:t>2.7.2  地表水环境评价工作等级</w:t>
      </w:r>
      <w:bookmarkEnd w:id="29"/>
    </w:p>
    <w:p>
      <w:pPr>
        <w:spacing w:line="520" w:lineRule="exact"/>
        <w:ind w:firstLine="560" w:firstLineChars="200"/>
        <w:rPr>
          <w:rFonts w:ascii="Times New Roman" w:hAnsi="Times New Roman"/>
          <w:sz w:val="28"/>
          <w:szCs w:val="28"/>
        </w:rPr>
      </w:pPr>
      <w:r>
        <w:rPr>
          <w:rFonts w:ascii="Times New Roman" w:hAnsi="Times New Roman"/>
          <w:sz w:val="28"/>
          <w:szCs w:val="28"/>
        </w:rPr>
        <w:t>本工程完成后，项目</w:t>
      </w:r>
      <w:r>
        <w:rPr>
          <w:rFonts w:hint="eastAsia" w:ascii="Times New Roman" w:hAnsi="Times New Roman"/>
          <w:sz w:val="28"/>
          <w:szCs w:val="28"/>
        </w:rPr>
        <w:t>废水依托厂区甲醇项目污水处理站处理后排入濮阳康达环保水务有限公司</w:t>
      </w:r>
      <w:r>
        <w:rPr>
          <w:rFonts w:hint="eastAsia" w:ascii="Times New Roman" w:hAnsi="Times New Roman"/>
          <w:sz w:val="28"/>
          <w:szCs w:val="28"/>
          <w:lang w:eastAsia="zh-CN"/>
        </w:rPr>
        <w:t>处理</w:t>
      </w:r>
      <w:r>
        <w:rPr>
          <w:rFonts w:hint="eastAsia" w:ascii="Times New Roman" w:hAnsi="Times New Roman"/>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根据《环境影响评价技术导则地表水环境》（HJ 2.3-2018），建设项目地表水环境影响评价等级按照影响类型、排放方式、排放量或影响情况、受纳水体环境质量现状、水环境保护目标等综合确定。根据《环境影响评价技术导则 地表水环境》，本项目地表水环境评价等级为三级B。</w:t>
      </w:r>
    </w:p>
    <w:p>
      <w:pPr>
        <w:pStyle w:val="5"/>
        <w:spacing w:before="0" w:after="0" w:line="530" w:lineRule="exact"/>
        <w:rPr>
          <w:rFonts w:ascii="Times New Roman" w:hAnsi="Times New Roman"/>
        </w:rPr>
      </w:pPr>
      <w:bookmarkStart w:id="30" w:name="_Toc439060156"/>
      <w:r>
        <w:rPr>
          <w:rFonts w:ascii="Times New Roman" w:hAnsi="Times New Roman" w:eastAsia="楷体_GB2312"/>
          <w:sz w:val="28"/>
          <w:szCs w:val="28"/>
          <w:lang w:val="en-US" w:eastAsia="zh-CN"/>
        </w:rPr>
        <w:t>2.7.3  地下水环境评价工作等级</w:t>
      </w:r>
      <w:bookmarkEnd w:id="30"/>
    </w:p>
    <w:p>
      <w:pPr>
        <w:pStyle w:val="27"/>
        <w:ind w:firstLine="560"/>
        <w:rPr>
          <w:szCs w:val="28"/>
        </w:rPr>
      </w:pPr>
      <w:r>
        <w:rPr>
          <w:rFonts w:hint="eastAsia"/>
          <w:szCs w:val="28"/>
        </w:rPr>
        <w:t>（1）项目分类</w:t>
      </w:r>
    </w:p>
    <w:p>
      <w:pPr>
        <w:pStyle w:val="27"/>
        <w:ind w:firstLine="560"/>
        <w:rPr>
          <w:rFonts w:hint="eastAsia"/>
          <w:szCs w:val="28"/>
        </w:rPr>
      </w:pPr>
      <w:r>
        <w:rPr>
          <w:szCs w:val="28"/>
        </w:rPr>
        <w:t>依据《环境影响评价技术导则 地下水环境》（HJ 610-2016）附录A 地下水环境影响评价行业分类表，本项目</w:t>
      </w:r>
      <w:r>
        <w:rPr>
          <w:rFonts w:hint="eastAsia"/>
          <w:szCs w:val="28"/>
        </w:rPr>
        <w:t>为</w:t>
      </w:r>
      <w:r>
        <w:rPr>
          <w:szCs w:val="28"/>
        </w:rPr>
        <w:t>L</w:t>
      </w:r>
      <w:r>
        <w:rPr>
          <w:rFonts w:hint="eastAsia"/>
          <w:szCs w:val="28"/>
        </w:rPr>
        <w:t>-石化、化工-85、基本化学原料制造，属于</w:t>
      </w:r>
      <w:r>
        <w:rPr>
          <w:rFonts w:hint="eastAsia" w:ascii="宋体" w:hAnsi="宋体"/>
          <w:szCs w:val="28"/>
        </w:rPr>
        <w:t>Ⅰ</w:t>
      </w:r>
      <w:r>
        <w:rPr>
          <w:szCs w:val="28"/>
        </w:rPr>
        <w:t>类</w:t>
      </w:r>
      <w:r>
        <w:rPr>
          <w:rFonts w:hint="eastAsia"/>
          <w:szCs w:val="28"/>
        </w:rPr>
        <w:t>项目。</w:t>
      </w:r>
    </w:p>
    <w:p>
      <w:pPr>
        <w:pStyle w:val="28"/>
        <w:snapToGrid w:val="0"/>
        <w:spacing w:line="520" w:lineRule="exact"/>
        <w:ind w:firstLine="560" w:firstLineChars="200"/>
        <w:rPr>
          <w:rFonts w:ascii="Times New Roman" w:hAnsi="Times New Roman" w:cs="Times New Roman"/>
          <w:color w:val="auto"/>
          <w:sz w:val="28"/>
          <w:szCs w:val="28"/>
        </w:rPr>
      </w:pPr>
      <w:r>
        <w:rPr>
          <w:rFonts w:ascii="Times New Roman" w:hAnsi="Times New Roman" w:cs="Times New Roman"/>
          <w:color w:val="auto"/>
          <w:sz w:val="28"/>
          <w:szCs w:val="28"/>
        </w:rPr>
        <w:t>（2）地下水敏感程度调查</w:t>
      </w:r>
    </w:p>
    <w:p>
      <w:pPr>
        <w:pStyle w:val="28"/>
        <w:snapToGrid w:val="0"/>
        <w:spacing w:line="520" w:lineRule="exact"/>
        <w:ind w:firstLine="560" w:firstLineChars="200"/>
        <w:rPr>
          <w:rFonts w:ascii="Times New Roman" w:hAnsi="Times New Roman" w:cs="Times New Roman"/>
          <w:color w:val="auto"/>
          <w:sz w:val="28"/>
          <w:szCs w:val="28"/>
        </w:rPr>
      </w:pPr>
      <w:r>
        <w:rPr>
          <w:rFonts w:ascii="Times New Roman" w:hAnsi="Times New Roman" w:cs="Times New Roman"/>
          <w:color w:val="auto"/>
          <w:sz w:val="28"/>
          <w:szCs w:val="28"/>
        </w:rPr>
        <w:t>据现场调查，本项目厂址不属于饮用水源准保护区范围，距离相对较远，工程项目实施将不会对饮用水源地产生不利影响。由于工程周边存在分散式饮用水水源地（康呼村、前漳消村），根据“建设项目的地下水环境敏感程度分级表”，建设项目地下水环境敏感程度为“</w:t>
      </w:r>
      <w:r>
        <w:rPr>
          <w:rFonts w:ascii="Times New Roman" w:hAnsi="Times New Roman" w:cs="Times New Roman"/>
          <w:b/>
          <w:bCs/>
          <w:color w:val="auto"/>
          <w:sz w:val="28"/>
          <w:szCs w:val="28"/>
        </w:rPr>
        <w:t>较敏感</w:t>
      </w:r>
      <w:r>
        <w:rPr>
          <w:rFonts w:ascii="Times New Roman" w:hAnsi="Times New Roman" w:cs="Times New Roman"/>
          <w:color w:val="auto"/>
          <w:sz w:val="28"/>
          <w:szCs w:val="28"/>
        </w:rPr>
        <w:t>”。</w:t>
      </w:r>
    </w:p>
    <w:p>
      <w:pPr>
        <w:adjustRightInd w:val="0"/>
        <w:snapToGrid w:val="0"/>
        <w:spacing w:line="520" w:lineRule="exact"/>
        <w:ind w:firstLine="560" w:firstLineChars="200"/>
        <w:rPr>
          <w:rFonts w:ascii="Times New Roman" w:hAnsi="Times New Roman"/>
          <w:sz w:val="28"/>
          <w:szCs w:val="28"/>
        </w:rPr>
      </w:pPr>
      <w:r>
        <w:rPr>
          <w:rFonts w:ascii="Times New Roman" w:hAnsi="Times New Roman"/>
          <w:sz w:val="28"/>
          <w:szCs w:val="28"/>
        </w:rPr>
        <w:t>（3）地下水评价等级</w:t>
      </w:r>
    </w:p>
    <w:p>
      <w:pPr>
        <w:adjustRightInd w:val="0"/>
        <w:snapToGrid w:val="0"/>
        <w:spacing w:line="520" w:lineRule="exact"/>
        <w:ind w:firstLine="560" w:firstLineChars="200"/>
        <w:rPr>
          <w:rFonts w:ascii="Times New Roman" w:hAnsi="Times New Roman"/>
          <w:sz w:val="28"/>
          <w:szCs w:val="28"/>
        </w:rPr>
      </w:pPr>
      <w:r>
        <w:rPr>
          <w:rFonts w:ascii="Times New Roman" w:hAnsi="Times New Roman"/>
          <w:sz w:val="28"/>
          <w:szCs w:val="28"/>
        </w:rPr>
        <w:t>根据上述建设项目所属的地下水环境影响评价项目类别及建设项目的地下水环境敏感程度，综合判定拟建项目地下水环境影响评价工作等级为一级，各指标分类等级见表2.7-</w:t>
      </w:r>
      <w:r>
        <w:rPr>
          <w:rFonts w:hint="eastAsia" w:ascii="Times New Roman" w:hAnsi="Times New Roman"/>
          <w:sz w:val="28"/>
          <w:szCs w:val="28"/>
        </w:rPr>
        <w:t>2</w:t>
      </w:r>
      <w:r>
        <w:rPr>
          <w:rFonts w:ascii="Times New Roman" w:hAnsi="Times New Roman"/>
          <w:sz w:val="28"/>
          <w:szCs w:val="28"/>
        </w:rPr>
        <w:t>。</w:t>
      </w:r>
    </w:p>
    <w:p>
      <w:pPr>
        <w:pStyle w:val="32"/>
      </w:pPr>
      <w:r>
        <w:t>表2.7-</w:t>
      </w:r>
      <w:r>
        <w:rPr>
          <w:rFonts w:hint="eastAsia"/>
        </w:rPr>
        <w:t>2</w:t>
      </w:r>
      <w:r>
        <w:t xml:space="preserve">           厂址地下水环境影响评价工作等级分级表</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982"/>
        <w:gridCol w:w="2064"/>
        <w:gridCol w:w="2224"/>
        <w:gridCol w:w="1905"/>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1625" w:type="pct"/>
            <w:tcBorders>
              <w:top w:val="single" w:color="000000" w:sz="8" w:space="0"/>
              <w:bottom w:val="single" w:color="000000" w:sz="4" w:space="0"/>
              <w:tl2br w:val="single" w:color="000000" w:sz="4" w:space="0"/>
            </w:tcBorders>
            <w:noWrap w:val="0"/>
            <w:vAlign w:val="center"/>
          </w:tcPr>
          <w:p>
            <w:pPr>
              <w:adjustRightInd w:val="0"/>
              <w:snapToGrid w:val="0"/>
              <w:jc w:val="center"/>
              <w:rPr>
                <w:rFonts w:ascii="Times New Roman" w:hAnsi="Times New Roman"/>
                <w:kern w:val="0"/>
                <w:szCs w:val="21"/>
              </w:rPr>
            </w:pPr>
            <w:r>
              <w:rPr>
                <w:rFonts w:ascii="Times New Roman" w:hAnsi="Times New Roman"/>
                <w:kern w:val="0"/>
                <w:szCs w:val="21"/>
              </w:rPr>
              <w:t xml:space="preserve">          项目类别</w:t>
            </w:r>
          </w:p>
          <w:p>
            <w:pPr>
              <w:adjustRightInd w:val="0"/>
              <w:snapToGrid w:val="0"/>
              <w:jc w:val="center"/>
              <w:rPr>
                <w:rFonts w:ascii="Times New Roman" w:hAnsi="Times New Roman"/>
                <w:kern w:val="0"/>
                <w:szCs w:val="21"/>
              </w:rPr>
            </w:pPr>
            <w:r>
              <w:rPr>
                <w:rFonts w:ascii="Times New Roman" w:hAnsi="Times New Roman"/>
                <w:kern w:val="0"/>
                <w:szCs w:val="21"/>
              </w:rPr>
              <w:t>环境敏感程度</w:t>
            </w:r>
          </w:p>
        </w:tc>
        <w:tc>
          <w:tcPr>
            <w:tcW w:w="1125" w:type="pct"/>
            <w:tcBorders>
              <w:top w:val="single" w:color="000000" w:sz="8" w:space="0"/>
              <w:bottom w:val="single" w:color="000000" w:sz="4" w:space="0"/>
            </w:tcBorders>
            <w:noWrap w:val="0"/>
            <w:vAlign w:val="center"/>
          </w:tcPr>
          <w:p>
            <w:pPr>
              <w:adjustRightInd w:val="0"/>
              <w:snapToGrid w:val="0"/>
              <w:jc w:val="center"/>
              <w:rPr>
                <w:rFonts w:ascii="Times New Roman" w:hAnsi="Times New Roman"/>
                <w:kern w:val="0"/>
                <w:szCs w:val="21"/>
              </w:rPr>
            </w:pPr>
            <w:r>
              <w:rPr>
                <w:rFonts w:ascii="Times New Roman" w:hAnsi="Times New Roman"/>
                <w:kern w:val="0"/>
                <w:szCs w:val="21"/>
              </w:rPr>
              <w:t>地下水环境影响评价项目类别</w:t>
            </w:r>
          </w:p>
        </w:tc>
        <w:tc>
          <w:tcPr>
            <w:tcW w:w="1212" w:type="pct"/>
            <w:tcBorders>
              <w:top w:val="single" w:color="000000" w:sz="8" w:space="0"/>
              <w:bottom w:val="single" w:color="000000" w:sz="4" w:space="0"/>
            </w:tcBorders>
            <w:noWrap w:val="0"/>
            <w:vAlign w:val="center"/>
          </w:tcPr>
          <w:p>
            <w:pPr>
              <w:adjustRightInd w:val="0"/>
              <w:snapToGrid w:val="0"/>
              <w:jc w:val="center"/>
              <w:rPr>
                <w:rFonts w:ascii="Times New Roman" w:hAnsi="Times New Roman"/>
                <w:kern w:val="0"/>
                <w:szCs w:val="21"/>
              </w:rPr>
            </w:pPr>
            <w:r>
              <w:rPr>
                <w:rFonts w:ascii="Times New Roman" w:hAnsi="Times New Roman"/>
                <w:kern w:val="0"/>
                <w:szCs w:val="21"/>
              </w:rPr>
              <w:t>地下水环境敏感程度分级</w:t>
            </w:r>
          </w:p>
        </w:tc>
        <w:tc>
          <w:tcPr>
            <w:tcW w:w="1038" w:type="pct"/>
            <w:tcBorders>
              <w:top w:val="single" w:color="000000" w:sz="8" w:space="0"/>
              <w:bottom w:val="single" w:color="000000" w:sz="4" w:space="0"/>
            </w:tcBorders>
            <w:noWrap w:val="0"/>
            <w:vAlign w:val="center"/>
          </w:tcPr>
          <w:p>
            <w:pPr>
              <w:widowControl/>
              <w:adjustRightInd w:val="0"/>
              <w:snapToGrid w:val="0"/>
              <w:jc w:val="center"/>
              <w:rPr>
                <w:rFonts w:ascii="Times New Roman" w:hAnsi="Times New Roman"/>
                <w:kern w:val="0"/>
                <w:szCs w:val="21"/>
              </w:rPr>
            </w:pPr>
            <w:r>
              <w:rPr>
                <w:rFonts w:ascii="Times New Roman" w:hAnsi="Times New Roman"/>
                <w:kern w:val="0"/>
                <w:szCs w:val="21"/>
              </w:rPr>
              <w:t>地下水环境评价工作等级判定</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1625" w:type="pct"/>
            <w:tcBorders>
              <w:top w:val="single" w:color="000000" w:sz="4" w:space="0"/>
              <w:bottom w:val="single" w:color="000000" w:sz="8" w:space="0"/>
            </w:tcBorders>
            <w:noWrap w:val="0"/>
            <w:vAlign w:val="center"/>
          </w:tcPr>
          <w:p>
            <w:pPr>
              <w:widowControl/>
              <w:adjustRightInd w:val="0"/>
              <w:snapToGrid w:val="0"/>
              <w:jc w:val="center"/>
              <w:rPr>
                <w:rFonts w:ascii="Times New Roman" w:hAnsi="Times New Roman"/>
                <w:kern w:val="0"/>
                <w:szCs w:val="21"/>
              </w:rPr>
            </w:pPr>
            <w:r>
              <w:rPr>
                <w:rFonts w:ascii="Times New Roman" w:hAnsi="Times New Roman"/>
                <w:kern w:val="0"/>
                <w:szCs w:val="21"/>
              </w:rPr>
              <w:t>拟建项目场地</w:t>
            </w:r>
          </w:p>
        </w:tc>
        <w:tc>
          <w:tcPr>
            <w:tcW w:w="1125" w:type="pct"/>
            <w:tcBorders>
              <w:top w:val="single" w:color="000000" w:sz="4" w:space="0"/>
              <w:bottom w:val="single" w:color="000000" w:sz="8" w:space="0"/>
            </w:tcBorders>
            <w:noWrap w:val="0"/>
            <w:vAlign w:val="center"/>
          </w:tcPr>
          <w:p>
            <w:pPr>
              <w:widowControl/>
              <w:adjustRightInd w:val="0"/>
              <w:snapToGrid w:val="0"/>
              <w:jc w:val="center"/>
              <w:rPr>
                <w:rFonts w:ascii="Times New Roman" w:hAnsi="Times New Roman"/>
                <w:kern w:val="0"/>
                <w:szCs w:val="21"/>
              </w:rPr>
            </w:pPr>
            <w:r>
              <w:rPr>
                <w:rFonts w:hint="eastAsia" w:ascii="宋体" w:hAnsi="宋体" w:cs="宋体"/>
                <w:szCs w:val="21"/>
              </w:rPr>
              <w:t>Ⅰ</w:t>
            </w:r>
            <w:r>
              <w:rPr>
                <w:rFonts w:ascii="Times New Roman" w:hAnsi="Times New Roman"/>
                <w:szCs w:val="21"/>
              </w:rPr>
              <w:t>类</w:t>
            </w:r>
          </w:p>
        </w:tc>
        <w:tc>
          <w:tcPr>
            <w:tcW w:w="1212" w:type="pct"/>
            <w:tcBorders>
              <w:top w:val="single" w:color="000000" w:sz="4" w:space="0"/>
              <w:bottom w:val="single" w:color="000000" w:sz="8" w:space="0"/>
            </w:tcBorders>
            <w:noWrap w:val="0"/>
            <w:vAlign w:val="center"/>
          </w:tcPr>
          <w:p>
            <w:pPr>
              <w:widowControl/>
              <w:adjustRightInd w:val="0"/>
              <w:snapToGrid w:val="0"/>
              <w:jc w:val="center"/>
              <w:rPr>
                <w:rFonts w:ascii="Times New Roman" w:hAnsi="Times New Roman"/>
                <w:kern w:val="0"/>
                <w:szCs w:val="21"/>
              </w:rPr>
            </w:pPr>
            <w:r>
              <w:rPr>
                <w:rFonts w:ascii="Times New Roman" w:hAnsi="Times New Roman"/>
                <w:kern w:val="0"/>
                <w:szCs w:val="21"/>
              </w:rPr>
              <w:t>较敏感</w:t>
            </w:r>
          </w:p>
        </w:tc>
        <w:tc>
          <w:tcPr>
            <w:tcW w:w="1038" w:type="pct"/>
            <w:tcBorders>
              <w:top w:val="single" w:color="000000" w:sz="4" w:space="0"/>
              <w:bottom w:val="single" w:color="000000" w:sz="8" w:space="0"/>
            </w:tcBorders>
            <w:noWrap w:val="0"/>
            <w:vAlign w:val="center"/>
          </w:tcPr>
          <w:p>
            <w:pPr>
              <w:widowControl/>
              <w:adjustRightInd w:val="0"/>
              <w:snapToGrid w:val="0"/>
              <w:jc w:val="center"/>
              <w:rPr>
                <w:rFonts w:ascii="Times New Roman" w:hAnsi="Times New Roman"/>
                <w:b/>
                <w:kern w:val="0"/>
                <w:szCs w:val="21"/>
              </w:rPr>
            </w:pPr>
            <w:r>
              <w:rPr>
                <w:rFonts w:ascii="Times New Roman" w:hAnsi="Times New Roman"/>
                <w:b/>
                <w:kern w:val="0"/>
                <w:szCs w:val="21"/>
              </w:rPr>
              <w:t>一级</w:t>
            </w:r>
          </w:p>
        </w:tc>
      </w:tr>
    </w:tbl>
    <w:p>
      <w:pPr>
        <w:pStyle w:val="5"/>
        <w:spacing w:before="0" w:after="0" w:line="530" w:lineRule="exact"/>
        <w:rPr>
          <w:rFonts w:ascii="Times New Roman" w:hAnsi="Times New Roman"/>
        </w:rPr>
      </w:pPr>
      <w:bookmarkStart w:id="31" w:name="_Toc439060157"/>
      <w:r>
        <w:rPr>
          <w:rFonts w:ascii="Times New Roman" w:hAnsi="Times New Roman" w:eastAsia="楷体_GB2312"/>
          <w:sz w:val="28"/>
          <w:szCs w:val="28"/>
          <w:lang w:val="en-US" w:eastAsia="zh-CN"/>
        </w:rPr>
        <w:t>2.7.4  声环境评价工作等级</w:t>
      </w:r>
      <w:bookmarkEnd w:id="31"/>
    </w:p>
    <w:p>
      <w:pPr>
        <w:spacing w:line="520" w:lineRule="exact"/>
        <w:ind w:firstLine="560" w:firstLineChars="200"/>
        <w:rPr>
          <w:rFonts w:ascii="Times New Roman" w:hAnsi="Times New Roman"/>
          <w:sz w:val="28"/>
          <w:szCs w:val="28"/>
        </w:rPr>
      </w:pPr>
      <w:r>
        <w:rPr>
          <w:rFonts w:hint="eastAsia" w:ascii="Times New Roman" w:hAnsi="Times New Roman"/>
          <w:sz w:val="28"/>
          <w:szCs w:val="28"/>
        </w:rPr>
        <w:t>根据项目厂区周围环境情况，</w:t>
      </w:r>
      <w:r>
        <w:rPr>
          <w:rFonts w:ascii="Times New Roman" w:hAnsi="Times New Roman"/>
          <w:sz w:val="28"/>
          <w:szCs w:val="28"/>
        </w:rPr>
        <w:t>本项目</w:t>
      </w:r>
      <w:r>
        <w:rPr>
          <w:rFonts w:hint="eastAsia" w:ascii="Times New Roman" w:hAnsi="Times New Roman"/>
          <w:sz w:val="28"/>
          <w:szCs w:val="28"/>
        </w:rPr>
        <w:t>依据</w:t>
      </w:r>
      <w:r>
        <w:rPr>
          <w:rFonts w:ascii="Times New Roman" w:hAnsi="Times New Roman"/>
          <w:sz w:val="28"/>
          <w:szCs w:val="28"/>
        </w:rPr>
        <w:t>《声环境质量标准》（GB3096-2008）</w:t>
      </w:r>
      <w:r>
        <w:rPr>
          <w:rFonts w:hint="eastAsia" w:ascii="Times New Roman" w:hAnsi="Times New Roman"/>
          <w:sz w:val="28"/>
          <w:szCs w:val="28"/>
        </w:rPr>
        <w:t>三类功能区控制。</w:t>
      </w:r>
      <w:r>
        <w:rPr>
          <w:rFonts w:ascii="Times New Roman" w:hAnsi="Times New Roman"/>
          <w:sz w:val="28"/>
          <w:szCs w:val="28"/>
        </w:rPr>
        <w:t>根据《环境影响评价技术导则 声环境》（HJ2.4-2009）中的有关规定，评价工作等级为</w:t>
      </w:r>
      <w:r>
        <w:rPr>
          <w:rFonts w:hint="eastAsia" w:ascii="Times New Roman" w:hAnsi="Times New Roman"/>
          <w:sz w:val="28"/>
          <w:szCs w:val="28"/>
        </w:rPr>
        <w:t>三</w:t>
      </w:r>
      <w:r>
        <w:rPr>
          <w:rFonts w:ascii="Times New Roman" w:hAnsi="Times New Roman"/>
          <w:sz w:val="28"/>
          <w:szCs w:val="28"/>
        </w:rPr>
        <w:t>级。</w:t>
      </w:r>
    </w:p>
    <w:p>
      <w:pPr>
        <w:pStyle w:val="5"/>
        <w:spacing w:before="0" w:after="0" w:line="530" w:lineRule="exact"/>
        <w:rPr>
          <w:rFonts w:ascii="Times New Roman" w:hAnsi="Times New Roman" w:eastAsia="楷体_GB2312"/>
          <w:sz w:val="28"/>
          <w:szCs w:val="28"/>
          <w:lang w:val="en-US" w:eastAsia="zh-CN"/>
        </w:rPr>
      </w:pPr>
      <w:bookmarkStart w:id="32" w:name="_Toc439060158"/>
      <w:r>
        <w:rPr>
          <w:rFonts w:ascii="Times New Roman" w:hAnsi="Times New Roman" w:eastAsia="楷体_GB2312"/>
          <w:sz w:val="28"/>
          <w:szCs w:val="28"/>
          <w:lang w:val="en-US" w:eastAsia="zh-CN"/>
        </w:rPr>
        <w:t>2.7.5  环境风险评价工作等级</w:t>
      </w:r>
      <w:bookmarkEnd w:id="32"/>
    </w:p>
    <w:p>
      <w:pPr>
        <w:pStyle w:val="8"/>
        <w:spacing w:line="500" w:lineRule="exact"/>
        <w:ind w:firstLine="560"/>
        <w:rPr>
          <w:color w:val="auto"/>
          <w:sz w:val="28"/>
          <w:szCs w:val="28"/>
        </w:rPr>
      </w:pPr>
      <w:r>
        <w:rPr>
          <w:color w:val="auto"/>
          <w:sz w:val="28"/>
          <w:szCs w:val="28"/>
        </w:rPr>
        <w:t>根据《建设项目环境风险评价技术导则》（HJ169-2018），项目风险潜势级别为I级，按照导则要求确定本项目环境风险评价为简单分析，评价等级确定依据见表2.7-</w:t>
      </w:r>
      <w:r>
        <w:rPr>
          <w:rFonts w:hint="eastAsia"/>
          <w:color w:val="auto"/>
          <w:sz w:val="28"/>
          <w:szCs w:val="28"/>
        </w:rPr>
        <w:t>3</w:t>
      </w:r>
      <w:r>
        <w:rPr>
          <w:color w:val="auto"/>
          <w:sz w:val="28"/>
          <w:szCs w:val="28"/>
        </w:rPr>
        <w:t>。</w:t>
      </w:r>
    </w:p>
    <w:p>
      <w:pPr>
        <w:pStyle w:val="32"/>
        <w:rPr>
          <w:rFonts w:hint="eastAsia"/>
        </w:rPr>
      </w:pPr>
      <w:bookmarkStart w:id="33" w:name="_Ref342957931"/>
      <w:r>
        <w:t>表</w:t>
      </w:r>
      <w:bookmarkEnd w:id="33"/>
      <w:r>
        <w:rPr>
          <w:rFonts w:hint="eastAsia"/>
        </w:rPr>
        <w:t xml:space="preserve">2.7-3                 </w:t>
      </w:r>
      <w:r>
        <w:t xml:space="preserve">  评价工作级别</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1615"/>
        <w:gridCol w:w="1919"/>
        <w:gridCol w:w="2345"/>
        <w:gridCol w:w="170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pct"/>
            <w:noWrap w:val="0"/>
            <w:vAlign w:val="center"/>
          </w:tcPr>
          <w:p>
            <w:pPr>
              <w:spacing w:line="360" w:lineRule="exact"/>
              <w:jc w:val="center"/>
              <w:rPr>
                <w:b/>
                <w:szCs w:val="21"/>
              </w:rPr>
            </w:pPr>
            <w:r>
              <w:rPr>
                <w:b/>
                <w:szCs w:val="21"/>
              </w:rPr>
              <w:t>环境风险潜势</w:t>
            </w:r>
          </w:p>
        </w:tc>
        <w:tc>
          <w:tcPr>
            <w:tcW w:w="880" w:type="pct"/>
            <w:noWrap w:val="0"/>
            <w:vAlign w:val="center"/>
          </w:tcPr>
          <w:p>
            <w:pPr>
              <w:spacing w:line="360" w:lineRule="exact"/>
              <w:jc w:val="center"/>
              <w:rPr>
                <w:b/>
                <w:szCs w:val="21"/>
              </w:rPr>
            </w:pPr>
            <w:r>
              <w:rPr>
                <w:b/>
                <w:szCs w:val="21"/>
              </w:rPr>
              <w:t>IV、IV</w:t>
            </w:r>
            <w:r>
              <w:rPr>
                <w:b/>
                <w:szCs w:val="21"/>
                <w:vertAlign w:val="superscript"/>
              </w:rPr>
              <w:t>+</w:t>
            </w:r>
          </w:p>
        </w:tc>
        <w:tc>
          <w:tcPr>
            <w:tcW w:w="1046" w:type="pct"/>
            <w:noWrap w:val="0"/>
            <w:vAlign w:val="center"/>
          </w:tcPr>
          <w:p>
            <w:pPr>
              <w:spacing w:line="360" w:lineRule="exact"/>
              <w:jc w:val="center"/>
              <w:rPr>
                <w:b/>
                <w:szCs w:val="21"/>
              </w:rPr>
            </w:pPr>
            <w:r>
              <w:rPr>
                <w:b/>
                <w:szCs w:val="21"/>
              </w:rPr>
              <w:t>III</w:t>
            </w:r>
          </w:p>
        </w:tc>
        <w:tc>
          <w:tcPr>
            <w:tcW w:w="1278" w:type="pct"/>
            <w:noWrap w:val="0"/>
            <w:vAlign w:val="center"/>
          </w:tcPr>
          <w:p>
            <w:pPr>
              <w:spacing w:line="360" w:lineRule="exact"/>
              <w:jc w:val="center"/>
              <w:rPr>
                <w:b/>
                <w:szCs w:val="21"/>
              </w:rPr>
            </w:pPr>
            <w:r>
              <w:rPr>
                <w:b/>
                <w:szCs w:val="21"/>
              </w:rPr>
              <w:t>II</w:t>
            </w:r>
          </w:p>
        </w:tc>
        <w:tc>
          <w:tcPr>
            <w:tcW w:w="930" w:type="pct"/>
            <w:noWrap w:val="0"/>
            <w:vAlign w:val="center"/>
          </w:tcPr>
          <w:p>
            <w:pPr>
              <w:spacing w:line="360" w:lineRule="exact"/>
              <w:jc w:val="center"/>
              <w:rPr>
                <w:b/>
                <w:szCs w:val="21"/>
              </w:rPr>
            </w:pPr>
            <w:r>
              <w:rPr>
                <w:b/>
                <w:szCs w:val="21"/>
              </w:rPr>
              <w:t>I</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866" w:type="pct"/>
            <w:shd w:val="clear" w:color="auto" w:fill="auto"/>
            <w:noWrap w:val="0"/>
            <w:vAlign w:val="center"/>
          </w:tcPr>
          <w:p>
            <w:pPr>
              <w:spacing w:line="360" w:lineRule="exact"/>
              <w:jc w:val="center"/>
              <w:rPr>
                <w:szCs w:val="21"/>
              </w:rPr>
            </w:pPr>
            <w:r>
              <w:rPr>
                <w:szCs w:val="21"/>
              </w:rPr>
              <w:t>评价工作等级</w:t>
            </w:r>
          </w:p>
        </w:tc>
        <w:tc>
          <w:tcPr>
            <w:tcW w:w="880" w:type="pct"/>
            <w:shd w:val="clear" w:color="auto" w:fill="auto"/>
            <w:noWrap w:val="0"/>
            <w:vAlign w:val="center"/>
          </w:tcPr>
          <w:p>
            <w:pPr>
              <w:spacing w:line="360" w:lineRule="exact"/>
              <w:jc w:val="center"/>
              <w:rPr>
                <w:szCs w:val="21"/>
              </w:rPr>
            </w:pPr>
            <w:r>
              <w:rPr>
                <w:szCs w:val="21"/>
              </w:rPr>
              <w:t>一</w:t>
            </w:r>
          </w:p>
        </w:tc>
        <w:tc>
          <w:tcPr>
            <w:tcW w:w="1046" w:type="pct"/>
            <w:shd w:val="clear" w:color="auto" w:fill="auto"/>
            <w:noWrap w:val="0"/>
            <w:vAlign w:val="center"/>
          </w:tcPr>
          <w:p>
            <w:pPr>
              <w:spacing w:line="360" w:lineRule="exact"/>
              <w:jc w:val="center"/>
              <w:rPr>
                <w:szCs w:val="21"/>
              </w:rPr>
            </w:pPr>
            <w:r>
              <w:rPr>
                <w:szCs w:val="21"/>
              </w:rPr>
              <w:t>二</w:t>
            </w:r>
          </w:p>
        </w:tc>
        <w:tc>
          <w:tcPr>
            <w:tcW w:w="1278" w:type="pct"/>
            <w:shd w:val="clear" w:color="auto" w:fill="auto"/>
            <w:noWrap w:val="0"/>
            <w:vAlign w:val="center"/>
          </w:tcPr>
          <w:p>
            <w:pPr>
              <w:spacing w:line="360" w:lineRule="exact"/>
              <w:jc w:val="center"/>
              <w:rPr>
                <w:szCs w:val="21"/>
              </w:rPr>
            </w:pPr>
            <w:r>
              <w:rPr>
                <w:szCs w:val="21"/>
              </w:rPr>
              <w:t>三</w:t>
            </w:r>
          </w:p>
        </w:tc>
        <w:tc>
          <w:tcPr>
            <w:tcW w:w="930" w:type="pct"/>
            <w:shd w:val="clear" w:color="auto" w:fill="BFBFBF"/>
            <w:noWrap w:val="0"/>
            <w:vAlign w:val="center"/>
          </w:tcPr>
          <w:p>
            <w:pPr>
              <w:spacing w:line="360" w:lineRule="exact"/>
              <w:jc w:val="center"/>
              <w:rPr>
                <w:szCs w:val="21"/>
              </w:rPr>
            </w:pPr>
            <w:r>
              <w:rPr>
                <w:szCs w:val="21"/>
              </w:rPr>
              <w:t>简单分析</w:t>
            </w:r>
            <w:r>
              <w:rPr>
                <w:szCs w:val="21"/>
                <w:vertAlign w:val="superscript"/>
              </w:rPr>
              <w: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pPr>
              <w:spacing w:line="360" w:lineRule="exact"/>
              <w:jc w:val="left"/>
              <w:rPr>
                <w:szCs w:val="21"/>
              </w:rPr>
            </w:pPr>
            <w:r>
              <w:rPr>
                <w:szCs w:val="21"/>
              </w:rPr>
              <w:t>a 是相对于详细评价工作内容而言，在描述危险物质、环境影响途径、环境危害后果、风险防范措施等方面给出定性的说明。见附录 A。</w:t>
            </w:r>
          </w:p>
        </w:tc>
      </w:tr>
    </w:tbl>
    <w:p>
      <w:pPr>
        <w:pStyle w:val="5"/>
        <w:spacing w:before="0" w:after="0" w:line="530" w:lineRule="exact"/>
        <w:rPr>
          <w:rFonts w:hint="eastAsia" w:ascii="Times New Roman" w:hAnsi="Times New Roman" w:eastAsia="楷体_GB2312"/>
          <w:sz w:val="28"/>
          <w:szCs w:val="28"/>
          <w:lang w:val="en-US" w:eastAsia="zh-CN"/>
        </w:rPr>
      </w:pPr>
      <w:bookmarkStart w:id="34" w:name="_Toc439060159"/>
      <w:r>
        <w:rPr>
          <w:rFonts w:ascii="Times New Roman" w:hAnsi="Times New Roman" w:eastAsia="楷体_GB2312"/>
          <w:sz w:val="28"/>
          <w:szCs w:val="28"/>
          <w:lang w:val="en-US" w:eastAsia="zh-CN"/>
        </w:rPr>
        <w:t xml:space="preserve">2.7.6  </w:t>
      </w:r>
      <w:r>
        <w:rPr>
          <w:rFonts w:hint="eastAsia" w:ascii="Times New Roman" w:hAnsi="Times New Roman" w:eastAsia="楷体_GB2312"/>
          <w:sz w:val="28"/>
          <w:szCs w:val="28"/>
          <w:lang w:val="en-US" w:eastAsia="zh-CN"/>
        </w:rPr>
        <w:t>土壤环境</w:t>
      </w:r>
      <w:r>
        <w:rPr>
          <w:rFonts w:ascii="Times New Roman" w:hAnsi="Times New Roman" w:eastAsia="楷体_GB2312"/>
          <w:sz w:val="28"/>
          <w:szCs w:val="28"/>
          <w:lang w:val="en-US" w:eastAsia="zh-CN"/>
        </w:rPr>
        <w:t>评价工作等级</w:t>
      </w:r>
    </w:p>
    <w:p>
      <w:pPr>
        <w:pStyle w:val="27"/>
        <w:ind w:firstLine="560"/>
        <w:rPr>
          <w:rFonts w:hint="eastAsia"/>
        </w:rPr>
      </w:pPr>
      <w:r>
        <w:rPr>
          <w:rFonts w:hint="eastAsia"/>
        </w:rPr>
        <w:t>根据</w:t>
      </w:r>
      <w:r>
        <w:t>《环境影响评价技术导则——</w:t>
      </w:r>
      <w:r>
        <w:rPr>
          <w:rFonts w:hint="eastAsia"/>
        </w:rPr>
        <w:t>土壤</w:t>
      </w:r>
      <w:r>
        <w:t>环境》，</w:t>
      </w:r>
      <w:r>
        <w:rPr>
          <w:szCs w:val="28"/>
        </w:rPr>
        <w:t>项目类别属于“</w:t>
      </w:r>
      <w:r>
        <w:rPr>
          <w:rFonts w:hint="eastAsia" w:ascii="宋体" w:hAnsi="宋体" w:cs="宋体"/>
          <w:szCs w:val="28"/>
        </w:rPr>
        <w:t>Ⅰ</w:t>
      </w:r>
      <w:r>
        <w:rPr>
          <w:szCs w:val="28"/>
        </w:rPr>
        <w:t>类”；项目占地</w:t>
      </w:r>
      <w:r>
        <w:t>属于</w:t>
      </w:r>
      <w:r>
        <w:rPr>
          <w:rFonts w:hint="eastAsia"/>
        </w:rPr>
        <w:t>小</w:t>
      </w:r>
      <w:r>
        <w:t>型项目；项目周边有居民区，因此周边环境敏感程度为“敏感”。</w:t>
      </w:r>
      <w:r>
        <w:rPr>
          <w:rFonts w:hint="eastAsia"/>
        </w:rPr>
        <w:t>按照导则要求，</w:t>
      </w:r>
      <w:r>
        <w:t>本项目土壤环境影响评价等级为“</w:t>
      </w:r>
      <w:r>
        <w:rPr>
          <w:rFonts w:hint="eastAsia"/>
        </w:rPr>
        <w:t>一</w:t>
      </w:r>
      <w:r>
        <w:t>级”。</w:t>
      </w:r>
    </w:p>
    <w:p>
      <w:pPr>
        <w:spacing w:line="520" w:lineRule="exact"/>
        <w:rPr>
          <w:rFonts w:ascii="Times New Roman" w:hAnsi="Times New Roman"/>
          <w:sz w:val="28"/>
          <w:szCs w:val="28"/>
        </w:rPr>
      </w:pPr>
      <w:r>
        <w:rPr>
          <w:rFonts w:ascii="Times New Roman" w:hAnsi="Times New Roman"/>
          <w:sz w:val="28"/>
          <w:szCs w:val="28"/>
        </w:rPr>
        <w:t>评价等级确定依据见表2.7-</w:t>
      </w:r>
      <w:r>
        <w:rPr>
          <w:rFonts w:hint="eastAsia" w:ascii="Times New Roman" w:hAnsi="Times New Roman"/>
          <w:sz w:val="28"/>
          <w:szCs w:val="28"/>
        </w:rPr>
        <w:t>4</w:t>
      </w:r>
      <w:r>
        <w:rPr>
          <w:rFonts w:ascii="Times New Roman" w:hAnsi="Times New Roman"/>
          <w:sz w:val="28"/>
          <w:szCs w:val="28"/>
        </w:rPr>
        <w:t>。</w:t>
      </w:r>
    </w:p>
    <w:p>
      <w:pPr>
        <w:pStyle w:val="32"/>
      </w:pPr>
      <w:r>
        <w:rPr>
          <w:rFonts w:hint="eastAsia"/>
        </w:rPr>
        <w:t>表2.7-4                 土壤环境评价</w:t>
      </w:r>
      <w:r>
        <w:t>等级划分表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708"/>
        <w:gridCol w:w="851"/>
        <w:gridCol w:w="851"/>
        <w:gridCol w:w="712"/>
        <w:gridCol w:w="712"/>
        <w:gridCol w:w="851"/>
        <w:gridCol w:w="712"/>
        <w:gridCol w:w="707"/>
        <w:gridCol w:w="68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300" w:type="pct"/>
            <w:vMerge w:val="restart"/>
            <w:noWrap w:val="0"/>
            <w:vAlign w:val="center"/>
          </w:tcPr>
          <w:p>
            <w:pPr>
              <w:spacing w:line="320" w:lineRule="exact"/>
              <w:jc w:val="center"/>
              <w:rPr>
                <w:b/>
                <w:szCs w:val="21"/>
              </w:rPr>
            </w:pPr>
            <w:r>
              <mc:AlternateContent>
                <mc:Choice Requires="wps">
                  <w:drawing>
                    <wp:anchor distT="0" distB="0" distL="114300" distR="114300" simplePos="0" relativeHeight="251660288" behindDoc="0" locked="0" layoutInCell="1" allowOverlap="1">
                      <wp:simplePos x="0" y="0"/>
                      <wp:positionH relativeFrom="column">
                        <wp:posOffset>-90170</wp:posOffset>
                      </wp:positionH>
                      <wp:positionV relativeFrom="paragraph">
                        <wp:posOffset>292100</wp:posOffset>
                      </wp:positionV>
                      <wp:extent cx="1533525" cy="304800"/>
                      <wp:effectExtent l="635" t="4445" r="8890" b="14605"/>
                      <wp:wrapNone/>
                      <wp:docPr id="3" name="直接连接符 3"/>
                      <wp:cNvGraphicFramePr/>
                      <a:graphic xmlns:a="http://schemas.openxmlformats.org/drawingml/2006/main">
                        <a:graphicData uri="http://schemas.microsoft.com/office/word/2010/wordprocessingShape">
                          <wps:wsp>
                            <wps:cNvCnPr/>
                            <wps:spPr>
                              <a:xfrm>
                                <a:off x="0" y="0"/>
                                <a:ext cx="1533525" cy="304800"/>
                              </a:xfrm>
                              <a:prstGeom prst="line">
                                <a:avLst/>
                              </a:prstGeom>
                              <a:noFill/>
                              <a:ln w="9525" cap="flat" cmpd="sng" algn="ctr">
                                <a:solidFill>
                                  <a:sysClr val="windowText" lastClr="000000"/>
                                </a:solidFill>
                                <a:prstDash val="solid"/>
                              </a:ln>
                              <a:effectLst/>
                            </wps:spPr>
                            <wps:bodyPr/>
                          </wps:wsp>
                        </a:graphicData>
                      </a:graphic>
                    </wp:anchor>
                  </w:drawing>
                </mc:Choice>
                <mc:Fallback>
                  <w:pict>
                    <v:line id="_x0000_s1026" o:spid="_x0000_s1026" o:spt="20" style="position:absolute;left:0pt;margin-left:-7.1pt;margin-top:23pt;height:24pt;width:120.75pt;z-index:251660288;mso-width-relative:margin;mso-height-relative:margin;" filled="f" stroked="t" insetpen="f" coordsize="21600,21600" o:gfxdata="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qQHpb2AAAAAkBAAAPAAAAAAAAAAEAIAAAACIAAABkcnMvZG93bnJldi54bWxQSwECFAAUAAAA&#10;CACHTuJAEZ6WJO4BAADBAwAADgAAAAAAAAABACAAAAAnAQAAZHJzL2Uyb0RvYy54bWxQSwUGAAAA&#10;AAYABgBZAQAAhwUAAAAA&#10;">
                      <v:fill on="f" focussize="0,0"/>
                      <v:stroke color="#000000" joinstyle="round"/>
                      <v:imagedata o:title=""/>
                      <o:lock v:ext="edit" aspectratio="f"/>
                    </v:lin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395605</wp:posOffset>
                      </wp:positionH>
                      <wp:positionV relativeFrom="paragraph">
                        <wp:posOffset>-22225</wp:posOffset>
                      </wp:positionV>
                      <wp:extent cx="1047750" cy="619125"/>
                      <wp:effectExtent l="2540" t="3810" r="16510" b="5715"/>
                      <wp:wrapNone/>
                      <wp:docPr id="12" name="直接连接符 12"/>
                      <wp:cNvGraphicFramePr/>
                      <a:graphic xmlns:a="http://schemas.openxmlformats.org/drawingml/2006/main">
                        <a:graphicData uri="http://schemas.microsoft.com/office/word/2010/wordprocessingShape">
                          <wps:wsp>
                            <wps:cNvCnPr/>
                            <wps:spPr>
                              <a:xfrm flipH="1" flipV="1">
                                <a:off x="0" y="0"/>
                                <a:ext cx="1047750" cy="619125"/>
                              </a:xfrm>
                              <a:prstGeom prst="line">
                                <a:avLst/>
                              </a:prstGeom>
                              <a:noFill/>
                              <a:ln w="9525" cap="flat" cmpd="sng" algn="ctr">
                                <a:solidFill>
                                  <a:sysClr val="windowText" lastClr="000000"/>
                                </a:solidFill>
                                <a:prstDash val="solid"/>
                              </a:ln>
                              <a:effectLst/>
                            </wps:spPr>
                            <wps:bodyPr/>
                          </wps:wsp>
                        </a:graphicData>
                      </a:graphic>
                    </wp:anchor>
                  </w:drawing>
                </mc:Choice>
                <mc:Fallback>
                  <w:pict>
                    <v:line id="_x0000_s1026" o:spid="_x0000_s1026" o:spt="20" style="position:absolute;left:0pt;flip:x y;margin-left:31.15pt;margin-top:-1.75pt;height:48.75pt;width:82.5pt;z-index:251659264;mso-width-relative:margin;mso-height-relative:margin;" filled="f" stroked="t" insetpen="f" coordsize="21600,21600" o:gfxdata="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HBCtUAAAAIAQAADwAAAAAAAAABACAAAAAiAAAAZHJzL2Rvd25yZXYueG1s&#10;UEsBAhQAFAAAAAgAh07iQA7M75/7AQAA1wMAAA4AAAAAAAAAAQAgAAAAJAEAAGRycy9lMm9Eb2Mu&#10;eG1sUEsFBgAAAAAGAAYAWQEAAJEFAAAAAA==&#10;">
                      <v:fill on="f" focussize="0,0"/>
                      <v:stroke color="#000000" joinstyle="round"/>
                      <v:imagedata o:title=""/>
                      <o:lock v:ext="edit" aspectratio="f"/>
                    </v:line>
                  </w:pict>
                </mc:Fallback>
              </mc:AlternateContent>
            </w:r>
            <w:r>
              <w:rPr>
                <w:b/>
                <w:szCs w:val="21"/>
              </w:rPr>
              <w:t xml:space="preserve">       </w:t>
            </w:r>
            <w:r>
              <w:rPr>
                <w:rFonts w:hint="eastAsia"/>
                <w:b/>
                <w:szCs w:val="21"/>
              </w:rPr>
              <w:t xml:space="preserve">   </w:t>
            </w:r>
            <w:r>
              <w:rPr>
                <w:b/>
                <w:szCs w:val="21"/>
              </w:rPr>
              <w:t>占地规模</w:t>
            </w:r>
          </w:p>
          <w:p>
            <w:pPr>
              <w:spacing w:line="320" w:lineRule="exact"/>
              <w:ind w:firstLine="517" w:firstLineChars="245"/>
              <w:rPr>
                <w:b/>
                <w:szCs w:val="21"/>
              </w:rPr>
            </w:pPr>
            <w:r>
              <w:rPr>
                <w:b/>
                <w:szCs w:val="21"/>
              </w:rPr>
              <w:t>评价等级</w:t>
            </w:r>
          </w:p>
          <w:p>
            <w:pPr>
              <w:spacing w:line="320" w:lineRule="exact"/>
              <w:rPr>
                <w:b/>
                <w:szCs w:val="21"/>
              </w:rPr>
            </w:pPr>
            <w:r>
              <w:rPr>
                <w:b/>
                <w:szCs w:val="21"/>
              </w:rPr>
              <w:t>敏感程度</w:t>
            </w:r>
          </w:p>
        </w:tc>
        <w:tc>
          <w:tcPr>
            <w:tcW w:w="1314" w:type="pct"/>
            <w:gridSpan w:val="3"/>
            <w:noWrap w:val="0"/>
            <w:vAlign w:val="center"/>
          </w:tcPr>
          <w:p>
            <w:pPr>
              <w:spacing w:line="320" w:lineRule="exact"/>
              <w:jc w:val="center"/>
              <w:rPr>
                <w:b/>
                <w:szCs w:val="21"/>
              </w:rPr>
            </w:pPr>
            <w:r>
              <w:rPr>
                <w:rFonts w:hint="eastAsia" w:ascii="宋体" w:hAnsi="宋体" w:cs="宋体"/>
                <w:b/>
                <w:szCs w:val="21"/>
              </w:rPr>
              <w:t>Ⅰ</w:t>
            </w:r>
            <w:r>
              <w:rPr>
                <w:b/>
                <w:szCs w:val="21"/>
              </w:rPr>
              <w:t>类</w:t>
            </w:r>
          </w:p>
        </w:tc>
        <w:tc>
          <w:tcPr>
            <w:tcW w:w="1240" w:type="pct"/>
            <w:gridSpan w:val="3"/>
            <w:noWrap w:val="0"/>
            <w:vAlign w:val="center"/>
          </w:tcPr>
          <w:p>
            <w:pPr>
              <w:spacing w:line="320" w:lineRule="exact"/>
              <w:jc w:val="center"/>
              <w:rPr>
                <w:b/>
                <w:szCs w:val="21"/>
              </w:rPr>
            </w:pPr>
            <w:r>
              <w:rPr>
                <w:rFonts w:hint="eastAsia" w:ascii="宋体" w:hAnsi="宋体" w:cs="宋体"/>
                <w:b/>
                <w:szCs w:val="21"/>
              </w:rPr>
              <w:t>Ⅱ</w:t>
            </w:r>
            <w:r>
              <w:rPr>
                <w:b/>
                <w:szCs w:val="21"/>
              </w:rPr>
              <w:t>类</w:t>
            </w:r>
          </w:p>
        </w:tc>
        <w:tc>
          <w:tcPr>
            <w:tcW w:w="1147" w:type="pct"/>
            <w:gridSpan w:val="3"/>
            <w:noWrap w:val="0"/>
            <w:vAlign w:val="center"/>
          </w:tcPr>
          <w:p>
            <w:pPr>
              <w:spacing w:line="320" w:lineRule="exact"/>
              <w:jc w:val="center"/>
              <w:rPr>
                <w:b/>
                <w:szCs w:val="21"/>
              </w:rPr>
            </w:pPr>
            <w:r>
              <w:rPr>
                <w:rFonts w:hint="eastAsia" w:ascii="宋体" w:hAnsi="宋体" w:cs="宋体"/>
                <w:b/>
                <w:szCs w:val="21"/>
              </w:rPr>
              <w:t>Ⅲ</w:t>
            </w:r>
            <w:r>
              <w:rPr>
                <w:b/>
                <w:szCs w:val="21"/>
              </w:rPr>
              <w:t>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300" w:type="pct"/>
            <w:vMerge w:val="continue"/>
            <w:noWrap w:val="0"/>
            <w:vAlign w:val="center"/>
          </w:tcPr>
          <w:p>
            <w:pPr>
              <w:spacing w:line="320" w:lineRule="exact"/>
              <w:ind w:firstLine="422"/>
              <w:rPr>
                <w:b/>
                <w:szCs w:val="21"/>
              </w:rPr>
            </w:pPr>
          </w:p>
        </w:tc>
        <w:tc>
          <w:tcPr>
            <w:tcW w:w="386" w:type="pct"/>
            <w:noWrap w:val="0"/>
            <w:vAlign w:val="center"/>
          </w:tcPr>
          <w:p>
            <w:pPr>
              <w:spacing w:line="320" w:lineRule="exact"/>
              <w:jc w:val="center"/>
              <w:rPr>
                <w:b/>
                <w:szCs w:val="21"/>
              </w:rPr>
            </w:pPr>
            <w:r>
              <w:rPr>
                <w:b/>
                <w:szCs w:val="21"/>
              </w:rPr>
              <w:t>大</w:t>
            </w:r>
          </w:p>
        </w:tc>
        <w:tc>
          <w:tcPr>
            <w:tcW w:w="464" w:type="pct"/>
            <w:noWrap w:val="0"/>
            <w:vAlign w:val="center"/>
          </w:tcPr>
          <w:p>
            <w:pPr>
              <w:spacing w:line="320" w:lineRule="exact"/>
              <w:jc w:val="center"/>
              <w:rPr>
                <w:b/>
                <w:szCs w:val="21"/>
              </w:rPr>
            </w:pPr>
            <w:r>
              <w:rPr>
                <w:b/>
                <w:szCs w:val="21"/>
              </w:rPr>
              <w:t>中</w:t>
            </w:r>
          </w:p>
        </w:tc>
        <w:tc>
          <w:tcPr>
            <w:tcW w:w="464" w:type="pct"/>
            <w:noWrap w:val="0"/>
            <w:vAlign w:val="center"/>
          </w:tcPr>
          <w:p>
            <w:pPr>
              <w:spacing w:line="320" w:lineRule="exact"/>
              <w:jc w:val="center"/>
              <w:rPr>
                <w:b/>
                <w:szCs w:val="21"/>
              </w:rPr>
            </w:pPr>
            <w:r>
              <w:rPr>
                <w:b/>
                <w:szCs w:val="21"/>
              </w:rPr>
              <w:t>小</w:t>
            </w:r>
          </w:p>
        </w:tc>
        <w:tc>
          <w:tcPr>
            <w:tcW w:w="388" w:type="pct"/>
            <w:noWrap w:val="0"/>
            <w:vAlign w:val="center"/>
          </w:tcPr>
          <w:p>
            <w:pPr>
              <w:spacing w:line="320" w:lineRule="exact"/>
              <w:jc w:val="center"/>
              <w:rPr>
                <w:b/>
                <w:szCs w:val="21"/>
              </w:rPr>
            </w:pPr>
            <w:r>
              <w:rPr>
                <w:b/>
                <w:szCs w:val="21"/>
              </w:rPr>
              <w:t>大</w:t>
            </w:r>
          </w:p>
        </w:tc>
        <w:tc>
          <w:tcPr>
            <w:tcW w:w="388" w:type="pct"/>
            <w:noWrap w:val="0"/>
            <w:vAlign w:val="center"/>
          </w:tcPr>
          <w:p>
            <w:pPr>
              <w:spacing w:line="320" w:lineRule="exact"/>
              <w:jc w:val="center"/>
              <w:rPr>
                <w:b/>
                <w:szCs w:val="21"/>
              </w:rPr>
            </w:pPr>
            <w:r>
              <w:rPr>
                <w:b/>
                <w:szCs w:val="21"/>
              </w:rPr>
              <w:t>中</w:t>
            </w:r>
          </w:p>
        </w:tc>
        <w:tc>
          <w:tcPr>
            <w:tcW w:w="464" w:type="pct"/>
            <w:noWrap w:val="0"/>
            <w:vAlign w:val="center"/>
          </w:tcPr>
          <w:p>
            <w:pPr>
              <w:spacing w:line="320" w:lineRule="exact"/>
              <w:jc w:val="center"/>
              <w:rPr>
                <w:b/>
                <w:szCs w:val="21"/>
              </w:rPr>
            </w:pPr>
            <w:r>
              <w:rPr>
                <w:b/>
                <w:szCs w:val="21"/>
              </w:rPr>
              <w:t>小</w:t>
            </w:r>
          </w:p>
        </w:tc>
        <w:tc>
          <w:tcPr>
            <w:tcW w:w="388" w:type="pct"/>
            <w:noWrap w:val="0"/>
            <w:vAlign w:val="center"/>
          </w:tcPr>
          <w:p>
            <w:pPr>
              <w:spacing w:line="320" w:lineRule="exact"/>
              <w:jc w:val="center"/>
              <w:rPr>
                <w:b/>
                <w:szCs w:val="21"/>
              </w:rPr>
            </w:pPr>
            <w:r>
              <w:rPr>
                <w:b/>
                <w:szCs w:val="21"/>
              </w:rPr>
              <w:t>大</w:t>
            </w:r>
          </w:p>
        </w:tc>
        <w:tc>
          <w:tcPr>
            <w:tcW w:w="385" w:type="pct"/>
            <w:noWrap w:val="0"/>
            <w:vAlign w:val="center"/>
          </w:tcPr>
          <w:p>
            <w:pPr>
              <w:spacing w:line="320" w:lineRule="exact"/>
              <w:jc w:val="center"/>
              <w:rPr>
                <w:b/>
                <w:szCs w:val="21"/>
              </w:rPr>
            </w:pPr>
            <w:r>
              <w:rPr>
                <w:b/>
                <w:szCs w:val="21"/>
              </w:rPr>
              <w:t>中</w:t>
            </w:r>
          </w:p>
        </w:tc>
        <w:tc>
          <w:tcPr>
            <w:tcW w:w="374" w:type="pct"/>
            <w:noWrap w:val="0"/>
            <w:vAlign w:val="center"/>
          </w:tcPr>
          <w:p>
            <w:pPr>
              <w:spacing w:line="320" w:lineRule="exact"/>
              <w:jc w:val="center"/>
              <w:rPr>
                <w:b/>
                <w:szCs w:val="21"/>
              </w:rPr>
            </w:pPr>
            <w:r>
              <w:rPr>
                <w:b/>
                <w:szCs w:val="21"/>
              </w:rPr>
              <w:t>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0" w:type="pct"/>
            <w:noWrap w:val="0"/>
            <w:vAlign w:val="center"/>
          </w:tcPr>
          <w:p>
            <w:pPr>
              <w:spacing w:line="320" w:lineRule="exact"/>
              <w:jc w:val="center"/>
              <w:rPr>
                <w:b/>
                <w:szCs w:val="21"/>
              </w:rPr>
            </w:pPr>
            <w:r>
              <w:rPr>
                <w:b/>
                <w:szCs w:val="21"/>
              </w:rPr>
              <w:t>敏感</w:t>
            </w:r>
          </w:p>
        </w:tc>
        <w:tc>
          <w:tcPr>
            <w:tcW w:w="386" w:type="pct"/>
            <w:noWrap w:val="0"/>
            <w:vAlign w:val="center"/>
          </w:tcPr>
          <w:p>
            <w:pPr>
              <w:spacing w:line="320" w:lineRule="exact"/>
              <w:jc w:val="center"/>
              <w:rPr>
                <w:szCs w:val="21"/>
              </w:rPr>
            </w:pPr>
            <w:r>
              <w:rPr>
                <w:szCs w:val="21"/>
              </w:rPr>
              <w:t>一级</w:t>
            </w:r>
          </w:p>
        </w:tc>
        <w:tc>
          <w:tcPr>
            <w:tcW w:w="464" w:type="pct"/>
            <w:noWrap w:val="0"/>
            <w:vAlign w:val="center"/>
          </w:tcPr>
          <w:p>
            <w:pPr>
              <w:spacing w:line="320" w:lineRule="exact"/>
              <w:jc w:val="center"/>
              <w:rPr>
                <w:b/>
                <w:bCs/>
                <w:szCs w:val="21"/>
              </w:rPr>
            </w:pPr>
            <w:r>
              <w:rPr>
                <w:szCs w:val="21"/>
              </w:rPr>
              <w:t>一级</w:t>
            </w:r>
          </w:p>
        </w:tc>
        <w:tc>
          <w:tcPr>
            <w:tcW w:w="464" w:type="pct"/>
            <w:noWrap w:val="0"/>
            <w:vAlign w:val="center"/>
          </w:tcPr>
          <w:p>
            <w:pPr>
              <w:spacing w:line="320" w:lineRule="exact"/>
              <w:jc w:val="center"/>
              <w:rPr>
                <w:szCs w:val="21"/>
              </w:rPr>
            </w:pPr>
            <w:r>
              <w:rPr>
                <w:rFonts w:hint="eastAsia"/>
                <w:b/>
                <w:bCs/>
                <w:szCs w:val="21"/>
              </w:rPr>
              <w:t>*</w:t>
            </w:r>
            <w:r>
              <w:rPr>
                <w:b/>
                <w:bCs/>
                <w:szCs w:val="21"/>
              </w:rPr>
              <w:t>一级</w:t>
            </w:r>
          </w:p>
        </w:tc>
        <w:tc>
          <w:tcPr>
            <w:tcW w:w="388"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二级</w:t>
            </w:r>
          </w:p>
        </w:tc>
        <w:tc>
          <w:tcPr>
            <w:tcW w:w="464"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三级</w:t>
            </w:r>
          </w:p>
        </w:tc>
        <w:tc>
          <w:tcPr>
            <w:tcW w:w="385" w:type="pct"/>
            <w:noWrap w:val="0"/>
            <w:vAlign w:val="center"/>
          </w:tcPr>
          <w:p>
            <w:pPr>
              <w:spacing w:line="320" w:lineRule="exact"/>
              <w:jc w:val="center"/>
              <w:rPr>
                <w:szCs w:val="21"/>
              </w:rPr>
            </w:pPr>
            <w:r>
              <w:rPr>
                <w:szCs w:val="21"/>
              </w:rPr>
              <w:t>三级</w:t>
            </w:r>
          </w:p>
        </w:tc>
        <w:tc>
          <w:tcPr>
            <w:tcW w:w="374" w:type="pct"/>
            <w:noWrap w:val="0"/>
            <w:vAlign w:val="center"/>
          </w:tcPr>
          <w:p>
            <w:pPr>
              <w:spacing w:line="320" w:lineRule="exact"/>
              <w:jc w:val="center"/>
              <w:rPr>
                <w:szCs w:val="21"/>
              </w:rPr>
            </w:pPr>
            <w:r>
              <w:rPr>
                <w:szCs w:val="21"/>
              </w:rPr>
              <w:t>三级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0" w:type="pct"/>
            <w:noWrap w:val="0"/>
            <w:vAlign w:val="center"/>
          </w:tcPr>
          <w:p>
            <w:pPr>
              <w:spacing w:line="320" w:lineRule="exact"/>
              <w:jc w:val="center"/>
              <w:rPr>
                <w:b/>
                <w:szCs w:val="21"/>
              </w:rPr>
            </w:pPr>
            <w:r>
              <w:rPr>
                <w:b/>
                <w:szCs w:val="21"/>
              </w:rPr>
              <w:t>较敏感</w:t>
            </w:r>
          </w:p>
        </w:tc>
        <w:tc>
          <w:tcPr>
            <w:tcW w:w="386" w:type="pct"/>
            <w:noWrap w:val="0"/>
            <w:vAlign w:val="center"/>
          </w:tcPr>
          <w:p>
            <w:pPr>
              <w:spacing w:line="320" w:lineRule="exact"/>
              <w:jc w:val="center"/>
              <w:rPr>
                <w:szCs w:val="21"/>
              </w:rPr>
            </w:pPr>
            <w:r>
              <w:rPr>
                <w:szCs w:val="21"/>
              </w:rPr>
              <w:t>一级</w:t>
            </w:r>
          </w:p>
        </w:tc>
        <w:tc>
          <w:tcPr>
            <w:tcW w:w="464" w:type="pct"/>
            <w:noWrap w:val="0"/>
            <w:vAlign w:val="center"/>
          </w:tcPr>
          <w:p>
            <w:pPr>
              <w:spacing w:line="320" w:lineRule="exact"/>
              <w:jc w:val="center"/>
              <w:rPr>
                <w:szCs w:val="21"/>
              </w:rPr>
            </w:pPr>
            <w:r>
              <w:rPr>
                <w:szCs w:val="21"/>
              </w:rPr>
              <w:t>一级</w:t>
            </w:r>
          </w:p>
        </w:tc>
        <w:tc>
          <w:tcPr>
            <w:tcW w:w="464"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二级</w:t>
            </w:r>
          </w:p>
        </w:tc>
        <w:tc>
          <w:tcPr>
            <w:tcW w:w="464" w:type="pct"/>
            <w:noWrap w:val="0"/>
            <w:vAlign w:val="center"/>
          </w:tcPr>
          <w:p>
            <w:pPr>
              <w:spacing w:line="320" w:lineRule="exact"/>
              <w:jc w:val="center"/>
              <w:rPr>
                <w:szCs w:val="21"/>
              </w:rPr>
            </w:pPr>
            <w:r>
              <w:rPr>
                <w:szCs w:val="21"/>
              </w:rPr>
              <w:t>三级</w:t>
            </w:r>
          </w:p>
        </w:tc>
        <w:tc>
          <w:tcPr>
            <w:tcW w:w="388" w:type="pct"/>
            <w:noWrap w:val="0"/>
            <w:vAlign w:val="center"/>
          </w:tcPr>
          <w:p>
            <w:pPr>
              <w:spacing w:line="320" w:lineRule="exact"/>
              <w:jc w:val="center"/>
              <w:rPr>
                <w:szCs w:val="21"/>
              </w:rPr>
            </w:pPr>
            <w:r>
              <w:rPr>
                <w:szCs w:val="21"/>
              </w:rPr>
              <w:t>三级</w:t>
            </w:r>
          </w:p>
        </w:tc>
        <w:tc>
          <w:tcPr>
            <w:tcW w:w="385" w:type="pct"/>
            <w:noWrap w:val="0"/>
            <w:vAlign w:val="center"/>
          </w:tcPr>
          <w:p>
            <w:pPr>
              <w:spacing w:line="320" w:lineRule="exact"/>
              <w:jc w:val="center"/>
              <w:rPr>
                <w:szCs w:val="21"/>
              </w:rPr>
            </w:pPr>
            <w:r>
              <w:rPr>
                <w:szCs w:val="21"/>
              </w:rPr>
              <w:t>三级</w:t>
            </w:r>
          </w:p>
        </w:tc>
        <w:tc>
          <w:tcPr>
            <w:tcW w:w="374" w:type="pct"/>
            <w:noWrap w:val="0"/>
            <w:vAlign w:val="center"/>
          </w:tcPr>
          <w:p>
            <w:pPr>
              <w:spacing w:line="320" w:lineRule="exact"/>
              <w:jc w:val="center"/>
              <w:rPr>
                <w:szCs w:val="21"/>
              </w:rPr>
            </w:pPr>
            <w:r>
              <w:rPr>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0" w:type="pct"/>
            <w:noWrap w:val="0"/>
            <w:vAlign w:val="center"/>
          </w:tcPr>
          <w:p>
            <w:pPr>
              <w:spacing w:line="320" w:lineRule="exact"/>
              <w:jc w:val="center"/>
              <w:rPr>
                <w:b/>
                <w:szCs w:val="21"/>
              </w:rPr>
            </w:pPr>
            <w:r>
              <w:rPr>
                <w:b/>
                <w:szCs w:val="21"/>
              </w:rPr>
              <w:t>不敏感</w:t>
            </w:r>
          </w:p>
        </w:tc>
        <w:tc>
          <w:tcPr>
            <w:tcW w:w="386" w:type="pct"/>
            <w:noWrap w:val="0"/>
            <w:vAlign w:val="center"/>
          </w:tcPr>
          <w:p>
            <w:pPr>
              <w:spacing w:line="320" w:lineRule="exact"/>
              <w:jc w:val="center"/>
              <w:rPr>
                <w:szCs w:val="21"/>
              </w:rPr>
            </w:pPr>
            <w:r>
              <w:rPr>
                <w:szCs w:val="21"/>
              </w:rPr>
              <w:t>一级</w:t>
            </w:r>
          </w:p>
        </w:tc>
        <w:tc>
          <w:tcPr>
            <w:tcW w:w="464" w:type="pct"/>
            <w:noWrap w:val="0"/>
            <w:vAlign w:val="center"/>
          </w:tcPr>
          <w:p>
            <w:pPr>
              <w:spacing w:line="320" w:lineRule="exact"/>
              <w:jc w:val="center"/>
              <w:rPr>
                <w:szCs w:val="21"/>
              </w:rPr>
            </w:pPr>
            <w:r>
              <w:rPr>
                <w:szCs w:val="21"/>
              </w:rPr>
              <w:t>二级</w:t>
            </w:r>
          </w:p>
        </w:tc>
        <w:tc>
          <w:tcPr>
            <w:tcW w:w="464"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二级</w:t>
            </w:r>
          </w:p>
        </w:tc>
        <w:tc>
          <w:tcPr>
            <w:tcW w:w="388" w:type="pct"/>
            <w:noWrap w:val="0"/>
            <w:vAlign w:val="center"/>
          </w:tcPr>
          <w:p>
            <w:pPr>
              <w:spacing w:line="320" w:lineRule="exact"/>
              <w:jc w:val="center"/>
              <w:rPr>
                <w:szCs w:val="21"/>
              </w:rPr>
            </w:pPr>
            <w:r>
              <w:rPr>
                <w:szCs w:val="21"/>
              </w:rPr>
              <w:t>三级</w:t>
            </w:r>
          </w:p>
        </w:tc>
        <w:tc>
          <w:tcPr>
            <w:tcW w:w="464" w:type="pct"/>
            <w:noWrap w:val="0"/>
            <w:vAlign w:val="center"/>
          </w:tcPr>
          <w:p>
            <w:pPr>
              <w:spacing w:line="320" w:lineRule="exact"/>
              <w:jc w:val="center"/>
              <w:rPr>
                <w:szCs w:val="21"/>
              </w:rPr>
            </w:pPr>
            <w:r>
              <w:rPr>
                <w:szCs w:val="21"/>
              </w:rPr>
              <w:t>三级</w:t>
            </w:r>
          </w:p>
        </w:tc>
        <w:tc>
          <w:tcPr>
            <w:tcW w:w="388" w:type="pct"/>
            <w:noWrap w:val="0"/>
            <w:vAlign w:val="center"/>
          </w:tcPr>
          <w:p>
            <w:pPr>
              <w:spacing w:line="320" w:lineRule="exact"/>
              <w:jc w:val="center"/>
              <w:rPr>
                <w:szCs w:val="21"/>
              </w:rPr>
            </w:pPr>
            <w:r>
              <w:rPr>
                <w:szCs w:val="21"/>
              </w:rPr>
              <w:t>三级</w:t>
            </w:r>
          </w:p>
        </w:tc>
        <w:tc>
          <w:tcPr>
            <w:tcW w:w="385" w:type="pct"/>
            <w:noWrap w:val="0"/>
            <w:vAlign w:val="center"/>
          </w:tcPr>
          <w:p>
            <w:pPr>
              <w:spacing w:line="320" w:lineRule="exact"/>
              <w:jc w:val="center"/>
              <w:rPr>
                <w:szCs w:val="21"/>
              </w:rPr>
            </w:pPr>
            <w:r>
              <w:rPr>
                <w:szCs w:val="21"/>
              </w:rPr>
              <w:t>/</w:t>
            </w:r>
          </w:p>
        </w:tc>
        <w:tc>
          <w:tcPr>
            <w:tcW w:w="374" w:type="pct"/>
            <w:noWrap w:val="0"/>
            <w:vAlign w:val="center"/>
          </w:tcPr>
          <w:p>
            <w:pPr>
              <w:spacing w:line="320" w:lineRule="exact"/>
              <w:jc w:val="center"/>
              <w:rPr>
                <w:szCs w:val="21"/>
              </w:rPr>
            </w:pPr>
            <w:r>
              <w:rPr>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10"/>
            <w:noWrap w:val="0"/>
            <w:vAlign w:val="center"/>
          </w:tcPr>
          <w:p>
            <w:pPr>
              <w:spacing w:line="320" w:lineRule="exact"/>
              <w:jc w:val="center"/>
              <w:rPr>
                <w:szCs w:val="21"/>
              </w:rPr>
            </w:pPr>
            <w:r>
              <w:rPr>
                <w:szCs w:val="21"/>
              </w:rPr>
              <w:t>注：“/”表示可不开展土壤环境影响评价工作</w:t>
            </w:r>
          </w:p>
        </w:tc>
      </w:tr>
    </w:tbl>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2.8  评价范围</w:t>
      </w:r>
      <w:bookmarkEnd w:id="34"/>
    </w:p>
    <w:p>
      <w:pPr>
        <w:pStyle w:val="5"/>
        <w:spacing w:before="0" w:after="0" w:line="530" w:lineRule="exact"/>
        <w:rPr>
          <w:rFonts w:ascii="Times New Roman" w:hAnsi="Times New Roman" w:eastAsia="楷体_GB2312"/>
          <w:sz w:val="28"/>
          <w:szCs w:val="28"/>
          <w:lang w:val="en-US" w:eastAsia="zh-CN"/>
        </w:rPr>
      </w:pPr>
      <w:bookmarkStart w:id="35" w:name="_Toc439060160"/>
      <w:r>
        <w:rPr>
          <w:rFonts w:ascii="Times New Roman" w:hAnsi="Times New Roman" w:eastAsia="楷体_GB2312"/>
          <w:sz w:val="28"/>
          <w:szCs w:val="28"/>
          <w:lang w:val="en-US" w:eastAsia="zh-CN"/>
        </w:rPr>
        <w:t>2.8.1  环境空气评价范围</w:t>
      </w:r>
      <w:bookmarkEnd w:id="35"/>
    </w:p>
    <w:p>
      <w:pPr>
        <w:pStyle w:val="27"/>
        <w:ind w:firstLine="560"/>
      </w:pPr>
      <w:r>
        <w:t>根据HJ2.2-2018规定，二级评价项目大气环境影响评价范围边长取5km。考虑本项目的污染源特征，当地的地形特征、周边敏感点分布以及中原大化厂界线具体情况，确定本项目大气评价范围为以</w:t>
      </w:r>
      <w:r>
        <w:rPr>
          <w:rFonts w:hint="eastAsia"/>
        </w:rPr>
        <w:t>真空泵尾气排气筒</w:t>
      </w:r>
      <w:r>
        <w:t>为中心（原点），从厂界四边向东、西、南、北方向各至2.5km。</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2.8.2  </w:t>
      </w:r>
      <w:r>
        <w:rPr>
          <w:rFonts w:hint="eastAsia" w:ascii="Times New Roman" w:hAnsi="Times New Roman" w:eastAsia="楷体_GB2312"/>
          <w:sz w:val="28"/>
          <w:szCs w:val="28"/>
          <w:lang w:val="en-US" w:eastAsia="zh-CN"/>
        </w:rPr>
        <w:t>地表水</w:t>
      </w:r>
      <w:r>
        <w:rPr>
          <w:rFonts w:ascii="Times New Roman" w:hAnsi="Times New Roman" w:eastAsia="楷体_GB2312"/>
          <w:sz w:val="28"/>
          <w:szCs w:val="28"/>
          <w:lang w:val="en-US" w:eastAsia="zh-CN"/>
        </w:rPr>
        <w:t>环境评价范围</w:t>
      </w:r>
    </w:p>
    <w:p>
      <w:pPr>
        <w:pStyle w:val="27"/>
        <w:ind w:firstLine="560"/>
      </w:pPr>
      <w:r>
        <w:t>根据《环境影响评价技术导则地表水环境》（HJ 2.3-2018），建设项目地表水环境影响评价等级判定为三级B</w:t>
      </w:r>
      <w:r>
        <w:rPr>
          <w:rFonts w:hint="eastAsia"/>
        </w:rPr>
        <w:t>，</w:t>
      </w:r>
      <w:r>
        <w:t>主要评价内容包括：</w:t>
      </w:r>
      <w:r>
        <w:fldChar w:fldCharType="begin"/>
      </w:r>
      <w:r>
        <w:instrText xml:space="preserve"> = 1 \* GB3 </w:instrText>
      </w:r>
      <w:r>
        <w:fldChar w:fldCharType="separate"/>
      </w:r>
      <w:r>
        <w:t>①</w:t>
      </w:r>
      <w:r>
        <w:fldChar w:fldCharType="end"/>
      </w:r>
      <w:r>
        <w:t>水污染控制和水环境影响减缓措施有效性评价；</w:t>
      </w:r>
      <w:r>
        <w:fldChar w:fldCharType="begin"/>
      </w:r>
      <w:r>
        <w:instrText xml:space="preserve"> = 2 \* GB3 </w:instrText>
      </w:r>
      <w:r>
        <w:fldChar w:fldCharType="separate"/>
      </w:r>
      <w:r>
        <w:t>②</w:t>
      </w:r>
      <w:r>
        <w:fldChar w:fldCharType="end"/>
      </w:r>
      <w:r>
        <w:t>依托污水处理设施的环境可行性评价。</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2.8.3  </w:t>
      </w:r>
      <w:r>
        <w:rPr>
          <w:rFonts w:hint="eastAsia" w:ascii="Times New Roman" w:hAnsi="Times New Roman" w:eastAsia="楷体_GB2312"/>
          <w:sz w:val="28"/>
          <w:szCs w:val="28"/>
          <w:lang w:val="en-US" w:eastAsia="zh-CN"/>
        </w:rPr>
        <w:t>地下水</w:t>
      </w:r>
      <w:r>
        <w:rPr>
          <w:rFonts w:ascii="Times New Roman" w:hAnsi="Times New Roman" w:eastAsia="楷体_GB2312"/>
          <w:sz w:val="28"/>
          <w:szCs w:val="28"/>
          <w:lang w:val="en-US" w:eastAsia="zh-CN"/>
        </w:rPr>
        <w:t>环境评价范围</w:t>
      </w:r>
    </w:p>
    <w:p>
      <w:pPr>
        <w:pStyle w:val="27"/>
        <w:ind w:firstLine="560"/>
        <w:rPr>
          <w:spacing w:val="4"/>
        </w:rPr>
      </w:pPr>
      <w:r>
        <w:rPr>
          <w:rFonts w:hint="eastAsia"/>
        </w:rPr>
        <w:t>根据</w:t>
      </w:r>
      <w:r>
        <w:t>调查区地形特征、水文地质</w:t>
      </w:r>
      <w:r>
        <w:rPr>
          <w:rFonts w:hint="eastAsia"/>
        </w:rPr>
        <w:t>、</w:t>
      </w:r>
      <w:r>
        <w:t>地下水流向</w:t>
      </w:r>
      <w:r>
        <w:rPr>
          <w:rFonts w:hint="eastAsia"/>
        </w:rPr>
        <w:t>等</w:t>
      </w:r>
      <w:r>
        <w:t>综合分析确定调查范围如下：西侧为地下水流向的上游，以厂区中心外延2.5公里作为边界；北侧和南侧为地下水流向的侧向，以厂区中心外延2公里作为边界；东侧为地下水流向的下游，以厂区中心外延4公里作为边界，详见下图。本次地下水调查评价区面积约</w:t>
      </w:r>
      <w:r>
        <w:rPr>
          <w:rFonts w:eastAsia="等线"/>
        </w:rPr>
        <w:t>27.36km</w:t>
      </w:r>
      <w:r>
        <w:rPr>
          <w:rFonts w:eastAsia="等线"/>
          <w:vertAlign w:val="superscript"/>
        </w:rPr>
        <w:t>2</w:t>
      </w:r>
      <w:r>
        <w:t>。</w:t>
      </w:r>
    </w:p>
    <w:p>
      <w:pPr>
        <w:pStyle w:val="5"/>
        <w:spacing w:before="0" w:after="0" w:line="530" w:lineRule="exact"/>
        <w:rPr>
          <w:rFonts w:ascii="Times New Roman" w:hAnsi="Times New Roman" w:eastAsia="楷体_GB2312"/>
          <w:sz w:val="28"/>
          <w:szCs w:val="28"/>
          <w:lang w:val="en-US" w:eastAsia="zh-CN"/>
        </w:rPr>
      </w:pPr>
      <w:bookmarkStart w:id="36" w:name="_Toc439060163"/>
      <w:r>
        <w:rPr>
          <w:rFonts w:ascii="Times New Roman" w:hAnsi="Times New Roman" w:eastAsia="楷体_GB2312"/>
          <w:sz w:val="28"/>
          <w:szCs w:val="28"/>
          <w:lang w:val="en-US" w:eastAsia="zh-CN"/>
        </w:rPr>
        <w:t>2.8.4  声环境评价范围</w:t>
      </w:r>
      <w:bookmarkEnd w:id="36"/>
    </w:p>
    <w:p>
      <w:pPr>
        <w:pStyle w:val="27"/>
        <w:ind w:firstLine="560"/>
      </w:pPr>
      <w:r>
        <w:t>根据《环境影响评价技术导则 声环境》（HJ2.4-2009）中的有关规定，本次声环境影响预测范围确定为厂址边界外200m。</w:t>
      </w:r>
    </w:p>
    <w:p>
      <w:pPr>
        <w:pStyle w:val="5"/>
        <w:spacing w:before="0" w:after="0" w:line="530" w:lineRule="exact"/>
        <w:rPr>
          <w:rFonts w:ascii="Times New Roman" w:hAnsi="Times New Roman" w:eastAsia="楷体_GB2312"/>
          <w:sz w:val="28"/>
          <w:szCs w:val="28"/>
          <w:lang w:val="en-US" w:eastAsia="zh-CN"/>
        </w:rPr>
      </w:pPr>
      <w:bookmarkStart w:id="37" w:name="_Toc439060164"/>
      <w:r>
        <w:rPr>
          <w:rFonts w:ascii="Times New Roman" w:hAnsi="Times New Roman" w:eastAsia="楷体_GB2312"/>
          <w:sz w:val="28"/>
          <w:szCs w:val="28"/>
          <w:lang w:val="en-US" w:eastAsia="zh-CN"/>
        </w:rPr>
        <w:t>2.8.5  环境风险评价范围</w:t>
      </w:r>
      <w:bookmarkEnd w:id="37"/>
    </w:p>
    <w:p>
      <w:pPr>
        <w:pStyle w:val="8"/>
        <w:spacing w:line="500" w:lineRule="exact"/>
        <w:ind w:firstLine="560"/>
        <w:rPr>
          <w:color w:val="auto"/>
          <w:sz w:val="28"/>
          <w:szCs w:val="28"/>
        </w:rPr>
      </w:pPr>
      <w:r>
        <w:rPr>
          <w:color w:val="auto"/>
          <w:sz w:val="28"/>
          <w:szCs w:val="28"/>
        </w:rPr>
        <w:t>根据《建设项目环境风险评价技术导则》（HJ/T169-2004）</w:t>
      </w:r>
      <w:r>
        <w:rPr>
          <w:rFonts w:hint="eastAsia"/>
          <w:color w:val="auto"/>
          <w:sz w:val="28"/>
          <w:szCs w:val="28"/>
        </w:rPr>
        <w:t>，项目环境风险评价工作级别为简要分析，故本次评价工作内容主要是在描述危险物质、环境影响途径、环境危害后果、风险防范措施等方面给出定性的说明。</w:t>
      </w:r>
    </w:p>
    <w:p>
      <w:pPr>
        <w:pStyle w:val="5"/>
        <w:spacing w:before="0" w:after="0" w:line="530" w:lineRule="exact"/>
        <w:rPr>
          <w:rFonts w:ascii="Times New Roman" w:hAnsi="Times New Roman" w:eastAsia="楷体_GB2312"/>
          <w:sz w:val="28"/>
          <w:szCs w:val="28"/>
          <w:lang w:val="en-US" w:eastAsia="zh-CN"/>
        </w:rPr>
      </w:pPr>
      <w:r>
        <w:rPr>
          <w:rFonts w:hint="eastAsia" w:ascii="Times New Roman" w:hAnsi="Times New Roman" w:eastAsia="楷体_GB2312"/>
          <w:sz w:val="28"/>
          <w:szCs w:val="28"/>
          <w:lang w:val="en-US" w:eastAsia="zh-CN"/>
        </w:rPr>
        <w:t>2.8.</w:t>
      </w:r>
      <w:r>
        <w:rPr>
          <w:rFonts w:ascii="Times New Roman" w:hAnsi="Times New Roman" w:eastAsia="楷体_GB2312"/>
          <w:sz w:val="28"/>
          <w:szCs w:val="28"/>
          <w:lang w:val="en-US" w:eastAsia="zh-CN"/>
        </w:rPr>
        <w:t>6</w:t>
      </w:r>
      <w:r>
        <w:rPr>
          <w:rFonts w:hint="eastAsia" w:ascii="Times New Roman" w:hAnsi="Times New Roman" w:eastAsia="楷体_GB2312"/>
          <w:sz w:val="28"/>
          <w:szCs w:val="28"/>
          <w:lang w:val="en-US" w:eastAsia="zh-CN"/>
        </w:rPr>
        <w:t xml:space="preserve">  土壤环境评价范围</w:t>
      </w:r>
    </w:p>
    <w:p>
      <w:pPr>
        <w:pStyle w:val="27"/>
        <w:ind w:firstLine="560"/>
        <w:rPr>
          <w:lang w:val="zh-CN"/>
        </w:rPr>
      </w:pPr>
      <w:r>
        <w:rPr>
          <w:lang w:val="zh-CN"/>
        </w:rPr>
        <w:t>本项目为评价等级为一级的污染影响型项目，结合（HJ 964-2018）“表5现状调查范围”，项目土壤环境调查评价范围为厂界外扩1km。</w:t>
      </w:r>
    </w:p>
    <w:p>
      <w:pPr>
        <w:pStyle w:val="4"/>
        <w:spacing w:before="0" w:after="0" w:line="520" w:lineRule="exact"/>
        <w:rPr>
          <w:rFonts w:ascii="Times New Roman" w:hAnsi="Times New Roman" w:eastAsia="黑体"/>
          <w:sz w:val="28"/>
          <w:szCs w:val="28"/>
          <w:lang w:val="en-US" w:eastAsia="zh-CN"/>
        </w:rPr>
      </w:pPr>
      <w:bookmarkStart w:id="38" w:name="_Toc439060168"/>
      <w:r>
        <w:rPr>
          <w:rFonts w:ascii="Times New Roman" w:hAnsi="Times New Roman" w:eastAsia="黑体"/>
          <w:sz w:val="28"/>
          <w:szCs w:val="28"/>
          <w:lang w:val="en-US" w:eastAsia="zh-CN"/>
        </w:rPr>
        <w:t>2.9  专题设置与评价重点</w:t>
      </w:r>
      <w:bookmarkEnd w:id="38"/>
    </w:p>
    <w:p>
      <w:pPr>
        <w:pStyle w:val="5"/>
        <w:spacing w:before="0" w:after="0" w:line="530" w:lineRule="exact"/>
        <w:rPr>
          <w:rFonts w:ascii="Times New Roman" w:hAnsi="Times New Roman" w:eastAsia="楷体_GB2312"/>
          <w:sz w:val="28"/>
          <w:szCs w:val="28"/>
          <w:lang w:val="en-US" w:eastAsia="zh-CN"/>
        </w:rPr>
      </w:pPr>
      <w:bookmarkStart w:id="39" w:name="_Toc439060169"/>
      <w:r>
        <w:rPr>
          <w:rFonts w:ascii="Times New Roman" w:hAnsi="Times New Roman" w:eastAsia="楷体_GB2312"/>
          <w:sz w:val="28"/>
          <w:szCs w:val="28"/>
          <w:lang w:val="en-US" w:eastAsia="zh-CN"/>
        </w:rPr>
        <w:t>2.9.1  本次评价专题设置情况</w:t>
      </w:r>
      <w:bookmarkEnd w:id="39"/>
    </w:p>
    <w:p>
      <w:pPr>
        <w:pStyle w:val="27"/>
        <w:ind w:firstLine="560"/>
      </w:pPr>
      <w:r>
        <w:t>根据项目排污特征及区域环境特征，本次评价设置如下专题：</w:t>
      </w:r>
    </w:p>
    <w:p>
      <w:pPr>
        <w:pStyle w:val="27"/>
        <w:ind w:firstLine="560"/>
      </w:pPr>
      <w:r>
        <w:t>（1）概述</w:t>
      </w:r>
    </w:p>
    <w:p>
      <w:pPr>
        <w:pStyle w:val="27"/>
        <w:ind w:firstLine="560"/>
      </w:pPr>
      <w:r>
        <w:t>（2）总则</w:t>
      </w:r>
    </w:p>
    <w:p>
      <w:pPr>
        <w:pStyle w:val="27"/>
        <w:ind w:firstLine="560"/>
      </w:pPr>
      <w:r>
        <w:t>（3）工程分析</w:t>
      </w:r>
    </w:p>
    <w:p>
      <w:pPr>
        <w:pStyle w:val="27"/>
        <w:ind w:firstLine="560"/>
      </w:pPr>
      <w:r>
        <w:t>（4）环境现状调查与评价</w:t>
      </w:r>
    </w:p>
    <w:p>
      <w:pPr>
        <w:pStyle w:val="27"/>
        <w:ind w:firstLine="560"/>
      </w:pPr>
      <w:r>
        <w:t>（5）环境影响预测与评价</w:t>
      </w:r>
    </w:p>
    <w:p>
      <w:pPr>
        <w:pStyle w:val="27"/>
        <w:ind w:firstLine="560"/>
      </w:pPr>
      <w:r>
        <w:t>（6）污染防治措施可行性分析</w:t>
      </w:r>
    </w:p>
    <w:p>
      <w:pPr>
        <w:pStyle w:val="27"/>
        <w:ind w:firstLine="560"/>
      </w:pPr>
      <w:r>
        <w:t>（7）环境风险分析</w:t>
      </w:r>
    </w:p>
    <w:p>
      <w:pPr>
        <w:pStyle w:val="27"/>
        <w:ind w:firstLine="560"/>
      </w:pPr>
      <w:r>
        <w:t>（8）产业政策与相关规划相符性分析</w:t>
      </w:r>
    </w:p>
    <w:p>
      <w:pPr>
        <w:pStyle w:val="27"/>
        <w:ind w:firstLine="560"/>
      </w:pPr>
      <w:r>
        <w:t>（9）经济损益分析</w:t>
      </w:r>
    </w:p>
    <w:p>
      <w:pPr>
        <w:pStyle w:val="27"/>
        <w:ind w:firstLine="560"/>
      </w:pPr>
      <w:r>
        <w:t>（10）环境管理与监测计划</w:t>
      </w:r>
    </w:p>
    <w:p>
      <w:pPr>
        <w:pStyle w:val="27"/>
        <w:ind w:firstLine="560"/>
      </w:pPr>
      <w:r>
        <w:t>（11）评价结论及建议</w:t>
      </w:r>
    </w:p>
    <w:p>
      <w:pPr>
        <w:pStyle w:val="5"/>
        <w:spacing w:before="0" w:after="0" w:line="530" w:lineRule="exact"/>
        <w:rPr>
          <w:rFonts w:ascii="Times New Roman" w:hAnsi="Times New Roman" w:eastAsia="楷体_GB2312"/>
          <w:sz w:val="28"/>
          <w:szCs w:val="28"/>
          <w:lang w:val="en-US" w:eastAsia="zh-CN"/>
        </w:rPr>
      </w:pPr>
      <w:bookmarkStart w:id="40" w:name="_Toc439060170"/>
      <w:r>
        <w:rPr>
          <w:rFonts w:ascii="Times New Roman" w:hAnsi="Times New Roman" w:eastAsia="楷体_GB2312"/>
          <w:sz w:val="28"/>
          <w:szCs w:val="28"/>
          <w:lang w:val="en-US" w:eastAsia="zh-CN"/>
        </w:rPr>
        <w:t>2.9.2  本次评价重点</w:t>
      </w:r>
      <w:bookmarkEnd w:id="40"/>
    </w:p>
    <w:p>
      <w:pPr>
        <w:pStyle w:val="27"/>
        <w:ind w:firstLine="560"/>
      </w:pPr>
      <w:r>
        <w:t>（1）工程分析</w:t>
      </w:r>
    </w:p>
    <w:p>
      <w:pPr>
        <w:pStyle w:val="27"/>
        <w:ind w:firstLine="560"/>
      </w:pPr>
      <w:r>
        <w:t>（2）污染防治措施可行性分析</w:t>
      </w:r>
    </w:p>
    <w:p>
      <w:pPr>
        <w:pStyle w:val="27"/>
        <w:ind w:firstLine="560"/>
      </w:pPr>
      <w:r>
        <w:t>（3）环境风险分析</w:t>
      </w:r>
    </w:p>
    <w:p>
      <w:pPr>
        <w:pStyle w:val="4"/>
        <w:spacing w:before="0" w:after="0" w:line="520" w:lineRule="exact"/>
        <w:rPr>
          <w:rFonts w:ascii="Times New Roman" w:hAnsi="Times New Roman" w:eastAsia="黑体"/>
          <w:sz w:val="28"/>
          <w:szCs w:val="28"/>
          <w:lang w:val="en-US" w:eastAsia="zh-CN"/>
        </w:rPr>
      </w:pPr>
      <w:bookmarkStart w:id="41" w:name="_Toc439060171"/>
      <w:r>
        <w:rPr>
          <w:rFonts w:ascii="Times New Roman" w:hAnsi="Times New Roman" w:eastAsia="黑体"/>
          <w:sz w:val="28"/>
          <w:szCs w:val="28"/>
          <w:lang w:val="en-US" w:eastAsia="zh-CN"/>
        </w:rPr>
        <w:t>2.10  评价工作程序</w:t>
      </w:r>
      <w:bookmarkEnd w:id="41"/>
    </w:p>
    <w:p>
      <w:pPr>
        <w:pStyle w:val="27"/>
        <w:ind w:firstLine="560"/>
      </w:pPr>
      <w:r>
        <w:t>评价工作程序见图2.10-1。</w:t>
      </w:r>
    </w:p>
    <w:p>
      <w:pPr>
        <w:pStyle w:val="27"/>
        <w:spacing w:line="240" w:lineRule="auto"/>
        <w:ind w:firstLine="0" w:firstLineChars="0"/>
        <w:jc w:val="center"/>
      </w:pPr>
      <w:r>
        <w:object>
          <v:shape id="_x0000_i1026" o:spt="75" type="#_x0000_t75" style="height:437.9pt;width:316.55pt;" o:ole="t" filled="f" stroked="f" coordsize="21600,21600">
            <v:path/>
            <v:fill on="f" focussize="0,0"/>
            <v:stroke on="f"/>
            <v:imagedata r:id="rId29" cropright="6220f" o:title=""/>
            <o:lock v:ext="edit" aspectratio="t"/>
            <w10:wrap type="none"/>
            <w10:anchorlock/>
          </v:shape>
          <o:OLEObject Type="Embed" ProgID="Visio.Drawing.11" ShapeID="_x0000_i1026" DrawAspect="Content" ObjectID="_1468075726" r:id="rId28">
            <o:LockedField>false</o:LockedField>
          </o:OLEObject>
        </w:object>
      </w:r>
    </w:p>
    <w:p>
      <w:pPr>
        <w:pStyle w:val="27"/>
        <w:spacing w:line="240" w:lineRule="auto"/>
        <w:ind w:firstLine="0" w:firstLineChars="0"/>
        <w:jc w:val="center"/>
        <w:rPr>
          <w:rFonts w:eastAsia="黑体"/>
          <w:b/>
          <w:sz w:val="24"/>
          <w:szCs w:val="24"/>
        </w:rPr>
      </w:pPr>
    </w:p>
    <w:p>
      <w:pPr>
        <w:pStyle w:val="27"/>
        <w:spacing w:line="240" w:lineRule="auto"/>
        <w:ind w:firstLine="0" w:firstLineChars="0"/>
        <w:jc w:val="center"/>
      </w:pPr>
      <w:r>
        <w:rPr>
          <w:rFonts w:eastAsia="黑体"/>
          <w:b/>
          <w:sz w:val="24"/>
          <w:szCs w:val="24"/>
        </w:rPr>
        <w:t>图2.10-1    建设项目环境影响评价工作程序图</w:t>
      </w:r>
    </w:p>
    <w:p/>
    <w:p/>
    <w:p/>
    <w:p/>
    <w:p/>
    <w:p/>
    <w:p/>
    <w:p/>
    <w:p/>
    <w:p/>
    <w:p/>
    <w:p/>
    <w:p/>
    <w:p/>
    <w:p/>
    <w:p/>
    <w:p/>
    <w:p>
      <w:pPr>
        <w:pStyle w:val="3"/>
        <w:spacing w:before="0" w:after="0" w:line="240" w:lineRule="auto"/>
        <w:jc w:val="center"/>
        <w:rPr>
          <w:rFonts w:ascii="Times New Roman" w:hAnsi="Times New Roman" w:eastAsia="黑体"/>
          <w:bCs w:val="0"/>
          <w:lang w:val="en-US" w:eastAsia="zh-CN"/>
        </w:rPr>
      </w:pPr>
      <w:bookmarkStart w:id="42" w:name="_Toc439060531"/>
      <w:r>
        <w:rPr>
          <w:rFonts w:ascii="Times New Roman" w:hAnsi="Times New Roman" w:eastAsia="黑体"/>
          <w:bCs w:val="0"/>
          <w:lang w:val="en-US" w:eastAsia="zh-CN"/>
        </w:rPr>
        <w:t>第3章  工程分析</w:t>
      </w:r>
      <w:bookmarkEnd w:id="42"/>
    </w:p>
    <w:p>
      <w:pPr>
        <w:spacing w:line="520" w:lineRule="exact"/>
        <w:ind w:firstLine="560" w:firstLineChars="200"/>
        <w:rPr>
          <w:rFonts w:ascii="Times New Roman" w:hAnsi="Times New Roman" w:eastAsia="仿宋_GB2312"/>
          <w:sz w:val="28"/>
          <w:szCs w:val="28"/>
        </w:rPr>
      </w:pPr>
      <w:bookmarkStart w:id="43" w:name="_Toc439060534"/>
      <w:r>
        <w:rPr>
          <w:rFonts w:ascii="Times New Roman" w:hAnsi="Times New Roman" w:eastAsiaTheme="minorEastAsia"/>
          <w:sz w:val="28"/>
          <w:szCs w:val="28"/>
        </w:rPr>
        <w:t>河南省中原大化集团有限责任公司（以下简称“中原大化”）1987年9月开工建设，1990年5月建成投产，2008年12月经省政府批准与永煤集团、鹤煤集团、焦煤集团、河南省煤气集团战略重组为河南煤业化工集团，2013年9月经省政府批准河南煤业化工集团与义煤集团战略重组为河南能源化工集团，中原大化公司为河南能源化工集团子公司。目前，中原大化公司下属3个事业部即甲醇事业部、化肥事业部和三聚氰胺事业部；拥有两个省级研发中心和一个市级研发中心。现装置规模为30万吨合成氨、52万吨尿素、30万吨甲醇、5.4万吨三聚氰胺，是河南省最大的化肥生产企业和亚洲最大的三聚氰胺生产企业之一。</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中原大化公司位于濮阳经济技术产业集聚区，分为天然气化工装置区和煤化工装置区两个厂区，总占地面积为83.91万m</w:t>
      </w:r>
      <w:r>
        <w:rPr>
          <w:rFonts w:ascii="Times New Roman" w:hAnsi="Times New Roman" w:eastAsiaTheme="minorEastAsia"/>
          <w:sz w:val="28"/>
          <w:szCs w:val="28"/>
          <w:vertAlign w:val="superscript"/>
        </w:rPr>
        <w:t>2</w:t>
      </w:r>
      <w:r>
        <w:rPr>
          <w:rFonts w:ascii="Times New Roman" w:hAnsi="Times New Roman" w:eastAsiaTheme="minorEastAsia"/>
          <w:sz w:val="28"/>
          <w:szCs w:val="28"/>
        </w:rPr>
        <w:t>，其中天然气化工装置区50万m</w:t>
      </w:r>
      <w:r>
        <w:rPr>
          <w:rFonts w:ascii="Times New Roman" w:hAnsi="Times New Roman" w:eastAsiaTheme="minorEastAsia"/>
          <w:sz w:val="28"/>
          <w:szCs w:val="28"/>
          <w:vertAlign w:val="superscript"/>
        </w:rPr>
        <w:t>2</w:t>
      </w:r>
      <w:r>
        <w:rPr>
          <w:rFonts w:ascii="Times New Roman" w:hAnsi="Times New Roman" w:eastAsiaTheme="minorEastAsia"/>
          <w:sz w:val="28"/>
          <w:szCs w:val="28"/>
        </w:rPr>
        <w:t>、煤化工装置区33.91万m</w:t>
      </w:r>
      <w:r>
        <w:rPr>
          <w:rFonts w:ascii="Times New Roman" w:hAnsi="Times New Roman" w:eastAsiaTheme="minorEastAsia"/>
          <w:sz w:val="28"/>
          <w:szCs w:val="28"/>
          <w:vertAlign w:val="superscript"/>
        </w:rPr>
        <w:t>2</w:t>
      </w:r>
      <w:r>
        <w:rPr>
          <w:rFonts w:ascii="Times New Roman" w:hAnsi="Times New Roman" w:eastAsiaTheme="minorEastAsia"/>
          <w:sz w:val="28"/>
          <w:szCs w:val="28"/>
        </w:rPr>
        <w:t>。天然气装置区主要工程有合成氨尿素工程和三聚氰胺工程，煤化工装置区主要工程有30万吨甲醇项目、污水处理装置提标扩能改造项目、1000吨甲基丙烯酸甲酯（MMA）合成中试开发项目、燃煤锅炉烟气脱硫除尘一体化超低排放改造项目、30万吨/年液体二氧化碳回收利用项目。</w:t>
      </w:r>
    </w:p>
    <w:p>
      <w:pPr>
        <w:pStyle w:val="27"/>
        <w:ind w:firstLine="560"/>
      </w:pPr>
      <w:r>
        <w:t>公司现有项目基本情况见表3.1-1。</w:t>
      </w:r>
    </w:p>
    <w:p>
      <w:pPr>
        <w:pStyle w:val="32"/>
        <w:ind w:left="851" w:firstLine="0" w:firstLineChars="0"/>
        <w:sectPr>
          <w:headerReference r:id="rId3" w:type="default"/>
          <w:headerReference r:id="rId4" w:type="even"/>
          <w:footerReference r:id="rId5" w:type="even"/>
          <w:pgSz w:w="11907" w:h="16840"/>
          <w:pgMar w:top="1474" w:right="1474" w:bottom="1474" w:left="1474" w:header="851" w:footer="851" w:gutter="0"/>
          <w:cols w:space="720" w:num="1"/>
          <w:docGrid w:type="lines" w:linePitch="498" w:charSpace="-5626"/>
        </w:sectPr>
      </w:pPr>
    </w:p>
    <w:p>
      <w:pPr>
        <w:pStyle w:val="32"/>
        <w:ind w:left="851" w:firstLine="0" w:firstLineChars="0"/>
      </w:pPr>
      <w:r>
        <w:t>表3.1-1                                  中原大化各厂区项目情况一览表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74"/>
        <w:gridCol w:w="761"/>
        <w:gridCol w:w="3402"/>
        <w:gridCol w:w="5386"/>
        <w:gridCol w:w="3085"/>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Align w:val="center"/>
          </w:tcPr>
          <w:p>
            <w:pPr>
              <w:pStyle w:val="32"/>
              <w:spacing w:line="240" w:lineRule="auto"/>
              <w:ind w:firstLine="0" w:firstLineChars="0"/>
              <w:jc w:val="center"/>
              <w:rPr>
                <w:rFonts w:eastAsiaTheme="minorEastAsia"/>
                <w:sz w:val="21"/>
                <w:szCs w:val="21"/>
              </w:rPr>
            </w:pPr>
            <w:r>
              <w:rPr>
                <w:rFonts w:eastAsiaTheme="minorEastAsia"/>
                <w:sz w:val="21"/>
                <w:szCs w:val="21"/>
              </w:rPr>
              <w:t>厂区</w:t>
            </w:r>
          </w:p>
        </w:tc>
        <w:tc>
          <w:tcPr>
            <w:tcW w:w="761" w:type="dxa"/>
            <w:vAlign w:val="center"/>
          </w:tcPr>
          <w:p>
            <w:pPr>
              <w:pStyle w:val="32"/>
              <w:spacing w:line="240" w:lineRule="auto"/>
              <w:ind w:firstLine="0" w:firstLineChars="0"/>
              <w:jc w:val="center"/>
              <w:rPr>
                <w:rFonts w:eastAsiaTheme="minorEastAsia"/>
                <w:sz w:val="21"/>
                <w:szCs w:val="21"/>
              </w:rPr>
            </w:pPr>
            <w:r>
              <w:rPr>
                <w:rFonts w:eastAsiaTheme="minorEastAsia"/>
                <w:sz w:val="21"/>
                <w:szCs w:val="21"/>
              </w:rPr>
              <w:t>序号</w:t>
            </w:r>
          </w:p>
        </w:tc>
        <w:tc>
          <w:tcPr>
            <w:tcW w:w="3402" w:type="dxa"/>
            <w:vAlign w:val="center"/>
          </w:tcPr>
          <w:p>
            <w:pPr>
              <w:pStyle w:val="32"/>
              <w:spacing w:line="240" w:lineRule="auto"/>
              <w:ind w:firstLine="0" w:firstLineChars="0"/>
              <w:jc w:val="center"/>
              <w:rPr>
                <w:rFonts w:eastAsiaTheme="minorEastAsia"/>
                <w:sz w:val="21"/>
                <w:szCs w:val="21"/>
              </w:rPr>
            </w:pPr>
            <w:r>
              <w:rPr>
                <w:rFonts w:eastAsiaTheme="minorEastAsia"/>
                <w:sz w:val="21"/>
                <w:szCs w:val="21"/>
              </w:rPr>
              <w:t>项目名称</w:t>
            </w:r>
          </w:p>
        </w:tc>
        <w:tc>
          <w:tcPr>
            <w:tcW w:w="5386" w:type="dxa"/>
            <w:vAlign w:val="center"/>
          </w:tcPr>
          <w:p>
            <w:pPr>
              <w:pStyle w:val="32"/>
              <w:spacing w:line="240" w:lineRule="auto"/>
              <w:ind w:firstLine="0" w:firstLineChars="0"/>
              <w:jc w:val="center"/>
              <w:rPr>
                <w:rFonts w:eastAsiaTheme="minorEastAsia"/>
                <w:sz w:val="21"/>
                <w:szCs w:val="21"/>
              </w:rPr>
            </w:pPr>
            <w:r>
              <w:rPr>
                <w:rFonts w:eastAsiaTheme="minorEastAsia"/>
                <w:sz w:val="21"/>
                <w:szCs w:val="21"/>
              </w:rPr>
              <w:t>主要建设内容</w:t>
            </w:r>
          </w:p>
        </w:tc>
        <w:tc>
          <w:tcPr>
            <w:tcW w:w="3085" w:type="dxa"/>
            <w:vAlign w:val="center"/>
          </w:tcPr>
          <w:p>
            <w:pPr>
              <w:pStyle w:val="32"/>
              <w:spacing w:line="240" w:lineRule="auto"/>
              <w:ind w:firstLine="0" w:firstLineChars="0"/>
              <w:jc w:val="center"/>
              <w:rPr>
                <w:rFonts w:eastAsiaTheme="minorEastAsia"/>
                <w:sz w:val="21"/>
                <w:szCs w:val="21"/>
              </w:rPr>
            </w:pPr>
            <w:r>
              <w:rPr>
                <w:rFonts w:eastAsiaTheme="minorEastAsia"/>
                <w:sz w:val="21"/>
                <w:szCs w:val="21"/>
              </w:rPr>
              <w:t>环评、验收情况</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天然气厂区</w:t>
            </w: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1</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合成氨尿素工程</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合成氨、尿素生产规模分别为30万t/a和52万t/a</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在1992年通过环保验收（豫环监字〔1992〕96号）</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2</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年产2万t/a（27.5%）双氧水工程</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采用钯触媒固定床蒽醌法生产2万t/a（27.5%）双氧水</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已停产拆除</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3</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NPK复合肥工程</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生产规模为30万t/a</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已停产拆除</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4</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5.4万t/a三聚氰胺工程</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3套三聚氰氨生产装置，生产规模分别为1.2万t/a、1.2万t/a、3万t/a。</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分别在2001年、2003年和2007年通过环保验收（豫环保验〔2001〕16号、豫环保验〔2003〕70号、豫环保验〔2007〕50号）</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煤化工厂区</w:t>
            </w: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1</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年产30万吨甲醇项目</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主要装置为煤气化和甲醇装置；采用SHELL煤气化工艺和低压法甲醇合成工艺，年产30万吨甲醇和</w:t>
            </w:r>
            <w:r>
              <w:rPr>
                <w:rFonts w:hint="eastAsia" w:eastAsiaTheme="minorEastAsia"/>
                <w:b w:val="0"/>
                <w:sz w:val="21"/>
                <w:szCs w:val="21"/>
              </w:rPr>
              <w:t>31144</w:t>
            </w:r>
            <w:r>
              <w:rPr>
                <w:rFonts w:eastAsiaTheme="minorEastAsia"/>
                <w:b w:val="0"/>
                <w:sz w:val="21"/>
                <w:szCs w:val="21"/>
              </w:rPr>
              <w:t xml:space="preserve"> m</w:t>
            </w:r>
            <w:r>
              <w:rPr>
                <w:rFonts w:eastAsiaTheme="minorEastAsia"/>
                <w:b w:val="0"/>
                <w:sz w:val="21"/>
                <w:szCs w:val="21"/>
                <w:vertAlign w:val="superscript"/>
              </w:rPr>
              <w:t>3</w:t>
            </w:r>
            <w:r>
              <w:rPr>
                <w:rFonts w:hint="eastAsia" w:eastAsiaTheme="minorEastAsia"/>
                <w:b w:val="0"/>
                <w:sz w:val="21"/>
                <w:szCs w:val="21"/>
              </w:rPr>
              <w:t>/h</w:t>
            </w:r>
            <w:r>
              <w:rPr>
                <w:rFonts w:eastAsiaTheme="minorEastAsia"/>
                <w:b w:val="0"/>
                <w:sz w:val="21"/>
                <w:szCs w:val="21"/>
              </w:rPr>
              <w:t>（脱硫脱碳后）合成气。</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2005年9月取得环评批复（豫环监[2005]128号），2014年5月通过竣工环保验收（豫环审〔2014〕200号）</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2</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污水处理装置提标扩能改造项目</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对原污水处理系统进行优化、提标升级改造，改造后，设计规模整合为300m</w:t>
            </w:r>
            <w:r>
              <w:rPr>
                <w:rFonts w:eastAsiaTheme="minorEastAsia"/>
                <w:b w:val="0"/>
                <w:sz w:val="21"/>
                <w:szCs w:val="21"/>
                <w:vertAlign w:val="superscript"/>
              </w:rPr>
              <w:t>3</w:t>
            </w:r>
            <w:r>
              <w:rPr>
                <w:rFonts w:eastAsiaTheme="minorEastAsia"/>
                <w:b w:val="0"/>
                <w:sz w:val="21"/>
                <w:szCs w:val="21"/>
              </w:rPr>
              <w:t>/h；主体工艺采用IC+HBF预处理+二级AO+砂滤+超滤+反渗透处理中水回用系统，达到60%以上污水回用率。</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2012年6月取得环评批复（濮环审表[2012 ]51号），同30万吨甲醇项目一起验收。</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3</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1000吨甲基丙烯酸甲酯（MMA）合成中试开发项目</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以乙烯、CO、H</w:t>
            </w:r>
            <w:r>
              <w:rPr>
                <w:rFonts w:eastAsiaTheme="minorEastAsia"/>
                <w:b w:val="0"/>
                <w:sz w:val="21"/>
                <w:szCs w:val="21"/>
                <w:vertAlign w:val="subscript"/>
              </w:rPr>
              <w:t>2</w:t>
            </w:r>
            <w:r>
              <w:rPr>
                <w:rFonts w:eastAsiaTheme="minorEastAsia"/>
                <w:b w:val="0"/>
                <w:sz w:val="21"/>
                <w:szCs w:val="21"/>
              </w:rPr>
              <w:t>、甲醇等原料通过氢甲酰化、羟醛缩合、醛氧化、酯化工艺生产甲基丙烯酸甲酯，年产MMA1000吨。</w:t>
            </w:r>
            <w:r>
              <w:rPr>
                <w:sz w:val="28"/>
                <w:szCs w:val="28"/>
              </w:rPr>
              <w:t xml:space="preserve"> </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2017年12月取得环评批复（濮开环审[2017]72号），目前</w:t>
            </w:r>
            <w:r>
              <w:rPr>
                <w:rFonts w:hint="eastAsia" w:eastAsiaTheme="minorEastAsia"/>
                <w:b w:val="0"/>
                <w:sz w:val="21"/>
                <w:szCs w:val="21"/>
              </w:rPr>
              <w:t>基本闲置。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4</w:t>
            </w:r>
          </w:p>
        </w:tc>
        <w:tc>
          <w:tcPr>
            <w:tcW w:w="3402" w:type="dxa"/>
            <w:vAlign w:val="center"/>
          </w:tcPr>
          <w:p>
            <w:pPr>
              <w:pStyle w:val="32"/>
              <w:spacing w:line="240" w:lineRule="auto"/>
              <w:ind w:firstLine="0" w:firstLineChars="0"/>
              <w:jc w:val="left"/>
              <w:rPr>
                <w:rFonts w:eastAsiaTheme="minorEastAsia"/>
                <w:b w:val="0"/>
                <w:sz w:val="21"/>
                <w:szCs w:val="21"/>
              </w:rPr>
            </w:pPr>
            <w:bookmarkStart w:id="44" w:name="_Hlk66350658"/>
            <w:r>
              <w:rPr>
                <w:rFonts w:eastAsiaTheme="minorEastAsia"/>
                <w:b w:val="0"/>
                <w:sz w:val="21"/>
                <w:szCs w:val="21"/>
              </w:rPr>
              <w:t>30万吨/年液体二氧化碳回收利用项目</w:t>
            </w:r>
            <w:bookmarkEnd w:id="44"/>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利用甲醇项目甲醇洗涤工段富裕二氧化碳分离、液化为液体送入二氧化碳成品</w:t>
            </w:r>
            <w:r>
              <w:rPr>
                <w:rFonts w:hint="eastAsia" w:eastAsiaTheme="minorEastAsia"/>
                <w:b w:val="0"/>
                <w:sz w:val="21"/>
                <w:szCs w:val="21"/>
              </w:rPr>
              <w:t>；一期建设规模为5万吨</w:t>
            </w:r>
            <w:r>
              <w:rPr>
                <w:rFonts w:eastAsiaTheme="minorEastAsia"/>
                <w:b w:val="0"/>
                <w:sz w:val="21"/>
                <w:szCs w:val="21"/>
              </w:rPr>
              <w:t>液体二氧化碳回收</w:t>
            </w:r>
            <w:r>
              <w:rPr>
                <w:rFonts w:hint="eastAsia" w:eastAsiaTheme="minorEastAsia"/>
                <w:b w:val="0"/>
                <w:sz w:val="21"/>
                <w:szCs w:val="21"/>
              </w:rPr>
              <w:t>。</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2016年7月取得环评批复（濮环审表[2016]4号），</w:t>
            </w:r>
            <w:bookmarkStart w:id="45" w:name="_Hlk66350646"/>
            <w:r>
              <w:rPr>
                <w:rFonts w:hint="eastAsia" w:eastAsiaTheme="minorEastAsia"/>
                <w:b w:val="0"/>
                <w:sz w:val="21"/>
                <w:szCs w:val="21"/>
              </w:rPr>
              <w:t>一期工程已建成并完成</w:t>
            </w:r>
            <w:r>
              <w:rPr>
                <w:rFonts w:eastAsiaTheme="minorEastAsia"/>
                <w:b w:val="0"/>
                <w:sz w:val="21"/>
                <w:szCs w:val="21"/>
              </w:rPr>
              <w:t>自主验收。</w:t>
            </w:r>
            <w:bookmarkEnd w:id="45"/>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4" w:type="dxa"/>
            <w:vMerge w:val="continue"/>
            <w:vAlign w:val="center"/>
          </w:tcPr>
          <w:p>
            <w:pPr>
              <w:pStyle w:val="32"/>
              <w:spacing w:line="240" w:lineRule="auto"/>
              <w:ind w:firstLine="0" w:firstLineChars="0"/>
              <w:jc w:val="center"/>
              <w:rPr>
                <w:rFonts w:eastAsiaTheme="minorEastAsia"/>
                <w:b w:val="0"/>
                <w:sz w:val="21"/>
                <w:szCs w:val="21"/>
              </w:rPr>
            </w:pPr>
          </w:p>
        </w:tc>
        <w:tc>
          <w:tcPr>
            <w:tcW w:w="761"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5</w:t>
            </w:r>
          </w:p>
        </w:tc>
        <w:tc>
          <w:tcPr>
            <w:tcW w:w="3402"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燃煤锅炉烟气脱硫除尘一体化超低排放改造项目</w:t>
            </w:r>
          </w:p>
        </w:tc>
        <w:tc>
          <w:tcPr>
            <w:tcW w:w="5386"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对厂区内6座锅炉进行超低排放改造技术改造。</w:t>
            </w:r>
          </w:p>
        </w:tc>
        <w:tc>
          <w:tcPr>
            <w:tcW w:w="3085" w:type="dxa"/>
            <w:vAlign w:val="center"/>
          </w:tcPr>
          <w:p>
            <w:pPr>
              <w:pStyle w:val="32"/>
              <w:spacing w:line="240" w:lineRule="auto"/>
              <w:ind w:firstLine="0" w:firstLineChars="0"/>
              <w:jc w:val="left"/>
              <w:rPr>
                <w:rFonts w:eastAsiaTheme="minorEastAsia"/>
                <w:b w:val="0"/>
                <w:sz w:val="21"/>
                <w:szCs w:val="21"/>
              </w:rPr>
            </w:pPr>
            <w:r>
              <w:rPr>
                <w:rFonts w:eastAsiaTheme="minorEastAsia"/>
                <w:b w:val="0"/>
                <w:sz w:val="21"/>
                <w:szCs w:val="21"/>
              </w:rPr>
              <w:t>2018年2月取得环评批复（濮开环审[2018 ]05号），2018年8月委托河南摩尔检测有限公司进行验收监测。</w:t>
            </w:r>
          </w:p>
        </w:tc>
      </w:tr>
    </w:tbl>
    <w:p>
      <w:pPr>
        <w:pStyle w:val="32"/>
        <w:spacing w:line="240" w:lineRule="auto"/>
        <w:ind w:firstLine="0" w:firstLineChars="0"/>
        <w:jc w:val="left"/>
        <w:rPr>
          <w:rFonts w:eastAsiaTheme="minorEastAsia"/>
          <w:sz w:val="18"/>
          <w:szCs w:val="18"/>
        </w:rPr>
        <w:sectPr>
          <w:pgSz w:w="16840" w:h="11907" w:orient="landscape"/>
          <w:pgMar w:top="1474" w:right="1474" w:bottom="1474" w:left="1474" w:header="851" w:footer="851" w:gutter="0"/>
          <w:cols w:space="720" w:num="1"/>
          <w:docGrid w:linePitch="498" w:charSpace="-5626"/>
        </w:sectPr>
      </w:pPr>
      <w:r>
        <w:rPr>
          <w:rFonts w:eastAsiaTheme="minorEastAsia"/>
          <w:b w:val="0"/>
          <w:sz w:val="18"/>
          <w:szCs w:val="18"/>
        </w:rPr>
        <w:t>备注：燃煤锅炉烟气脱硫除尘一体化超低排放改造项目包含天然气装置区75t/h×2循环流化床锅炉和130t/h×1循环流化床锅炉，煤化工装置区130t/h×3循环流化床锅炉</w:t>
      </w:r>
      <w:r>
        <w:rPr>
          <w:rFonts w:eastAsiaTheme="minorEastAsia"/>
          <w:sz w:val="18"/>
          <w:szCs w:val="18"/>
        </w:rPr>
        <w:t>。</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本次扩建5万吨MMA工程位于煤化工厂区</w:t>
      </w:r>
      <w:r>
        <w:rPr>
          <w:rFonts w:hint="eastAsia" w:ascii="Times New Roman" w:hAnsi="Times New Roman" w:eastAsiaTheme="minorEastAsia"/>
          <w:sz w:val="28"/>
          <w:szCs w:val="28"/>
        </w:rPr>
        <w:t>西侧，且项目部分公辅工程依托煤化工厂区设施</w:t>
      </w:r>
      <w:r>
        <w:rPr>
          <w:rFonts w:ascii="Times New Roman" w:hAnsi="Times New Roman" w:eastAsiaTheme="minorEastAsia"/>
          <w:sz w:val="28"/>
          <w:szCs w:val="28"/>
        </w:rPr>
        <w:t>，故主要对煤化工厂区现有工程进行介绍。</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3.1  现有工程</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3.1.1  现有工程基本情况</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（1）30万吨/年甲醇项目</w:t>
      </w:r>
    </w:p>
    <w:p>
      <w:pPr>
        <w:adjustRightInd w:val="0"/>
        <w:snapToGrid w:val="0"/>
        <w:spacing w:line="520" w:lineRule="exact"/>
        <w:ind w:firstLine="560" w:firstLineChars="200"/>
        <w:rPr>
          <w:rFonts w:ascii="Times New Roman" w:hAnsi="Times New Roman" w:eastAsiaTheme="minorEastAsia"/>
          <w:sz w:val="28"/>
        </w:rPr>
      </w:pPr>
      <w:r>
        <w:rPr>
          <w:rFonts w:ascii="Times New Roman" w:hAnsi="Times New Roman" w:eastAsiaTheme="minorEastAsia"/>
          <w:sz w:val="28"/>
          <w:szCs w:val="28"/>
        </w:rPr>
        <w:t>中原大化</w:t>
      </w:r>
      <w:r>
        <w:rPr>
          <w:rFonts w:ascii="Times New Roman" w:hAnsi="Times New Roman" w:eastAsiaTheme="minorEastAsia"/>
          <w:sz w:val="28"/>
        </w:rPr>
        <w:t>年产30万吨甲醇项目于</w:t>
      </w:r>
      <w:r>
        <w:rPr>
          <w:rFonts w:ascii="Times New Roman" w:hAnsi="Times New Roman" w:eastAsiaTheme="minorEastAsia"/>
          <w:sz w:val="28"/>
          <w:szCs w:val="28"/>
        </w:rPr>
        <w:t>2005年9月9日由河南省环境保护厅以豫环监[2005]128号文批复，</w:t>
      </w:r>
      <w:r>
        <w:rPr>
          <w:rFonts w:ascii="Times New Roman" w:hAnsi="Times New Roman" w:eastAsiaTheme="minorEastAsia"/>
          <w:sz w:val="28"/>
        </w:rPr>
        <w:t>2005年6月开工建设，2008年5月环保设施和主体工程竣工并投入试生产；</w:t>
      </w:r>
      <w:r>
        <w:rPr>
          <w:rFonts w:ascii="Times New Roman" w:hAnsi="Times New Roman" w:eastAsiaTheme="minorEastAsia"/>
          <w:sz w:val="28"/>
          <w:szCs w:val="28"/>
        </w:rPr>
        <w:t>河南省环境监测中心站于2010年9月15日～9月17日组织濮阳市环境监测站对该项目进行了竣工环境保护验收监测，</w:t>
      </w:r>
      <w:r>
        <w:rPr>
          <w:rFonts w:ascii="Times New Roman" w:hAnsi="Times New Roman" w:eastAsiaTheme="minorEastAsia"/>
          <w:sz w:val="28"/>
        </w:rPr>
        <w:t>编制了该项目的验收监测报告（豫环监验字〔2010〕第062号）；2011年7月8日和2011年9月19日，河南省环保厅和濮阳市环保局分别以豫环文[2011]149号文和濮环办﹝2011﹞40号文，对中原大化30万吨/a甲醇项目外排废水执行标准进行批复，明确了“中原大化30万吨/a甲醇项目外排水质应以环评批复及环评文件给出的外排水质为准，其中COD≤48mg/L，BOD</w:t>
      </w:r>
      <w:r>
        <w:rPr>
          <w:rFonts w:ascii="Times New Roman" w:hAnsi="Times New Roman" w:eastAsiaTheme="minorEastAsia"/>
          <w:sz w:val="28"/>
          <w:vertAlign w:val="subscript"/>
        </w:rPr>
        <w:t>5</w:t>
      </w:r>
      <w:r>
        <w:rPr>
          <w:rFonts w:ascii="Times New Roman" w:hAnsi="Times New Roman" w:eastAsiaTheme="minorEastAsia"/>
          <w:sz w:val="28"/>
        </w:rPr>
        <w:t>≤20mg/L，氨氮≤9.6mg/L。”要求中原大化抓紧进行整改，确保废水达标排放。2011年11月7日中原大化向河南省环保厅递交“关于申请环保验收批复文件的请示”，恳请待污水提标改造项目完成后再进行验收批复。河南省环保厅针对中原大化申请环保验收批复的请示给出复函（豫环评管﹝2011﹞188号），同意年产30万吨甲醇项目待污水提标扩能改造工程结束后，由河南省环境监测中心重新对废水处理情况进行补测。</w:t>
      </w:r>
      <w:r>
        <w:rPr>
          <w:rFonts w:ascii="Times New Roman" w:hAnsi="Times New Roman" w:eastAsiaTheme="minorEastAsia"/>
          <w:sz w:val="28"/>
          <w:szCs w:val="28"/>
        </w:rPr>
        <w:t>河南省环境监测中心于2013年10月16日～18日组织濮阳市环境监测站对该项目</w:t>
      </w:r>
      <w:r>
        <w:rPr>
          <w:rFonts w:ascii="Times New Roman" w:hAnsi="Times New Roman" w:eastAsiaTheme="minorEastAsia"/>
          <w:sz w:val="28"/>
        </w:rPr>
        <w:t>污水提标扩能改造工程</w:t>
      </w:r>
      <w:r>
        <w:rPr>
          <w:rFonts w:ascii="Times New Roman" w:hAnsi="Times New Roman" w:eastAsiaTheme="minorEastAsia"/>
          <w:sz w:val="28"/>
          <w:szCs w:val="28"/>
        </w:rPr>
        <w:t>进行了竣工环境保护验收补测, 并编制了验收补测报告。2014年5月16日</w:t>
      </w:r>
      <w:r>
        <w:rPr>
          <w:rFonts w:ascii="Times New Roman" w:hAnsi="Times New Roman" w:eastAsiaTheme="minorEastAsia"/>
          <w:sz w:val="28"/>
        </w:rPr>
        <w:t>河南省环保厅以</w:t>
      </w:r>
      <w:r>
        <w:rPr>
          <w:rFonts w:ascii="Times New Roman" w:hAnsi="Times New Roman" w:eastAsiaTheme="minorEastAsia"/>
          <w:sz w:val="28"/>
          <w:szCs w:val="28"/>
        </w:rPr>
        <w:t>豫环审〔2014〕200号批复30万吨/年甲醇项目通过竣工环境保护验。</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（2）</w:t>
      </w:r>
      <w:r>
        <w:rPr>
          <w:rFonts w:ascii="Times New Roman" w:hAnsi="Times New Roman" w:eastAsiaTheme="minorEastAsia"/>
          <w:sz w:val="28"/>
        </w:rPr>
        <w:t>污水处理装置提标扩能改造项目</w:t>
      </w:r>
    </w:p>
    <w:p>
      <w:pPr>
        <w:adjustRightInd w:val="0"/>
        <w:snapToGrid w:val="0"/>
        <w:spacing w:line="520" w:lineRule="exact"/>
        <w:ind w:firstLine="560" w:firstLineChars="200"/>
        <w:rPr>
          <w:rFonts w:ascii="Times New Roman" w:hAnsi="Times New Roman" w:eastAsiaTheme="minorEastAsia"/>
          <w:sz w:val="28"/>
        </w:rPr>
      </w:pPr>
      <w:r>
        <w:rPr>
          <w:rFonts w:ascii="Times New Roman" w:hAnsi="Times New Roman" w:eastAsiaTheme="minorEastAsia"/>
          <w:sz w:val="28"/>
        </w:rPr>
        <w:t>随着环境管理要求的提高，中原大化</w:t>
      </w:r>
      <w:r>
        <w:rPr>
          <w:rFonts w:ascii="Times New Roman" w:hAnsi="Times New Roman" w:eastAsiaTheme="minorEastAsia"/>
          <w:sz w:val="28"/>
          <w:szCs w:val="28"/>
        </w:rPr>
        <w:t>煤化工</w:t>
      </w:r>
      <w:r>
        <w:rPr>
          <w:rFonts w:ascii="Times New Roman" w:hAnsi="Times New Roman" w:eastAsiaTheme="minorEastAsia"/>
          <w:sz w:val="28"/>
        </w:rPr>
        <w:t>外排水质标准随之提高，原有污水处理设施已不能满足废水稳定达标排放，需对原污水处理系统进行优化、提标升级改造；同时</w:t>
      </w:r>
      <w:r>
        <w:rPr>
          <w:rFonts w:ascii="Times New Roman" w:hAnsi="Times New Roman" w:eastAsiaTheme="minorEastAsia"/>
          <w:sz w:val="28"/>
          <w:szCs w:val="28"/>
        </w:rPr>
        <w:t>集团内部进行资源整合（河南省中原大化集团、濮阳永金化工有限公司均隶属于河南煤业化工集团），濮阳永金乙二醇废水送河南省中原大化集团污水处理站，</w:t>
      </w:r>
      <w:r>
        <w:rPr>
          <w:rFonts w:ascii="Times New Roman" w:hAnsi="Times New Roman" w:eastAsiaTheme="minorEastAsia"/>
          <w:sz w:val="28"/>
        </w:rPr>
        <w:t>将30万吨/年甲醇和20万吨/年乙二醇两个项目污水合并处理，新增高浓度污水预处理能力20m³/h，新增污水处理能力200m³/h，将</w:t>
      </w:r>
      <w:r>
        <w:rPr>
          <w:rFonts w:ascii="Times New Roman" w:hAnsi="Times New Roman" w:eastAsiaTheme="minorEastAsia"/>
          <w:sz w:val="28"/>
          <w:szCs w:val="28"/>
        </w:rPr>
        <w:t>中原大化</w:t>
      </w:r>
      <w:r>
        <w:rPr>
          <w:rFonts w:ascii="Times New Roman" w:hAnsi="Times New Roman" w:eastAsiaTheme="minorEastAsia"/>
          <w:sz w:val="28"/>
        </w:rPr>
        <w:t>原有100m³/h污水处理系统与新建扩容处理系统有机整合为一个处理系统，主体工艺采用IC+HBF预处理+二级AO+砂滤+超滤+反渗透处理中水回用系统，达到60%以上污水回用率，每小时设计回用污水180m³，设计规模整合为300m</w:t>
      </w:r>
      <w:r>
        <w:rPr>
          <w:rFonts w:ascii="Times New Roman" w:hAnsi="Times New Roman" w:eastAsiaTheme="minorEastAsia"/>
          <w:sz w:val="28"/>
          <w:vertAlign w:val="superscript"/>
        </w:rPr>
        <w:t>3</w:t>
      </w:r>
      <w:r>
        <w:rPr>
          <w:rFonts w:ascii="Times New Roman" w:hAnsi="Times New Roman" w:eastAsiaTheme="minorEastAsia"/>
          <w:sz w:val="28"/>
        </w:rPr>
        <w:t>/h。</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rPr>
        <w:t>2012年6月，濮阳市绿苑环保科技开发有限公司编制完成《河南省中原大化集团有限责任公司污水处理装置提标扩能改造项目环境影响报告表》；2012年6月濮阳市环保局以濮环审表[2012 ]51号文对环评报告表进行了批复。该项目于2012年2月开工建设，2013年5月竣工，2013年6月投入试运行，</w:t>
      </w:r>
      <w:r>
        <w:rPr>
          <w:rFonts w:ascii="Times New Roman" w:hAnsi="Times New Roman" w:eastAsiaTheme="minorEastAsia"/>
          <w:sz w:val="28"/>
          <w:szCs w:val="28"/>
        </w:rPr>
        <w:t>河南省环境监测中心于2013年10月16日～18日组织濮阳市环境监测站对该项目</w:t>
      </w:r>
      <w:r>
        <w:rPr>
          <w:rFonts w:ascii="Times New Roman" w:hAnsi="Times New Roman" w:eastAsiaTheme="minorEastAsia"/>
          <w:sz w:val="28"/>
        </w:rPr>
        <w:t>污水提标扩能改造工程</w:t>
      </w:r>
      <w:r>
        <w:rPr>
          <w:rFonts w:ascii="Times New Roman" w:hAnsi="Times New Roman" w:eastAsiaTheme="minorEastAsia"/>
          <w:sz w:val="28"/>
          <w:szCs w:val="28"/>
        </w:rPr>
        <w:t>进行了竣工环境保护验收补测（即30万吨/年甲醇项目验收补测）。</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（3）</w:t>
      </w:r>
      <w:bookmarkStart w:id="46" w:name="_Hlk66350757"/>
      <w:r>
        <w:rPr>
          <w:rFonts w:ascii="Times New Roman" w:hAnsi="Times New Roman" w:eastAsiaTheme="minorEastAsia"/>
          <w:sz w:val="28"/>
          <w:szCs w:val="28"/>
        </w:rPr>
        <w:t>1000吨甲基丙烯酸甲酯（MMA）合成中试开发项目</w:t>
      </w:r>
      <w:bookmarkEnd w:id="46"/>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1000吨甲基丙烯酸甲酯（MMA）合成中试开发项目采用乙烯-合成气法制MMA，2017年8月河南省冶金研究所有限责任公司编制完成《河南省中原大化集团有限责任公司年产1000吨甲基丙烯酸甲酯（MMA）合成中试开发项目环境影响报告书》，2017年12月濮阳经济技术开发区以濮开环审[2017]72号对环评报告表进行了批复。</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目前该项目已建成并完成中试实验任务，设备、设施处于闲置状态。</w:t>
      </w:r>
    </w:p>
    <w:p>
      <w:pPr>
        <w:spacing w:line="520" w:lineRule="exact"/>
        <w:ind w:firstLine="580" w:firstLineChars="200"/>
        <w:rPr>
          <w:rFonts w:ascii="Times New Roman" w:hAnsi="Times New Roman"/>
          <w:spacing w:val="5"/>
          <w:sz w:val="28"/>
          <w:szCs w:val="28"/>
        </w:rPr>
      </w:pPr>
      <w:r>
        <w:rPr>
          <w:rFonts w:ascii="Times New Roman" w:hAnsi="Times New Roman"/>
          <w:spacing w:val="5"/>
          <w:sz w:val="28"/>
          <w:szCs w:val="28"/>
        </w:rPr>
        <w:t>（4）30万吨/年液体二氧化碳回收利用项目</w:t>
      </w:r>
    </w:p>
    <w:p>
      <w:pPr>
        <w:spacing w:line="520" w:lineRule="exact"/>
        <w:ind w:firstLine="580" w:firstLineChars="200"/>
        <w:rPr>
          <w:rFonts w:ascii="Times New Roman" w:hAnsi="Times New Roman" w:eastAsiaTheme="minorEastAsia"/>
          <w:sz w:val="28"/>
        </w:rPr>
      </w:pPr>
      <w:r>
        <w:rPr>
          <w:rFonts w:ascii="Times New Roman" w:hAnsi="Times New Roman"/>
          <w:spacing w:val="5"/>
          <w:sz w:val="28"/>
          <w:szCs w:val="28"/>
        </w:rPr>
        <w:t>公司发挥公司资源优势、先进的液化二氧化碳生产技术，通过利用甲醇厂甲醇生产线副产品二氧化碳气体，建设30万吨/年二氧化碳液化项目。项目分两期完成，一期生产规模为5万吨液化二氧化碳/年，二期生产规模为25万吨液化二氧化碳/年，原料来源均为中原大化甲醇项目甲醇洗涤工段富裕二氧化碳。</w:t>
      </w:r>
      <w:r>
        <w:rPr>
          <w:rFonts w:ascii="Times New Roman" w:hAnsi="Times New Roman" w:eastAsiaTheme="minorEastAsia"/>
          <w:sz w:val="28"/>
        </w:rPr>
        <w:t>2016年3月，河南源通环保工程有限公司编制完成《河南省中原大化集团有限责任公司30万吨/年液体二氧化碳回收利用项目环境影响报告表》；2016年7月濮阳市环保局以濮环审表[2016]4号文对环评报告表进行了批复。</w:t>
      </w:r>
    </w:p>
    <w:p>
      <w:pPr>
        <w:spacing w:line="520" w:lineRule="exact"/>
        <w:ind w:firstLine="560" w:firstLineChars="200"/>
        <w:rPr>
          <w:rFonts w:ascii="Times New Roman" w:hAnsi="Times New Roman"/>
          <w:spacing w:val="5"/>
          <w:sz w:val="28"/>
          <w:szCs w:val="28"/>
        </w:rPr>
      </w:pPr>
      <w:r>
        <w:rPr>
          <w:rFonts w:ascii="Times New Roman" w:hAnsi="Times New Roman" w:eastAsiaTheme="minorEastAsia"/>
          <w:sz w:val="28"/>
          <w:szCs w:val="28"/>
        </w:rPr>
        <w:t>目前项目</w:t>
      </w:r>
      <w:r>
        <w:rPr>
          <w:rFonts w:hint="eastAsia" w:ascii="Times New Roman" w:hAnsi="Times New Roman" w:eastAsiaTheme="minorEastAsia"/>
          <w:sz w:val="28"/>
          <w:szCs w:val="28"/>
          <w:lang w:eastAsia="zh-CN"/>
        </w:rPr>
        <w:t>一期</w:t>
      </w:r>
      <w:r>
        <w:rPr>
          <w:rFonts w:ascii="Times New Roman" w:hAnsi="Times New Roman" w:eastAsiaTheme="minorEastAsia"/>
          <w:sz w:val="28"/>
          <w:szCs w:val="28"/>
        </w:rPr>
        <w:t>已建成运行</w:t>
      </w:r>
      <w:r>
        <w:rPr>
          <w:rFonts w:hint="eastAsia" w:ascii="Times New Roman" w:hAnsi="Times New Roman" w:eastAsiaTheme="minorEastAsia"/>
          <w:sz w:val="28"/>
          <w:szCs w:val="28"/>
        </w:rPr>
        <w:t>并完成自主</w:t>
      </w:r>
      <w:r>
        <w:rPr>
          <w:rFonts w:ascii="Times New Roman" w:hAnsi="Times New Roman" w:eastAsiaTheme="minorEastAsia"/>
          <w:sz w:val="28"/>
          <w:szCs w:val="28"/>
        </w:rPr>
        <w:t>验收手续。</w:t>
      </w:r>
    </w:p>
    <w:p>
      <w:pPr>
        <w:spacing w:line="520" w:lineRule="exact"/>
        <w:ind w:firstLine="580" w:firstLineChars="200"/>
        <w:rPr>
          <w:rFonts w:ascii="Times New Roman" w:hAnsi="Times New Roman" w:eastAsiaTheme="minorEastAsia"/>
          <w:spacing w:val="5"/>
          <w:sz w:val="28"/>
          <w:szCs w:val="28"/>
        </w:rPr>
      </w:pPr>
      <w:r>
        <w:rPr>
          <w:rFonts w:ascii="Times New Roman" w:hAnsi="Times New Roman" w:eastAsiaTheme="minorEastAsia"/>
          <w:spacing w:val="5"/>
          <w:sz w:val="28"/>
          <w:szCs w:val="28"/>
        </w:rPr>
        <w:t>（5）燃煤锅炉烟气脱硫除尘一体化超低排放改造项目</w:t>
      </w:r>
    </w:p>
    <w:p>
      <w:pPr>
        <w:spacing w:line="520" w:lineRule="exact"/>
        <w:ind w:firstLine="560" w:firstLineChars="200"/>
        <w:rPr>
          <w:rFonts w:ascii="Times New Roman" w:hAnsi="Times New Roman" w:eastAsiaTheme="minorEastAsia"/>
          <w:spacing w:val="5"/>
          <w:sz w:val="28"/>
          <w:szCs w:val="28"/>
        </w:rPr>
      </w:pPr>
      <w:r>
        <w:rPr>
          <w:rFonts w:ascii="Times New Roman" w:hAnsi="Times New Roman" w:eastAsiaTheme="minorEastAsia"/>
          <w:sz w:val="28"/>
          <w:szCs w:val="28"/>
        </w:rPr>
        <w:t>根据《河南省环境污染防治攻坚战领导小组办公室关于印发河南省2017年大气污染防治攻坚战7个实施方案及考核奖惩暂行办法的通知》及</w:t>
      </w:r>
      <w:r>
        <w:rPr>
          <w:rFonts w:ascii="Times New Roman" w:hAnsi="Times New Roman" w:eastAsiaTheme="minorEastAsia"/>
          <w:bCs/>
          <w:sz w:val="28"/>
          <w:szCs w:val="28"/>
        </w:rPr>
        <w:t>及《河南省地方标准燃煤电厂大气污染物排放标准》（DB41/T1424-2017）要求，</w:t>
      </w:r>
      <w:r>
        <w:rPr>
          <w:rFonts w:ascii="Times New Roman" w:hAnsi="Times New Roman" w:eastAsiaTheme="minorEastAsia"/>
          <w:sz w:val="28"/>
          <w:szCs w:val="28"/>
        </w:rPr>
        <w:t>中原大化公司</w:t>
      </w:r>
      <w:r>
        <w:rPr>
          <w:rFonts w:ascii="Times New Roman" w:hAnsi="Times New Roman" w:eastAsiaTheme="minorEastAsia"/>
          <w:bCs/>
          <w:sz w:val="28"/>
          <w:szCs w:val="28"/>
        </w:rPr>
        <w:t>对</w:t>
      </w:r>
      <w:r>
        <w:rPr>
          <w:rFonts w:ascii="Times New Roman" w:hAnsi="Times New Roman" w:eastAsiaTheme="minorEastAsia"/>
          <w:kern w:val="0"/>
          <w:sz w:val="28"/>
          <w:szCs w:val="28"/>
        </w:rPr>
        <w:t>厂区内6座锅炉进行技术改造，包含</w:t>
      </w:r>
      <w:r>
        <w:rPr>
          <w:rFonts w:ascii="Times New Roman" w:hAnsi="Times New Roman" w:eastAsiaTheme="minorEastAsia"/>
          <w:sz w:val="28"/>
          <w:szCs w:val="28"/>
        </w:rPr>
        <w:t>天然气装置区75t/h×2循环流化床锅炉和130t/h×1循环流化床锅炉，煤化工装置区130t/h×3循环流化床锅炉。主要改造内容为：脱硝系统在SNCR（选择性非催化还原）脱硝装置前增加循环流化床锅炉低氮燃烧技术，脱硫系统采用脱硫除尘一体化超低排放技术。改造完成后，锅炉NOx排放浓度不高于100mg/m</w:t>
      </w:r>
      <w:r>
        <w:rPr>
          <w:rFonts w:ascii="Times New Roman" w:hAnsi="Times New Roman" w:eastAsiaTheme="minorEastAsia"/>
          <w:sz w:val="28"/>
          <w:szCs w:val="28"/>
          <w:vertAlign w:val="superscript"/>
        </w:rPr>
        <w:t>3</w:t>
      </w:r>
      <w:r>
        <w:rPr>
          <w:rFonts w:ascii="Times New Roman" w:hAnsi="Times New Roman" w:eastAsiaTheme="minorEastAsia"/>
          <w:sz w:val="28"/>
          <w:szCs w:val="28"/>
        </w:rPr>
        <w:t>，SO</w:t>
      </w:r>
      <w:r>
        <w:rPr>
          <w:rFonts w:ascii="Times New Roman" w:hAnsi="Times New Roman" w:eastAsiaTheme="minorEastAsia"/>
          <w:sz w:val="28"/>
          <w:szCs w:val="28"/>
          <w:vertAlign w:val="subscript"/>
        </w:rPr>
        <w:t>2</w:t>
      </w:r>
      <w:r>
        <w:rPr>
          <w:rFonts w:ascii="Times New Roman" w:hAnsi="Times New Roman" w:eastAsiaTheme="minorEastAsia"/>
          <w:sz w:val="28"/>
          <w:szCs w:val="28"/>
        </w:rPr>
        <w:t>排放浓度不高于35mg/m</w:t>
      </w:r>
      <w:r>
        <w:rPr>
          <w:rFonts w:ascii="Times New Roman" w:hAnsi="Times New Roman" w:eastAsiaTheme="minorEastAsia"/>
          <w:sz w:val="28"/>
          <w:szCs w:val="28"/>
          <w:vertAlign w:val="superscript"/>
        </w:rPr>
        <w:t>3</w:t>
      </w:r>
      <w:r>
        <w:rPr>
          <w:rFonts w:ascii="Times New Roman" w:hAnsi="Times New Roman" w:eastAsiaTheme="minorEastAsia"/>
          <w:sz w:val="28"/>
          <w:szCs w:val="28"/>
        </w:rPr>
        <w:t>，烟尘排放浓度不高于10mg/m</w:t>
      </w:r>
      <w:r>
        <w:rPr>
          <w:rFonts w:ascii="Times New Roman" w:hAnsi="Times New Roman" w:eastAsiaTheme="minorEastAsia"/>
          <w:sz w:val="28"/>
          <w:szCs w:val="28"/>
          <w:vertAlign w:val="superscript"/>
        </w:rPr>
        <w:t>3</w:t>
      </w:r>
      <w:r>
        <w:rPr>
          <w:rFonts w:ascii="Times New Roman" w:hAnsi="Times New Roman" w:eastAsiaTheme="minorEastAsia"/>
          <w:sz w:val="28"/>
          <w:szCs w:val="28"/>
        </w:rPr>
        <w:t>。</w:t>
      </w:r>
    </w:p>
    <w:p>
      <w:pPr>
        <w:spacing w:line="520" w:lineRule="exact"/>
        <w:ind w:firstLine="560" w:firstLineChars="200"/>
        <w:rPr>
          <w:rFonts w:ascii="Times New Roman" w:hAnsi="Times New Roman" w:eastAsiaTheme="minorEastAsia"/>
          <w:sz w:val="28"/>
        </w:rPr>
      </w:pPr>
      <w:r>
        <w:rPr>
          <w:rFonts w:ascii="Times New Roman" w:hAnsi="Times New Roman" w:eastAsiaTheme="minorEastAsia"/>
          <w:sz w:val="28"/>
        </w:rPr>
        <w:t>2017年12月，北京青草绿洲环保科技有限公司编制完成《燃煤锅炉烟气脱硫除尘一体化超低排放改造项目环境影响报告表》；2018年2月濮阳市经济技术开发区环境保护局以濮开环审[2018 ]05号对环评报告表进行了批复。2018年8月委托河南摩尔检测有限公司进行验收监测，目前已完成项目自主验收。</w:t>
      </w:r>
    </w:p>
    <w:p>
      <w:pPr>
        <w:spacing w:line="520" w:lineRule="exact"/>
        <w:ind w:firstLine="580" w:firstLineChars="200"/>
        <w:rPr>
          <w:rFonts w:ascii="Times New Roman" w:hAnsi="Times New Roman" w:eastAsiaTheme="minorEastAsia"/>
          <w:sz w:val="28"/>
          <w:szCs w:val="28"/>
        </w:rPr>
      </w:pPr>
      <w:r>
        <w:rPr>
          <w:rFonts w:ascii="Times New Roman" w:hAnsi="Times New Roman" w:eastAsiaTheme="minorEastAsia"/>
          <w:spacing w:val="5"/>
          <w:sz w:val="28"/>
          <w:szCs w:val="28"/>
        </w:rPr>
        <w:t>综上，</w:t>
      </w:r>
      <w:r>
        <w:rPr>
          <w:rFonts w:ascii="Times New Roman" w:hAnsi="Times New Roman" w:eastAsiaTheme="minorEastAsia"/>
          <w:sz w:val="28"/>
          <w:szCs w:val="28"/>
        </w:rPr>
        <w:t>污水处理装置提标扩能改造项目是30万吨/年甲醇项目的污水处理装置进行提标扩能改造，</w:t>
      </w:r>
      <w:r>
        <w:rPr>
          <w:rFonts w:ascii="Times New Roman" w:hAnsi="Times New Roman" w:eastAsiaTheme="minorEastAsia"/>
          <w:spacing w:val="5"/>
          <w:sz w:val="28"/>
          <w:szCs w:val="28"/>
        </w:rPr>
        <w:t>燃煤锅炉烟气脱硫除尘一体化超低排放改造项目是</w:t>
      </w:r>
      <w:r>
        <w:rPr>
          <w:rFonts w:ascii="Times New Roman" w:hAnsi="Times New Roman" w:eastAsiaTheme="minorEastAsia"/>
          <w:sz w:val="28"/>
          <w:szCs w:val="28"/>
        </w:rPr>
        <w:t>30万吨/年甲醇项目涉及的燃煤锅炉进行超低排放标准改造，均属于环保治理项目，此次现有工程不再进行单独介绍，在相关污防措施上按照改造后的内容进行描述，</w:t>
      </w:r>
      <w:r>
        <w:rPr>
          <w:rFonts w:ascii="Times New Roman" w:hAnsi="Times New Roman" w:eastAsiaTheme="minorEastAsia"/>
          <w:spacing w:val="5"/>
          <w:sz w:val="28"/>
          <w:szCs w:val="28"/>
        </w:rPr>
        <w:t>此次现有工程主要介绍</w:t>
      </w:r>
      <w:r>
        <w:rPr>
          <w:rFonts w:ascii="Times New Roman" w:hAnsi="Times New Roman" w:eastAsiaTheme="minorEastAsia"/>
          <w:sz w:val="28"/>
          <w:szCs w:val="28"/>
        </w:rPr>
        <w:t>30万吨/年甲醇项目、1000吨甲基丙烯酸甲酯（MMA）合成中试开发项目和</w:t>
      </w:r>
      <w:r>
        <w:rPr>
          <w:rFonts w:ascii="Times New Roman" w:hAnsi="Times New Roman"/>
          <w:spacing w:val="5"/>
          <w:sz w:val="28"/>
          <w:szCs w:val="28"/>
        </w:rPr>
        <w:t>30万吨/年液体二氧化碳回收利用项目</w:t>
      </w:r>
      <w:r>
        <w:rPr>
          <w:rFonts w:ascii="Times New Roman" w:hAnsi="Times New Roman" w:eastAsiaTheme="minorEastAsia"/>
          <w:sz w:val="28"/>
          <w:szCs w:val="28"/>
        </w:rPr>
        <w:t>。</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3.1.2  30万吨甲醇项目</w:t>
      </w:r>
    </w:p>
    <w:p>
      <w:pPr>
        <w:pStyle w:val="33"/>
        <w:adjustRightInd w:val="0"/>
        <w:snapToGrid w:val="0"/>
      </w:pPr>
      <w:r>
        <w:t>3.1.2.1  项目概况</w:t>
      </w:r>
    </w:p>
    <w:p>
      <w:pPr>
        <w:spacing w:line="520" w:lineRule="exact"/>
        <w:ind w:firstLine="580" w:firstLineChars="200"/>
        <w:rPr>
          <w:rFonts w:ascii="Times New Roman" w:hAnsi="Times New Roman" w:eastAsiaTheme="minorEastAsia"/>
          <w:spacing w:val="5"/>
          <w:sz w:val="28"/>
          <w:szCs w:val="28"/>
        </w:rPr>
      </w:pPr>
      <w:r>
        <w:rPr>
          <w:rFonts w:ascii="Times New Roman" w:hAnsi="Times New Roman" w:eastAsiaTheme="minorEastAsia"/>
          <w:spacing w:val="5"/>
          <w:sz w:val="28"/>
          <w:szCs w:val="28"/>
        </w:rPr>
        <w:t>中原大化年产30万吨甲醇项目基本情况见表3.1-1，建设内容见表3.1-2，能源消耗情况见表3.1-3。</w:t>
      </w:r>
    </w:p>
    <w:p>
      <w:pPr>
        <w:pStyle w:val="32"/>
        <w:ind w:left="851" w:firstLine="0" w:firstLineChars="0"/>
      </w:pPr>
      <w:r>
        <w:t>表3.1-1         30万t/a甲醇项目基本情况一览表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2193"/>
        <w:gridCol w:w="598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序号</w:t>
            </w:r>
          </w:p>
        </w:tc>
        <w:tc>
          <w:tcPr>
            <w:tcW w:w="1195"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名  称</w:t>
            </w:r>
          </w:p>
        </w:tc>
        <w:tc>
          <w:tcPr>
            <w:tcW w:w="3262"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简    要    说    明</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1</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工程性质</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2</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所属行业</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C-26化学原料及化学制品制造业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3</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总投资</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149971万元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4</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建设地点</w:t>
            </w:r>
          </w:p>
        </w:tc>
        <w:tc>
          <w:tcPr>
            <w:tcW w:w="3262" w:type="pct"/>
            <w:vAlign w:val="center"/>
          </w:tcPr>
          <w:p>
            <w:pPr>
              <w:rPr>
                <w:rFonts w:ascii="Times New Roman" w:hAnsi="Times New Roman" w:eastAsiaTheme="minorEastAsia"/>
                <w:szCs w:val="21"/>
              </w:rPr>
            </w:pPr>
            <w:r>
              <w:rPr>
                <w:rFonts w:ascii="Times New Roman" w:hAnsi="Times New Roman" w:eastAsiaTheme="minorEastAsia"/>
              </w:rPr>
              <w:t>濮阳高新技术产业开发区工业园区内，中原大化老厂区西南方向约1.7km处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5</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占地面积</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33.91×10</w:t>
            </w:r>
            <w:r>
              <w:rPr>
                <w:rFonts w:ascii="Times New Roman" w:hAnsi="Times New Roman" w:eastAsiaTheme="minorEastAsia"/>
                <w:szCs w:val="21"/>
                <w:vertAlign w:val="superscript"/>
              </w:rPr>
              <w:t>4</w:t>
            </w:r>
            <w:r>
              <w:rPr>
                <w:rFonts w:ascii="Times New Roman" w:hAnsi="Times New Roman" w:eastAsiaTheme="minorEastAsia"/>
                <w:szCs w:val="21"/>
              </w:rPr>
              <w:t>m</w:t>
            </w:r>
            <w:r>
              <w:rPr>
                <w:rFonts w:ascii="Times New Roman" w:hAnsi="Times New Roman" w:eastAsiaTheme="minorEastAsia"/>
                <w:szCs w:val="21"/>
                <w:vertAlign w:val="superscript"/>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6</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劳动定员</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220人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vAlign w:val="center"/>
          </w:tcPr>
          <w:p>
            <w:pPr>
              <w:jc w:val="center"/>
              <w:rPr>
                <w:rFonts w:ascii="Times New Roman" w:hAnsi="Times New Roman" w:eastAsiaTheme="minorEastAsia"/>
                <w:szCs w:val="21"/>
              </w:rPr>
            </w:pPr>
            <w:r>
              <w:rPr>
                <w:rFonts w:ascii="Times New Roman" w:hAnsi="Times New Roman" w:eastAsiaTheme="minorEastAsia"/>
                <w:szCs w:val="21"/>
              </w:rPr>
              <w:t>7</w:t>
            </w:r>
          </w:p>
        </w:tc>
        <w:tc>
          <w:tcPr>
            <w:tcW w:w="1195" w:type="pct"/>
            <w:vAlign w:val="center"/>
          </w:tcPr>
          <w:p>
            <w:pPr>
              <w:jc w:val="center"/>
              <w:rPr>
                <w:rFonts w:ascii="Times New Roman" w:hAnsi="Times New Roman" w:eastAsiaTheme="minorEastAsia"/>
                <w:szCs w:val="21"/>
              </w:rPr>
            </w:pPr>
            <w:r>
              <w:rPr>
                <w:rFonts w:ascii="Times New Roman" w:hAnsi="Times New Roman" w:eastAsiaTheme="minorEastAsia"/>
                <w:szCs w:val="21"/>
              </w:rPr>
              <w:t>工作制度</w:t>
            </w:r>
          </w:p>
        </w:tc>
        <w:tc>
          <w:tcPr>
            <w:tcW w:w="3262" w:type="pct"/>
            <w:vAlign w:val="center"/>
          </w:tcPr>
          <w:p>
            <w:pPr>
              <w:rPr>
                <w:rFonts w:ascii="Times New Roman" w:hAnsi="Times New Roman" w:eastAsiaTheme="minorEastAsia"/>
                <w:szCs w:val="21"/>
              </w:rPr>
            </w:pPr>
            <w:r>
              <w:rPr>
                <w:rFonts w:ascii="Times New Roman" w:hAnsi="Times New Roman" w:eastAsiaTheme="minorEastAsia"/>
                <w:szCs w:val="21"/>
              </w:rPr>
              <w:t>8000h/a</w:t>
            </w:r>
          </w:p>
        </w:tc>
      </w:tr>
    </w:tbl>
    <w:p>
      <w:pPr>
        <w:pStyle w:val="32"/>
        <w:ind w:left="851" w:firstLine="0" w:firstLineChars="0"/>
      </w:pPr>
      <w:r>
        <w:t>表3.1-2      30万t/a甲醇项目装置规模及组成情况一览表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35"/>
        <w:gridCol w:w="817"/>
        <w:gridCol w:w="343"/>
        <w:gridCol w:w="1605"/>
        <w:gridCol w:w="511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装置类别</w:t>
            </w:r>
          </w:p>
        </w:tc>
        <w:tc>
          <w:tcPr>
            <w:tcW w:w="453"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序号</w:t>
            </w:r>
          </w:p>
        </w:tc>
        <w:tc>
          <w:tcPr>
            <w:tcW w:w="1080" w:type="pct"/>
            <w:gridSpan w:val="2"/>
            <w:vAlign w:val="center"/>
          </w:tcPr>
          <w:p>
            <w:pPr>
              <w:jc w:val="center"/>
              <w:rPr>
                <w:rFonts w:ascii="Times New Roman" w:hAnsi="Times New Roman" w:eastAsiaTheme="minorEastAsia"/>
                <w:b/>
                <w:szCs w:val="21"/>
              </w:rPr>
            </w:pPr>
            <w:r>
              <w:rPr>
                <w:rFonts w:ascii="Times New Roman" w:hAnsi="Times New Roman" w:eastAsiaTheme="minorEastAsia"/>
                <w:b/>
                <w:szCs w:val="21"/>
              </w:rPr>
              <w:t>名  称</w:t>
            </w:r>
          </w:p>
        </w:tc>
        <w:tc>
          <w:tcPr>
            <w:tcW w:w="2837"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简    要    说    明</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1、主体装置</w:t>
            </w: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1.1</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煤气化</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规模154789Nm</w:t>
            </w:r>
            <w:r>
              <w:rPr>
                <w:rFonts w:ascii="Times New Roman" w:hAnsi="Times New Roman" w:eastAsiaTheme="minorEastAsia"/>
                <w:szCs w:val="21"/>
                <w:vertAlign w:val="superscript"/>
              </w:rPr>
              <w:t>3</w:t>
            </w:r>
            <w:r>
              <w:rPr>
                <w:rFonts w:ascii="Times New Roman" w:hAnsi="Times New Roman" w:eastAsiaTheme="minorEastAsia"/>
                <w:szCs w:val="21"/>
              </w:rPr>
              <w:t>/h，采用SHELL煤气化工艺，脱硫脱碳后产能为114279Nm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1.2</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甲醇装置</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规模30万t/a；低压甲醇合成工艺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2、辅助生产设施</w:t>
            </w: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2.1</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原、燃料煤输送</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胶带输送机输送，系统能力300t/h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2.2</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石灰石粉输送</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槽车运输进厂，气力输送至石灰石仓</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2.3</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空分</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液氧泵内压缩工艺，规模：27×10</w:t>
            </w:r>
            <w:r>
              <w:rPr>
                <w:rFonts w:ascii="Times New Roman" w:hAnsi="Times New Roman" w:eastAsiaTheme="minorEastAsia"/>
                <w:szCs w:val="21"/>
                <w:vertAlign w:val="superscript"/>
              </w:rPr>
              <w:t>4</w:t>
            </w:r>
            <w:r>
              <w:rPr>
                <w:rFonts w:ascii="Times New Roman" w:hAnsi="Times New Roman" w:eastAsiaTheme="minorEastAsia"/>
                <w:szCs w:val="21"/>
              </w:rPr>
              <w:t xml:space="preserve"> Nm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2.4</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冷冻站</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氨离心式压缩机制冷，制冷量15GJ/h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2.5</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CLAUS硫回收</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2903.9t/a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2.6</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火炬</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高度88m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3、公用工程设施</w:t>
            </w: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3.1</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供水</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由市政供水管网提供，设计能力为2000m</w:t>
            </w:r>
            <w:r>
              <w:rPr>
                <w:rFonts w:ascii="Times New Roman" w:hAnsi="Times New Roman" w:eastAsiaTheme="minorEastAsia"/>
                <w:szCs w:val="21"/>
                <w:vertAlign w:val="superscript"/>
              </w:rPr>
              <w:t>3</w:t>
            </w:r>
            <w:r>
              <w:rPr>
                <w:rFonts w:ascii="Times New Roman" w:hAnsi="Times New Roman" w:eastAsiaTheme="minorEastAsia"/>
                <w:szCs w:val="21"/>
              </w:rPr>
              <w:t>/h，甲醇项目满负荷运行需要一次用水量为766m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3.2</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循环冷却水系统</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设计能力50000m</w:t>
            </w:r>
            <w:r>
              <w:rPr>
                <w:rFonts w:ascii="Times New Roman" w:hAnsi="Times New Roman" w:eastAsiaTheme="minorEastAsia"/>
                <w:szCs w:val="21"/>
                <w:vertAlign w:val="superscript"/>
              </w:rPr>
              <w:t>3</w:t>
            </w:r>
            <w:r>
              <w:rPr>
                <w:rFonts w:ascii="Times New Roman" w:hAnsi="Times New Roman" w:eastAsiaTheme="minorEastAsia"/>
                <w:szCs w:val="21"/>
              </w:rPr>
              <w:t>/h，甲醇项目满负荷运行循环水量28748m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3.3</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除盐水系统</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生产能力650 m</w:t>
            </w:r>
            <w:r>
              <w:rPr>
                <w:rFonts w:ascii="Times New Roman" w:hAnsi="Times New Roman" w:eastAsiaTheme="minorEastAsia"/>
                <w:szCs w:val="21"/>
                <w:vertAlign w:val="superscript"/>
              </w:rPr>
              <w:t>3</w:t>
            </w:r>
            <w:r>
              <w:rPr>
                <w:rFonts w:ascii="Times New Roman" w:hAnsi="Times New Roman" w:eastAsiaTheme="minorEastAsia"/>
                <w:szCs w:val="21"/>
              </w:rPr>
              <w:t>/h，甲醇项目满负荷运行需375m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3.4</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排水设施</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雨污分流，生产污水和生活污水由厂区污水处理站处理达标后排入濮阳市第二污水处理厂。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3.5</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蒸汽动力装置</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3台130t/h循环流化床锅炉；1座89m高烟囱（原120m烟囱</w:t>
            </w:r>
            <w:r>
              <w:rPr>
                <w:rFonts w:ascii="Times New Roman" w:hAnsi="Times New Roman"/>
                <w:szCs w:val="21"/>
              </w:rPr>
              <w:t>仅为应急状态下的备用烟囱</w:t>
            </w: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3.6</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余热利用</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1台25MW抽汽冷凝高压汽轮机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3.7</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供电</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100kV/6.3kV变电站一座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4、储运设施</w:t>
            </w: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4.1</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原、燃料煤储存</w:t>
            </w:r>
          </w:p>
        </w:tc>
        <w:tc>
          <w:tcPr>
            <w:tcW w:w="2837" w:type="pct"/>
            <w:vAlign w:val="center"/>
          </w:tcPr>
          <w:p>
            <w:pPr>
              <w:rPr>
                <w:rFonts w:ascii="Times New Roman" w:hAnsi="Times New Roman" w:eastAsiaTheme="minorEastAsia"/>
                <w:szCs w:val="21"/>
              </w:rPr>
            </w:pPr>
            <w:r>
              <w:rPr>
                <w:rFonts w:hint="eastAsia" w:ascii="Times New Roman" w:hAnsi="Times New Roman" w:eastAsiaTheme="minorEastAsia"/>
                <w:szCs w:val="21"/>
                <w:lang w:val="en-US" w:eastAsia="zh-CN"/>
              </w:rPr>
              <w:t>2</w:t>
            </w:r>
            <w:r>
              <w:rPr>
                <w:rFonts w:ascii="Times New Roman" w:hAnsi="Times New Roman" w:eastAsiaTheme="minorEastAsia"/>
                <w:szCs w:val="21"/>
              </w:rPr>
              <w:t>座4200m</w:t>
            </w:r>
            <w:r>
              <w:rPr>
                <w:rFonts w:ascii="Times New Roman" w:hAnsi="Times New Roman" w:eastAsiaTheme="minorEastAsia"/>
                <w:szCs w:val="21"/>
                <w:vertAlign w:val="superscript"/>
              </w:rPr>
              <w:t>2</w:t>
            </w:r>
            <w:r>
              <w:rPr>
                <w:rFonts w:ascii="Times New Roman" w:hAnsi="Times New Roman" w:eastAsiaTheme="minorEastAsia"/>
                <w:szCs w:val="21"/>
              </w:rPr>
              <w:t>干煤棚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4.2</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动力站渣仓</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有效容积200 m</w:t>
            </w:r>
            <w:r>
              <w:rPr>
                <w:rFonts w:ascii="Times New Roman" w:hAnsi="Times New Roman" w:eastAsiaTheme="minorEastAsia"/>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4.3</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动力站灰库</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有效容积400 m</w:t>
            </w:r>
            <w:r>
              <w:rPr>
                <w:rFonts w:ascii="Times New Roman" w:hAnsi="Times New Roman" w:eastAsiaTheme="minorEastAsia"/>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4.4</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危险废物贮存场</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面积20 m</w:t>
            </w:r>
            <w:r>
              <w:rPr>
                <w:rFonts w:ascii="Times New Roman" w:hAnsi="Times New Roman" w:eastAsiaTheme="minorEastAsia"/>
                <w:szCs w:val="21"/>
                <w:vertAlign w:val="superscript"/>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4.5</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事故灰场</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煤气化灰渣事故灰场10万m</w:t>
            </w:r>
            <w:r>
              <w:rPr>
                <w:rFonts w:ascii="Times New Roman" w:hAnsi="Times New Roman" w:eastAsiaTheme="minorEastAsia"/>
                <w:szCs w:val="21"/>
                <w:vertAlign w:val="superscript"/>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4.6</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甲醇罐区</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中间罐区：2台2000m</w:t>
            </w:r>
            <w:r>
              <w:rPr>
                <w:rFonts w:ascii="Times New Roman" w:hAnsi="Times New Roman" w:eastAsiaTheme="minorEastAsia"/>
                <w:szCs w:val="21"/>
                <w:vertAlign w:val="superscript"/>
              </w:rPr>
              <w:t>3</w:t>
            </w:r>
            <w:r>
              <w:rPr>
                <w:rFonts w:ascii="Times New Roman" w:hAnsi="Times New Roman" w:eastAsiaTheme="minorEastAsia"/>
                <w:szCs w:val="21"/>
              </w:rPr>
              <w:t>粗甲醇储罐、2台2000m</w:t>
            </w:r>
            <w:r>
              <w:rPr>
                <w:rFonts w:ascii="Times New Roman" w:hAnsi="Times New Roman" w:eastAsiaTheme="minorEastAsia"/>
                <w:szCs w:val="21"/>
                <w:vertAlign w:val="superscript"/>
              </w:rPr>
              <w:t>3</w:t>
            </w:r>
            <w:r>
              <w:rPr>
                <w:rFonts w:ascii="Times New Roman" w:hAnsi="Times New Roman" w:eastAsiaTheme="minorEastAsia"/>
                <w:szCs w:val="21"/>
              </w:rPr>
              <w:t>精甲醇储罐；成品罐区：</w:t>
            </w:r>
            <w:r>
              <w:rPr>
                <w:rFonts w:hint="eastAsia" w:ascii="Times New Roman" w:hAnsi="Times New Roman" w:eastAsiaTheme="minorEastAsia"/>
                <w:szCs w:val="21"/>
                <w:lang w:val="en-US" w:eastAsia="zh-CN"/>
              </w:rPr>
              <w:t>3</w:t>
            </w:r>
            <w:r>
              <w:rPr>
                <w:rFonts w:ascii="Times New Roman" w:hAnsi="Times New Roman" w:eastAsiaTheme="minorEastAsia"/>
                <w:szCs w:val="21"/>
              </w:rPr>
              <w:t>台10000m</w:t>
            </w:r>
            <w:r>
              <w:rPr>
                <w:rFonts w:ascii="Times New Roman" w:hAnsi="Times New Roman" w:eastAsiaTheme="minorEastAsia"/>
                <w:szCs w:val="21"/>
                <w:vertAlign w:val="superscript"/>
              </w:rPr>
              <w:t>3</w:t>
            </w:r>
            <w:r>
              <w:rPr>
                <w:rFonts w:hint="eastAsia" w:ascii="Times New Roman" w:hAnsi="Times New Roman" w:eastAsiaTheme="minorEastAsia"/>
                <w:szCs w:val="21"/>
                <w:vertAlign w:val="baseline"/>
                <w:lang w:eastAsia="zh-CN"/>
              </w:rPr>
              <w:t>、</w:t>
            </w:r>
            <w:r>
              <w:rPr>
                <w:rFonts w:hint="eastAsia" w:ascii="Times New Roman" w:hAnsi="Times New Roman" w:eastAsiaTheme="minorEastAsia"/>
                <w:szCs w:val="21"/>
                <w:vertAlign w:val="baseline"/>
                <w:lang w:val="en-US" w:eastAsia="zh-CN"/>
              </w:rPr>
              <w:t>2台20000</w:t>
            </w:r>
            <w:r>
              <w:rPr>
                <w:rFonts w:ascii="Times New Roman" w:hAnsi="Times New Roman" w:eastAsiaTheme="minorEastAsia"/>
                <w:szCs w:val="21"/>
              </w:rPr>
              <w:t>精甲醇储罐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4.7</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甲醇装车站台</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18个火车槽车装车车位，3×360m</w:t>
            </w:r>
            <w:r>
              <w:rPr>
                <w:rFonts w:ascii="Times New Roman" w:hAnsi="Times New Roman" w:eastAsiaTheme="minorEastAsia"/>
                <w:szCs w:val="21"/>
                <w:vertAlign w:val="superscript"/>
              </w:rPr>
              <w:t>3</w:t>
            </w:r>
            <w:r>
              <w:rPr>
                <w:rFonts w:ascii="Times New Roman" w:hAnsi="Times New Roman" w:eastAsiaTheme="minorEastAsia"/>
                <w:szCs w:val="21"/>
              </w:rPr>
              <w:t>/h装车泵；4车位通过式汽车装车台，2×100 m</w:t>
            </w:r>
            <w:r>
              <w:rPr>
                <w:rFonts w:ascii="Times New Roman" w:hAnsi="Times New Roman" w:eastAsiaTheme="minorEastAsia"/>
                <w:szCs w:val="21"/>
                <w:vertAlign w:val="superscript"/>
              </w:rPr>
              <w:t>3</w:t>
            </w:r>
            <w:r>
              <w:rPr>
                <w:rFonts w:ascii="Times New Roman" w:hAnsi="Times New Roman" w:eastAsiaTheme="minorEastAsia"/>
                <w:szCs w:val="21"/>
              </w:rPr>
              <w:t>/h装车泵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4.8</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工厂运输</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原料煤运输：汽车、火车运输，66×10</w:t>
            </w:r>
            <w:r>
              <w:rPr>
                <w:rFonts w:ascii="Times New Roman" w:hAnsi="Times New Roman" w:eastAsiaTheme="minorEastAsia"/>
                <w:szCs w:val="21"/>
                <w:vertAlign w:val="superscript"/>
              </w:rPr>
              <w:t>4</w:t>
            </w:r>
            <w:r>
              <w:rPr>
                <w:rFonts w:ascii="Times New Roman" w:hAnsi="Times New Roman" w:eastAsiaTheme="minorEastAsia"/>
                <w:szCs w:val="21"/>
              </w:rPr>
              <w:t>t/a；</w:t>
            </w:r>
          </w:p>
          <w:p>
            <w:pPr>
              <w:rPr>
                <w:rFonts w:ascii="Times New Roman" w:hAnsi="Times New Roman" w:eastAsiaTheme="minorEastAsia"/>
                <w:szCs w:val="21"/>
              </w:rPr>
            </w:pPr>
            <w:r>
              <w:rPr>
                <w:rFonts w:ascii="Times New Roman" w:hAnsi="Times New Roman" w:eastAsiaTheme="minorEastAsia"/>
                <w:szCs w:val="21"/>
              </w:rPr>
              <w:t>燃料煤运输：汽车、火车运输，26.74×10</w:t>
            </w:r>
            <w:r>
              <w:rPr>
                <w:rFonts w:ascii="Times New Roman" w:hAnsi="Times New Roman" w:eastAsiaTheme="minorEastAsia"/>
                <w:szCs w:val="21"/>
                <w:vertAlign w:val="superscript"/>
              </w:rPr>
              <w:t>4</w:t>
            </w:r>
            <w:r>
              <w:rPr>
                <w:rFonts w:ascii="Times New Roman" w:hAnsi="Times New Roman" w:eastAsiaTheme="minorEastAsia"/>
                <w:szCs w:val="21"/>
              </w:rPr>
              <w:t>t/a；</w:t>
            </w:r>
          </w:p>
          <w:p>
            <w:pPr>
              <w:rPr>
                <w:rFonts w:ascii="Times New Roman" w:hAnsi="Times New Roman" w:eastAsiaTheme="minorEastAsia"/>
                <w:szCs w:val="21"/>
              </w:rPr>
            </w:pPr>
            <w:r>
              <w:rPr>
                <w:rFonts w:ascii="Times New Roman" w:hAnsi="Times New Roman" w:eastAsiaTheme="minorEastAsia"/>
                <w:szCs w:val="21"/>
              </w:rPr>
              <w:t>石灰运输：汽车运输，3.1×10</w:t>
            </w:r>
            <w:r>
              <w:rPr>
                <w:rFonts w:ascii="Times New Roman" w:hAnsi="Times New Roman" w:eastAsiaTheme="minorEastAsia"/>
                <w:szCs w:val="21"/>
                <w:vertAlign w:val="superscript"/>
              </w:rPr>
              <w:t>4</w:t>
            </w:r>
            <w:r>
              <w:rPr>
                <w:rFonts w:ascii="Times New Roman" w:hAnsi="Times New Roman" w:eastAsiaTheme="minorEastAsia"/>
                <w:szCs w:val="21"/>
              </w:rPr>
              <w:t>t/a；</w:t>
            </w:r>
          </w:p>
          <w:p>
            <w:pPr>
              <w:rPr>
                <w:rFonts w:ascii="Times New Roman" w:hAnsi="Times New Roman" w:eastAsiaTheme="minorEastAsia"/>
                <w:szCs w:val="21"/>
              </w:rPr>
            </w:pPr>
            <w:r>
              <w:rPr>
                <w:rFonts w:ascii="Times New Roman" w:hAnsi="Times New Roman" w:eastAsiaTheme="minorEastAsia"/>
                <w:szCs w:val="21"/>
              </w:rPr>
              <w:t>甲醇运输：汽车、火车运输</w:t>
            </w:r>
            <w:r>
              <w:rPr>
                <w:rFonts w:hint="eastAsia" w:ascii="Times New Roman" w:hAnsi="Times New Roman" w:eastAsiaTheme="minorEastAsia"/>
                <w:szCs w:val="21"/>
                <w:lang w:eastAsia="zh-CN"/>
              </w:rPr>
              <w:t>、管道输送</w:t>
            </w:r>
            <w:r>
              <w:rPr>
                <w:rFonts w:ascii="Times New Roman" w:hAnsi="Times New Roman" w:eastAsiaTheme="minorEastAsia"/>
                <w:szCs w:val="21"/>
              </w:rPr>
              <w:t>，30×10</w:t>
            </w:r>
            <w:r>
              <w:rPr>
                <w:rFonts w:ascii="Times New Roman" w:hAnsi="Times New Roman" w:eastAsiaTheme="minorEastAsia"/>
                <w:szCs w:val="21"/>
                <w:vertAlign w:val="superscript"/>
              </w:rPr>
              <w:t>4</w:t>
            </w:r>
            <w:r>
              <w:rPr>
                <w:rFonts w:ascii="Times New Roman" w:hAnsi="Times New Roman" w:eastAsiaTheme="minorEastAsia"/>
                <w:szCs w:val="21"/>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5、环保及风险设施</w:t>
            </w:r>
          </w:p>
        </w:tc>
        <w:tc>
          <w:tcPr>
            <w:tcW w:w="453"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5.1</w:t>
            </w:r>
          </w:p>
        </w:tc>
        <w:tc>
          <w:tcPr>
            <w:tcW w:w="190" w:type="pct"/>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废水治理设施</w:t>
            </w: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全厂污水处理</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污水处理站提能改造后采用IC+HBF+二级AO+砂滤+超滤+反渗透处理中水回用系统，设计规模整合为300m</w:t>
            </w:r>
            <w:r>
              <w:rPr>
                <w:rFonts w:ascii="Times New Roman" w:hAnsi="Times New Roman" w:eastAsiaTheme="minorEastAsia"/>
                <w:szCs w:val="21"/>
                <w:vertAlign w:val="superscript"/>
              </w:rPr>
              <w:t>3</w:t>
            </w:r>
            <w:r>
              <w:rPr>
                <w:rFonts w:ascii="Times New Roman" w:hAnsi="Times New Roman" w:eastAsiaTheme="minorEastAsia"/>
                <w:szCs w:val="21"/>
              </w:rPr>
              <w:t>/h（原环评批复为采用SBR工艺，规模为100 m</w:t>
            </w:r>
            <w:r>
              <w:rPr>
                <w:rFonts w:ascii="Times New Roman" w:hAnsi="Times New Roman" w:eastAsiaTheme="minorEastAsia"/>
                <w:szCs w:val="21"/>
                <w:vertAlign w:val="superscript"/>
              </w:rPr>
              <w:t>3</w:t>
            </w:r>
            <w:r>
              <w:rPr>
                <w:rFonts w:ascii="Times New Roman" w:hAnsi="Times New Roman" w:eastAsiaTheme="minorEastAsia"/>
                <w:szCs w:val="21"/>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含油污水</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在装置内作隔油、浮选等初步处理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事故污水及前期雨水收集系统</w:t>
            </w:r>
          </w:p>
        </w:tc>
        <w:tc>
          <w:tcPr>
            <w:tcW w:w="2837" w:type="pct"/>
            <w:vAlign w:val="center"/>
          </w:tcPr>
          <w:p>
            <w:pPr>
              <w:rPr>
                <w:rFonts w:ascii="Times New Roman" w:hAnsi="Times New Roman"/>
                <w:szCs w:val="21"/>
              </w:rPr>
            </w:pPr>
            <w:r>
              <w:rPr>
                <w:rFonts w:ascii="Times New Roman" w:hAnsi="Times New Roman"/>
                <w:szCs w:val="21"/>
              </w:rPr>
              <w:t>建8000m</w:t>
            </w:r>
            <w:r>
              <w:rPr>
                <w:rFonts w:ascii="Times New Roman" w:hAnsi="Times New Roman"/>
                <w:szCs w:val="21"/>
                <w:vertAlign w:val="superscript"/>
              </w:rPr>
              <w:t>3</w:t>
            </w:r>
            <w:r>
              <w:rPr>
                <w:rFonts w:ascii="Times New Roman" w:hAnsi="Times New Roman"/>
                <w:szCs w:val="21"/>
              </w:rPr>
              <w:t>污水调节池（兼事故池）、5000m</w:t>
            </w:r>
            <w:r>
              <w:rPr>
                <w:rFonts w:ascii="Times New Roman" w:hAnsi="Times New Roman"/>
                <w:szCs w:val="21"/>
                <w:vertAlign w:val="superscript"/>
              </w:rPr>
              <w:t>3</w:t>
            </w:r>
            <w:r>
              <w:rPr>
                <w:rFonts w:ascii="Times New Roman" w:hAnsi="Times New Roman"/>
                <w:szCs w:val="21"/>
              </w:rPr>
              <w:t>事故池、2000m</w:t>
            </w:r>
            <w:r>
              <w:rPr>
                <w:rFonts w:ascii="Times New Roman" w:hAnsi="Times New Roman"/>
                <w:szCs w:val="21"/>
                <w:vertAlign w:val="superscript"/>
              </w:rPr>
              <w:t>3</w:t>
            </w:r>
            <w:r>
              <w:rPr>
                <w:rFonts w:ascii="Times New Roman" w:hAnsi="Times New Roman"/>
                <w:szCs w:val="21"/>
              </w:rPr>
              <w:t>的雨水收集池</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排污口规范化与污染物在线监测</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全厂设一个规范排污口，安装了COD、NH</w:t>
            </w:r>
            <w:r>
              <w:rPr>
                <w:rFonts w:ascii="Times New Roman" w:hAnsi="Times New Roman" w:eastAsiaTheme="minorEastAsia"/>
                <w:szCs w:val="21"/>
                <w:vertAlign w:val="subscript"/>
              </w:rPr>
              <w:t>3</w:t>
            </w:r>
            <w:r>
              <w:rPr>
                <w:rFonts w:ascii="Times New Roman" w:hAnsi="Times New Roman" w:eastAsiaTheme="minorEastAsia"/>
                <w:szCs w:val="21"/>
              </w:rPr>
              <w:t>-N</w:t>
            </w:r>
            <w:r>
              <w:rPr>
                <w:rFonts w:hint="eastAsia" w:ascii="Times New Roman" w:hAnsi="Times New Roman" w:eastAsiaTheme="minorEastAsia"/>
                <w:szCs w:val="21"/>
                <w:lang w:eastAsia="zh-CN"/>
              </w:rPr>
              <w:t>、总氮</w:t>
            </w:r>
            <w:r>
              <w:rPr>
                <w:rFonts w:ascii="Times New Roman" w:hAnsi="Times New Roman" w:eastAsiaTheme="minorEastAsia"/>
                <w:szCs w:val="21"/>
              </w:rPr>
              <w:t>在线监测并联网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5.2</w:t>
            </w:r>
          </w:p>
        </w:tc>
        <w:tc>
          <w:tcPr>
            <w:tcW w:w="190" w:type="pct"/>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废气治理设施</w:t>
            </w: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锅炉烟气</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超低排放改造后，采用低氮燃烧+SNCR系统进行脱硝处理，之后进入电袋复合除尘系统进行除尘，最终进入脱硫除尘一体化系统对烟气中的SO</w:t>
            </w:r>
            <w:r>
              <w:rPr>
                <w:rFonts w:ascii="Times New Roman" w:hAnsi="Times New Roman" w:eastAsiaTheme="minorEastAsia"/>
                <w:szCs w:val="21"/>
                <w:vertAlign w:val="subscript"/>
              </w:rPr>
              <w:t>2</w:t>
            </w:r>
            <w:r>
              <w:rPr>
                <w:rFonts w:ascii="Times New Roman" w:hAnsi="Times New Roman" w:eastAsiaTheme="minorEastAsia"/>
                <w:szCs w:val="21"/>
              </w:rPr>
              <w:t>进行氨法脱硫处理，同时进一步对烟气中烟尘进行进一步清除，最后经89m高烟囱排放。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脱硫脱碳富含H</w:t>
            </w:r>
            <w:r>
              <w:rPr>
                <w:rFonts w:ascii="Times New Roman" w:hAnsi="Times New Roman" w:eastAsiaTheme="minorEastAsia"/>
                <w:szCs w:val="21"/>
                <w:vertAlign w:val="subscript"/>
              </w:rPr>
              <w:t>2</w:t>
            </w:r>
            <w:r>
              <w:rPr>
                <w:rFonts w:ascii="Times New Roman" w:hAnsi="Times New Roman" w:eastAsiaTheme="minorEastAsia"/>
                <w:szCs w:val="21"/>
              </w:rPr>
              <w:t>S气</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送硫磺回收装置三级CLAUS回收处理，尾气锅炉焚烧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原料煤制备除尘</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袋式过滤器（效率99.99%）收尘处理+100m排气筒排放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甲醇弛放气</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送燃料管网作煤粉干燥燃料气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锅炉烟气自动连续监测系统</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安装符合相关要求的烟气排放连续监测装置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煤场</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干煤棚式全封闭煤库</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5.3</w:t>
            </w:r>
          </w:p>
        </w:tc>
        <w:tc>
          <w:tcPr>
            <w:tcW w:w="190" w:type="pct"/>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固废处置措施</w:t>
            </w: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除灰系统</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气力输灰、设置灰库（400m</w:t>
            </w:r>
            <w:r>
              <w:rPr>
                <w:rFonts w:ascii="Times New Roman" w:hAnsi="Times New Roman" w:eastAsiaTheme="minorEastAsia"/>
                <w:szCs w:val="21"/>
                <w:vertAlign w:val="superscript"/>
              </w:rPr>
              <w:t>3</w:t>
            </w: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事故灰渣场</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设置了符合国家标准要求的事故灰渣场（10万m</w:t>
            </w:r>
            <w:r>
              <w:rPr>
                <w:rFonts w:ascii="Times New Roman" w:hAnsi="Times New Roman" w:eastAsiaTheme="minorEastAsia"/>
                <w:szCs w:val="21"/>
                <w:vertAlign w:val="superscript"/>
              </w:rPr>
              <w:t>2</w:t>
            </w: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危险废物暂存间</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设置符合国家标准要求的危险废物暂存场（20m</w:t>
            </w:r>
            <w:r>
              <w:rPr>
                <w:rFonts w:ascii="Times New Roman" w:hAnsi="Times New Roman" w:eastAsiaTheme="minorEastAsia"/>
                <w:szCs w:val="21"/>
                <w:vertAlign w:val="superscript"/>
              </w:rPr>
              <w:t>2</w:t>
            </w: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含氰污泥</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设置临时堆放场，</w:t>
            </w:r>
            <w:r>
              <w:rPr>
                <w:rFonts w:hint="eastAsia" w:ascii="Times New Roman" w:hAnsi="Times New Roman" w:eastAsiaTheme="minorEastAsia"/>
                <w:szCs w:val="21"/>
              </w:rPr>
              <w:t>送厂区锅炉焚烧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杂醇油</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80</w:t>
            </w:r>
            <w:r>
              <w:rPr>
                <w:rFonts w:hint="eastAsia" w:ascii="Times New Roman" w:hAnsi="Times New Roman" w:eastAsiaTheme="minorEastAsia"/>
                <w:szCs w:val="21"/>
                <w:lang w:val="en-US" w:eastAsia="zh-CN"/>
              </w:rPr>
              <w:t>0</w:t>
            </w:r>
            <w:r>
              <w:rPr>
                <w:rFonts w:ascii="Times New Roman" w:hAnsi="Times New Roman" w:eastAsiaTheme="minorEastAsia"/>
                <w:szCs w:val="21"/>
              </w:rPr>
              <w:t>m</w:t>
            </w:r>
            <w:r>
              <w:rPr>
                <w:rFonts w:ascii="Times New Roman" w:hAnsi="Times New Roman" w:eastAsiaTheme="minorEastAsia"/>
                <w:szCs w:val="21"/>
                <w:vertAlign w:val="superscript"/>
              </w:rPr>
              <w:t>3</w:t>
            </w:r>
            <w:r>
              <w:rPr>
                <w:rFonts w:ascii="Times New Roman" w:hAnsi="Times New Roman" w:eastAsiaTheme="minorEastAsia"/>
                <w:szCs w:val="21"/>
              </w:rPr>
              <w:t>的醇油储罐，送锅炉焚烧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Merge w:val="continue"/>
            <w:vAlign w:val="center"/>
          </w:tcPr>
          <w:p>
            <w:pPr>
              <w:jc w:val="center"/>
              <w:rPr>
                <w:rFonts w:ascii="Times New Roman" w:hAnsi="Times New Roman" w:eastAsiaTheme="minorEastAsia"/>
                <w:szCs w:val="21"/>
              </w:rPr>
            </w:pPr>
          </w:p>
        </w:tc>
        <w:tc>
          <w:tcPr>
            <w:tcW w:w="190" w:type="pct"/>
            <w:vMerge w:val="continue"/>
            <w:shd w:val="clear" w:color="auto" w:fill="auto"/>
            <w:vAlign w:val="center"/>
          </w:tcPr>
          <w:p>
            <w:pPr>
              <w:jc w:val="center"/>
              <w:rPr>
                <w:rFonts w:ascii="Times New Roman" w:hAnsi="Times New Roman" w:eastAsiaTheme="minorEastAsia"/>
                <w:szCs w:val="21"/>
              </w:rPr>
            </w:pPr>
          </w:p>
        </w:tc>
        <w:tc>
          <w:tcPr>
            <w:tcW w:w="890"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生化污泥</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5.4</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噪声治理</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选用了低噪声设备，较强噪声声源采取消声措施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30" w:type="pct"/>
            <w:vMerge w:val="continue"/>
            <w:vAlign w:val="center"/>
          </w:tcPr>
          <w:p>
            <w:pPr>
              <w:jc w:val="center"/>
              <w:rPr>
                <w:rFonts w:ascii="Times New Roman" w:hAnsi="Times New Roman" w:eastAsiaTheme="minorEastAsia"/>
                <w:szCs w:val="21"/>
              </w:rPr>
            </w:pPr>
          </w:p>
        </w:tc>
        <w:tc>
          <w:tcPr>
            <w:tcW w:w="453" w:type="pct"/>
            <w:vAlign w:val="center"/>
          </w:tcPr>
          <w:p>
            <w:pPr>
              <w:jc w:val="center"/>
              <w:rPr>
                <w:rFonts w:ascii="Times New Roman" w:hAnsi="Times New Roman" w:eastAsiaTheme="minorEastAsia"/>
                <w:szCs w:val="21"/>
              </w:rPr>
            </w:pPr>
            <w:r>
              <w:rPr>
                <w:rFonts w:ascii="Times New Roman" w:hAnsi="Times New Roman" w:eastAsiaTheme="minorEastAsia"/>
                <w:szCs w:val="21"/>
              </w:rPr>
              <w:t>5.5</w:t>
            </w:r>
          </w:p>
        </w:tc>
        <w:tc>
          <w:tcPr>
            <w:tcW w:w="1080" w:type="pct"/>
            <w:gridSpan w:val="2"/>
            <w:vAlign w:val="center"/>
          </w:tcPr>
          <w:p>
            <w:pPr>
              <w:jc w:val="center"/>
              <w:rPr>
                <w:rFonts w:ascii="Times New Roman" w:hAnsi="Times New Roman" w:eastAsiaTheme="minorEastAsia"/>
                <w:szCs w:val="21"/>
              </w:rPr>
            </w:pPr>
            <w:r>
              <w:rPr>
                <w:rFonts w:ascii="Times New Roman" w:hAnsi="Times New Roman" w:eastAsiaTheme="minorEastAsia"/>
                <w:szCs w:val="21"/>
              </w:rPr>
              <w:t>监测站</w:t>
            </w:r>
          </w:p>
        </w:tc>
        <w:tc>
          <w:tcPr>
            <w:tcW w:w="2837" w:type="pct"/>
            <w:vAlign w:val="center"/>
          </w:tcPr>
          <w:p>
            <w:pPr>
              <w:rPr>
                <w:rFonts w:ascii="Times New Roman" w:hAnsi="Times New Roman" w:eastAsiaTheme="minorEastAsia"/>
                <w:szCs w:val="21"/>
              </w:rPr>
            </w:pPr>
            <w:r>
              <w:rPr>
                <w:rFonts w:ascii="Times New Roman" w:hAnsi="Times New Roman" w:eastAsiaTheme="minorEastAsia"/>
                <w:szCs w:val="21"/>
              </w:rPr>
              <w:t>设置了三级环境监测站</w:t>
            </w:r>
          </w:p>
        </w:tc>
      </w:tr>
    </w:tbl>
    <w:p>
      <w:pPr>
        <w:pStyle w:val="32"/>
        <w:ind w:left="851" w:firstLine="0" w:firstLineChars="0"/>
      </w:pPr>
    </w:p>
    <w:p>
      <w:pPr>
        <w:pStyle w:val="32"/>
        <w:ind w:left="851" w:firstLine="0" w:firstLineChars="0"/>
      </w:pPr>
      <w:r>
        <w:t>表3.1-3         30万t/a甲醇装置能源消耗情况一览表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49"/>
        <w:gridCol w:w="874"/>
        <w:gridCol w:w="620"/>
        <w:gridCol w:w="1253"/>
        <w:gridCol w:w="496"/>
        <w:gridCol w:w="676"/>
        <w:gridCol w:w="716"/>
        <w:gridCol w:w="961"/>
        <w:gridCol w:w="963"/>
        <w:gridCol w:w="779"/>
        <w:gridCol w:w="102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3" w:hRule="atLeast"/>
          <w:jc w:val="center"/>
        </w:trPr>
        <w:tc>
          <w:tcPr>
            <w:tcW w:w="360" w:type="pct"/>
            <w:vAlign w:val="center"/>
          </w:tcPr>
          <w:p>
            <w:pPr>
              <w:spacing w:line="360" w:lineRule="exact"/>
              <w:jc w:val="center"/>
              <w:rPr>
                <w:rFonts w:ascii="Times New Roman" w:hAnsi="Times New Roman" w:eastAsiaTheme="minorEastAsia"/>
                <w:b/>
                <w:szCs w:val="21"/>
              </w:rPr>
            </w:pPr>
            <w:r>
              <w:rPr>
                <w:rFonts w:ascii="Times New Roman" w:hAnsi="Times New Roman" w:eastAsiaTheme="minorEastAsia"/>
                <w:b/>
                <w:szCs w:val="21"/>
              </w:rPr>
              <w:t>序号</w:t>
            </w:r>
          </w:p>
        </w:tc>
        <w:tc>
          <w:tcPr>
            <w:tcW w:w="485" w:type="pct"/>
            <w:vAlign w:val="center"/>
          </w:tcPr>
          <w:p>
            <w:pPr>
              <w:spacing w:line="360" w:lineRule="exact"/>
              <w:jc w:val="center"/>
              <w:rPr>
                <w:rFonts w:ascii="Times New Roman" w:hAnsi="Times New Roman" w:eastAsiaTheme="minorEastAsia"/>
                <w:b/>
                <w:szCs w:val="21"/>
              </w:rPr>
            </w:pPr>
            <w:r>
              <w:rPr>
                <w:rFonts w:ascii="Times New Roman" w:hAnsi="Times New Roman" w:eastAsiaTheme="minorEastAsia"/>
                <w:b/>
                <w:szCs w:val="21"/>
              </w:rPr>
              <w:t>项目</w:t>
            </w:r>
          </w:p>
        </w:tc>
        <w:tc>
          <w:tcPr>
            <w:tcW w:w="344" w:type="pct"/>
            <w:vAlign w:val="center"/>
          </w:tcPr>
          <w:p>
            <w:pPr>
              <w:spacing w:line="360" w:lineRule="exact"/>
              <w:jc w:val="center"/>
              <w:rPr>
                <w:rFonts w:ascii="Times New Roman" w:hAnsi="Times New Roman" w:eastAsiaTheme="minorEastAsia"/>
                <w:b/>
                <w:szCs w:val="21"/>
              </w:rPr>
            </w:pPr>
            <w:r>
              <w:rPr>
                <w:rFonts w:ascii="Times New Roman" w:hAnsi="Times New Roman" w:eastAsiaTheme="minorEastAsia"/>
                <w:b/>
                <w:szCs w:val="21"/>
              </w:rPr>
              <w:t>单位</w:t>
            </w:r>
          </w:p>
        </w:tc>
        <w:tc>
          <w:tcPr>
            <w:tcW w:w="695" w:type="pct"/>
            <w:vAlign w:val="center"/>
          </w:tcPr>
          <w:p>
            <w:pPr>
              <w:spacing w:line="360" w:lineRule="exact"/>
              <w:jc w:val="center"/>
              <w:rPr>
                <w:rFonts w:ascii="Times New Roman" w:hAnsi="Times New Roman" w:eastAsiaTheme="minorEastAsia"/>
                <w:b/>
                <w:szCs w:val="21"/>
              </w:rPr>
            </w:pPr>
            <w:r>
              <w:rPr>
                <w:rFonts w:ascii="Times New Roman" w:hAnsi="Times New Roman" w:eastAsiaTheme="minorEastAsia"/>
                <w:b/>
                <w:szCs w:val="21"/>
              </w:rPr>
              <w:t>消耗量</w:t>
            </w:r>
          </w:p>
        </w:tc>
        <w:tc>
          <w:tcPr>
            <w:tcW w:w="3116" w:type="pct"/>
            <w:gridSpan w:val="7"/>
            <w:vAlign w:val="center"/>
          </w:tcPr>
          <w:p>
            <w:pPr>
              <w:spacing w:line="360" w:lineRule="exact"/>
              <w:jc w:val="center"/>
              <w:rPr>
                <w:rFonts w:ascii="Times New Roman" w:hAnsi="Times New Roman" w:eastAsiaTheme="minorEastAsia"/>
                <w:b/>
                <w:szCs w:val="21"/>
              </w:rPr>
            </w:pPr>
            <w:r>
              <w:rPr>
                <w:rFonts w:ascii="Times New Roman" w:hAnsi="Times New Roman" w:eastAsiaTheme="minorEastAsia"/>
                <w:b/>
                <w:szCs w:val="21"/>
              </w:rPr>
              <w:t>备    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0"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1</w:t>
            </w:r>
          </w:p>
        </w:tc>
        <w:tc>
          <w:tcPr>
            <w:tcW w:w="48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原料煤</w:t>
            </w:r>
          </w:p>
        </w:tc>
        <w:tc>
          <w:tcPr>
            <w:tcW w:w="344"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t/a</w:t>
            </w:r>
          </w:p>
        </w:tc>
        <w:tc>
          <w:tcPr>
            <w:tcW w:w="69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66.0×10</w:t>
            </w:r>
            <w:r>
              <w:rPr>
                <w:rFonts w:ascii="Times New Roman" w:hAnsi="Times New Roman" w:eastAsiaTheme="minorEastAsia"/>
                <w:szCs w:val="21"/>
                <w:vertAlign w:val="superscript"/>
              </w:rPr>
              <w:t>4</w:t>
            </w:r>
          </w:p>
        </w:tc>
        <w:tc>
          <w:tcPr>
            <w:tcW w:w="3116" w:type="pct"/>
            <w:gridSpan w:val="7"/>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鹤壁煤</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0"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2</w:t>
            </w:r>
          </w:p>
        </w:tc>
        <w:tc>
          <w:tcPr>
            <w:tcW w:w="48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一次水</w:t>
            </w:r>
          </w:p>
        </w:tc>
        <w:tc>
          <w:tcPr>
            <w:tcW w:w="344"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m³/a</w:t>
            </w:r>
          </w:p>
        </w:tc>
        <w:tc>
          <w:tcPr>
            <w:tcW w:w="69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626×10</w:t>
            </w:r>
            <w:r>
              <w:rPr>
                <w:rFonts w:ascii="Times New Roman" w:hAnsi="Times New Roman" w:eastAsiaTheme="minorEastAsia"/>
                <w:szCs w:val="21"/>
                <w:vertAlign w:val="superscript"/>
              </w:rPr>
              <w:t>4</w:t>
            </w:r>
          </w:p>
        </w:tc>
        <w:tc>
          <w:tcPr>
            <w:tcW w:w="3116" w:type="pct"/>
            <w:gridSpan w:val="7"/>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市政管网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3" w:hRule="atLeast"/>
          <w:jc w:val="center"/>
        </w:trPr>
        <w:tc>
          <w:tcPr>
            <w:tcW w:w="360"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3</w:t>
            </w:r>
          </w:p>
        </w:tc>
        <w:tc>
          <w:tcPr>
            <w:tcW w:w="48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电</w:t>
            </w:r>
          </w:p>
        </w:tc>
        <w:tc>
          <w:tcPr>
            <w:tcW w:w="344"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kWh</w:t>
            </w:r>
          </w:p>
        </w:tc>
        <w:tc>
          <w:tcPr>
            <w:tcW w:w="69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7079×10</w:t>
            </w:r>
            <w:r>
              <w:rPr>
                <w:rFonts w:ascii="Times New Roman" w:hAnsi="Times New Roman" w:eastAsiaTheme="minorEastAsia"/>
                <w:szCs w:val="21"/>
                <w:vertAlign w:val="superscript"/>
              </w:rPr>
              <w:t>4</w:t>
            </w:r>
          </w:p>
        </w:tc>
        <w:tc>
          <w:tcPr>
            <w:tcW w:w="3116" w:type="pct"/>
            <w:gridSpan w:val="7"/>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外部电网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0"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4</w:t>
            </w:r>
          </w:p>
        </w:tc>
        <w:tc>
          <w:tcPr>
            <w:tcW w:w="48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循环水</w:t>
            </w:r>
          </w:p>
        </w:tc>
        <w:tc>
          <w:tcPr>
            <w:tcW w:w="344"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m³/a</w:t>
            </w:r>
          </w:p>
        </w:tc>
        <w:tc>
          <w:tcPr>
            <w:tcW w:w="69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22768×10</w:t>
            </w:r>
            <w:r>
              <w:rPr>
                <w:rFonts w:ascii="Times New Roman" w:hAnsi="Times New Roman" w:eastAsiaTheme="minorEastAsia"/>
                <w:szCs w:val="21"/>
                <w:vertAlign w:val="superscript"/>
              </w:rPr>
              <w:t>4</w:t>
            </w:r>
          </w:p>
        </w:tc>
        <w:tc>
          <w:tcPr>
            <w:tcW w:w="3116" w:type="pct"/>
            <w:gridSpan w:val="7"/>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自建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2" w:hRule="atLeast"/>
          <w:jc w:val="center"/>
        </w:trPr>
        <w:tc>
          <w:tcPr>
            <w:tcW w:w="360" w:type="pct"/>
            <w:vMerge w:val="restar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5</w:t>
            </w:r>
          </w:p>
        </w:tc>
        <w:tc>
          <w:tcPr>
            <w:tcW w:w="485" w:type="pct"/>
            <w:vMerge w:val="restar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燃料煤</w:t>
            </w:r>
          </w:p>
        </w:tc>
        <w:tc>
          <w:tcPr>
            <w:tcW w:w="344" w:type="pct"/>
            <w:vMerge w:val="restar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t/a</w:t>
            </w:r>
          </w:p>
        </w:tc>
        <w:tc>
          <w:tcPr>
            <w:tcW w:w="695" w:type="pct"/>
            <w:vMerge w:val="restar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26.74×10</w:t>
            </w:r>
            <w:r>
              <w:rPr>
                <w:rFonts w:ascii="Times New Roman" w:hAnsi="Times New Roman" w:eastAsiaTheme="minorEastAsia"/>
                <w:szCs w:val="21"/>
                <w:vertAlign w:val="superscript"/>
              </w:rPr>
              <w:t>4</w:t>
            </w:r>
          </w:p>
        </w:tc>
        <w:tc>
          <w:tcPr>
            <w:tcW w:w="275" w:type="pct"/>
            <w:vMerge w:val="restar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煤质分析</w:t>
            </w:r>
          </w:p>
        </w:tc>
        <w:tc>
          <w:tcPr>
            <w:tcW w:w="375"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水分</w:t>
            </w:r>
          </w:p>
        </w:tc>
        <w:tc>
          <w:tcPr>
            <w:tcW w:w="397"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灰份</w:t>
            </w:r>
          </w:p>
        </w:tc>
        <w:tc>
          <w:tcPr>
            <w:tcW w:w="533"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挥发份</w:t>
            </w:r>
          </w:p>
        </w:tc>
        <w:tc>
          <w:tcPr>
            <w:tcW w:w="534"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固定碳</w:t>
            </w:r>
          </w:p>
        </w:tc>
        <w:tc>
          <w:tcPr>
            <w:tcW w:w="432"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全硫</w:t>
            </w:r>
          </w:p>
        </w:tc>
        <w:tc>
          <w:tcPr>
            <w:tcW w:w="570" w:type="pct"/>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热值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9" w:hRule="atLeast"/>
          <w:jc w:val="center"/>
        </w:trPr>
        <w:tc>
          <w:tcPr>
            <w:tcW w:w="360" w:type="pct"/>
            <w:vMerge w:val="continue"/>
            <w:vAlign w:val="center"/>
          </w:tcPr>
          <w:p>
            <w:pPr>
              <w:spacing w:line="360" w:lineRule="exact"/>
              <w:jc w:val="center"/>
              <w:rPr>
                <w:rFonts w:ascii="Times New Roman" w:hAnsi="Times New Roman" w:eastAsiaTheme="minorEastAsia"/>
                <w:szCs w:val="21"/>
              </w:rPr>
            </w:pPr>
          </w:p>
        </w:tc>
        <w:tc>
          <w:tcPr>
            <w:tcW w:w="485" w:type="pct"/>
            <w:vMerge w:val="continue"/>
            <w:vAlign w:val="center"/>
          </w:tcPr>
          <w:p>
            <w:pPr>
              <w:spacing w:line="360" w:lineRule="exact"/>
              <w:jc w:val="center"/>
              <w:rPr>
                <w:rFonts w:ascii="Times New Roman" w:hAnsi="Times New Roman" w:eastAsiaTheme="minorEastAsia"/>
                <w:szCs w:val="21"/>
              </w:rPr>
            </w:pPr>
          </w:p>
        </w:tc>
        <w:tc>
          <w:tcPr>
            <w:tcW w:w="344" w:type="pct"/>
            <w:vMerge w:val="continue"/>
            <w:vAlign w:val="center"/>
          </w:tcPr>
          <w:p>
            <w:pPr>
              <w:spacing w:line="360" w:lineRule="exact"/>
              <w:jc w:val="center"/>
              <w:rPr>
                <w:rFonts w:ascii="Times New Roman" w:hAnsi="Times New Roman" w:eastAsiaTheme="minorEastAsia"/>
                <w:szCs w:val="21"/>
              </w:rPr>
            </w:pPr>
          </w:p>
        </w:tc>
        <w:tc>
          <w:tcPr>
            <w:tcW w:w="695" w:type="pct"/>
            <w:vMerge w:val="continue"/>
            <w:vAlign w:val="center"/>
          </w:tcPr>
          <w:p>
            <w:pPr>
              <w:spacing w:line="360" w:lineRule="exact"/>
              <w:jc w:val="center"/>
              <w:rPr>
                <w:rFonts w:ascii="Times New Roman" w:hAnsi="Times New Roman" w:eastAsiaTheme="minorEastAsia"/>
                <w:szCs w:val="21"/>
              </w:rPr>
            </w:pPr>
          </w:p>
        </w:tc>
        <w:tc>
          <w:tcPr>
            <w:tcW w:w="275" w:type="pct"/>
            <w:vMerge w:val="continue"/>
            <w:vAlign w:val="center"/>
          </w:tcPr>
          <w:p>
            <w:pPr>
              <w:spacing w:line="360" w:lineRule="exact"/>
              <w:jc w:val="center"/>
              <w:rPr>
                <w:rFonts w:ascii="Times New Roman" w:hAnsi="Times New Roman" w:eastAsiaTheme="minorEastAsia"/>
                <w:szCs w:val="21"/>
              </w:rPr>
            </w:pPr>
          </w:p>
        </w:tc>
        <w:tc>
          <w:tcPr>
            <w:tcW w:w="375"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7.6%</w:t>
            </w:r>
          </w:p>
        </w:tc>
        <w:tc>
          <w:tcPr>
            <w:tcW w:w="397"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24.18%</w:t>
            </w:r>
          </w:p>
        </w:tc>
        <w:tc>
          <w:tcPr>
            <w:tcW w:w="533"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11.90%</w:t>
            </w:r>
          </w:p>
        </w:tc>
        <w:tc>
          <w:tcPr>
            <w:tcW w:w="534"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56.32%</w:t>
            </w:r>
          </w:p>
        </w:tc>
        <w:tc>
          <w:tcPr>
            <w:tcW w:w="432"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0.49%</w:t>
            </w:r>
          </w:p>
        </w:tc>
        <w:tc>
          <w:tcPr>
            <w:tcW w:w="570" w:type="pct"/>
            <w:vAlign w:val="center"/>
          </w:tcPr>
          <w:p>
            <w:pPr>
              <w:spacing w:line="360" w:lineRule="exact"/>
              <w:jc w:val="center"/>
              <w:rPr>
                <w:rFonts w:ascii="Times New Roman" w:hAnsi="Times New Roman" w:eastAsiaTheme="minorEastAsia"/>
                <w:szCs w:val="21"/>
              </w:rPr>
            </w:pPr>
            <w:r>
              <w:rPr>
                <w:rFonts w:ascii="Times New Roman" w:hAnsi="Times New Roman" w:eastAsiaTheme="minorEastAsia"/>
                <w:szCs w:val="21"/>
              </w:rPr>
              <w:t>22860kj/kg</w:t>
            </w:r>
          </w:p>
        </w:tc>
      </w:tr>
    </w:tbl>
    <w:p>
      <w:pPr>
        <w:pStyle w:val="33"/>
        <w:adjustRightInd w:val="0"/>
        <w:snapToGrid w:val="0"/>
      </w:pPr>
      <w:bookmarkStart w:id="47" w:name="_Toc270867081"/>
      <w:bookmarkStart w:id="48" w:name="_Toc270585265"/>
      <w:r>
        <w:t>3.1.2.2  生产工艺</w:t>
      </w:r>
      <w:bookmarkEnd w:id="47"/>
      <w:bookmarkEnd w:id="48"/>
    </w:p>
    <w:p>
      <w:pPr>
        <w:pStyle w:val="18"/>
        <w:spacing w:line="520" w:lineRule="exact"/>
        <w:ind w:firstLine="482"/>
        <w:rPr>
          <w:rFonts w:ascii="Times New Roman" w:hAnsi="Times New Roman" w:eastAsiaTheme="minorEastAsia"/>
          <w:sz w:val="28"/>
          <w:szCs w:val="28"/>
        </w:rPr>
      </w:pPr>
      <w:r>
        <w:rPr>
          <w:rFonts w:ascii="Times New Roman" w:hAnsi="Times New Roman" w:eastAsiaTheme="minorEastAsia"/>
          <w:sz w:val="28"/>
          <w:szCs w:val="28"/>
        </w:rPr>
        <w:t>30万t/a甲醇项目生产工艺如下：原料煤经制粉干燥后，在壳牌气化炉中生成粗煤气，经降温、除尘后进行CO变换，变换后，用低温甲醇洗涤去除原料其中的硫化物和CO</w:t>
      </w:r>
      <w:r>
        <w:rPr>
          <w:rFonts w:ascii="Times New Roman" w:hAnsi="Times New Roman" w:eastAsiaTheme="minorEastAsia"/>
          <w:sz w:val="28"/>
          <w:szCs w:val="28"/>
          <w:vertAlign w:val="subscript"/>
        </w:rPr>
        <w:t>2</w:t>
      </w:r>
      <w:r>
        <w:rPr>
          <w:rFonts w:ascii="Times New Roman" w:hAnsi="Times New Roman" w:eastAsiaTheme="minorEastAsia"/>
          <w:sz w:val="28"/>
          <w:szCs w:val="28"/>
        </w:rPr>
        <w:t>。洗涤后的CO和H</w:t>
      </w:r>
      <w:r>
        <w:rPr>
          <w:rFonts w:ascii="Times New Roman" w:hAnsi="Times New Roman" w:eastAsiaTheme="minorEastAsia"/>
          <w:sz w:val="28"/>
          <w:szCs w:val="28"/>
          <w:vertAlign w:val="subscript"/>
        </w:rPr>
        <w:t>2</w:t>
      </w:r>
      <w:r>
        <w:rPr>
          <w:rFonts w:ascii="Times New Roman" w:hAnsi="Times New Roman" w:eastAsiaTheme="minorEastAsia"/>
          <w:sz w:val="28"/>
          <w:szCs w:val="28"/>
        </w:rPr>
        <w:t>经压缩后合成甲醇，经冷凝、精馏后得到产品甲醇。低温甲醇洗去除的H</w:t>
      </w:r>
      <w:r>
        <w:rPr>
          <w:rFonts w:ascii="Times New Roman" w:hAnsi="Times New Roman" w:eastAsiaTheme="minorEastAsia"/>
          <w:sz w:val="28"/>
          <w:szCs w:val="28"/>
          <w:vertAlign w:val="subscript"/>
        </w:rPr>
        <w:t>2</w:t>
      </w:r>
      <w:r>
        <w:rPr>
          <w:rFonts w:ascii="Times New Roman" w:hAnsi="Times New Roman" w:eastAsiaTheme="minorEastAsia"/>
          <w:sz w:val="28"/>
          <w:szCs w:val="28"/>
        </w:rPr>
        <w:t>S送硫回收装置回收硫磺，脱除的CO</w:t>
      </w:r>
      <w:r>
        <w:rPr>
          <w:rFonts w:ascii="Times New Roman" w:hAnsi="Times New Roman" w:eastAsiaTheme="minorEastAsia"/>
          <w:sz w:val="28"/>
          <w:szCs w:val="28"/>
          <w:vertAlign w:val="subscript"/>
        </w:rPr>
        <w:t>2</w:t>
      </w:r>
      <w:r>
        <w:rPr>
          <w:rFonts w:ascii="Times New Roman" w:hAnsi="Times New Roman" w:eastAsiaTheme="minorEastAsia"/>
          <w:sz w:val="28"/>
          <w:szCs w:val="28"/>
        </w:rPr>
        <w:t>加压后用煤气化工序煤粉输送。该项目生产过程可划分为煤气化、变换、酸性气体脱除、压缩合成、甲醇精馏和硫回收6个工序。其工艺流程示意图可见图3.1-1，物料平衡见表3.1-4。</w:t>
      </w:r>
    </w:p>
    <w:p>
      <w:pPr>
        <w:pStyle w:val="18"/>
        <w:spacing w:line="480" w:lineRule="exact"/>
        <w:ind w:firstLine="480"/>
        <w:rPr>
          <w:rFonts w:ascii="Times New Roman" w:hAnsi="Times New Roman"/>
        </w:rPr>
      </w:pPr>
      <w:r>
        <w:rPr>
          <w:rFonts w:ascii="Times New Roman" w:hAnsi="Times New Roman"/>
        </w:rPr>
        <w:pict>
          <v:group id="_x0000_s1028" o:spid="_x0000_s1028" o:spt="203" style="position:absolute;left:0pt;margin-left:11.25pt;margin-top:7.85pt;height:147.3pt;width:436.25pt;z-index:251661312;mso-width-relative:page;mso-height-relative:page;" coordorigin="1513,12401" coordsize="8725,2946">
            <o:lock v:ext="edit"/>
            <v:shape id="_x0000_s1029" o:spid="_x0000_s1029" o:spt="75" type="#_x0000_t75" style="position:absolute;left:1513;top:12401;height:2881;width:8725;" o:ole="t" filled="f" o:preferrelative="t" stroked="f" coordsize="21600,21600">
              <v:path/>
              <v:fill on="f" focussize="0,0"/>
              <v:stroke on="f" joinstyle="miter"/>
              <v:imagedata r:id="rId31" o:title=""/>
              <o:lock v:ext="edit" aspectratio="t"/>
            </v:shape>
            <v:shape id="_x0000_s1030" o:spid="_x0000_s1030" o:spt="202" type="#_x0000_t202" style="position:absolute;left:2773;top:14879;height:468;width:6120;" filled="f" stroked="f" coordsize="21600,21600">
              <v:path/>
              <v:fill on="f" focussize="0,0"/>
              <v:stroke on="f" joinstyle="miter"/>
              <v:imagedata o:title=""/>
              <o:lock v:ext="edit"/>
              <v:textbox inset="2.54mm,0mm,2.54mm,1.27mm">
                <w:txbxContent>
                  <w:p>
                    <w:pPr>
                      <w:spacing w:line="340" w:lineRule="exact"/>
                      <w:jc w:val="center"/>
                      <w:rPr>
                        <w:rFonts w:ascii="Times New Roman" w:hAnsi="Times New Roman" w:eastAsiaTheme="minorEastAsia"/>
                        <w:b/>
                        <w:sz w:val="24"/>
                        <w:szCs w:val="24"/>
                      </w:rPr>
                    </w:pPr>
                    <w:r>
                      <w:rPr>
                        <w:rFonts w:ascii="Times New Roman" w:hAnsi="Times New Roman" w:eastAsiaTheme="minorEastAsia"/>
                        <w:b/>
                        <w:sz w:val="24"/>
                        <w:szCs w:val="24"/>
                      </w:rPr>
                      <w:t>图3.</w:t>
                    </w:r>
                    <w:r>
                      <w:rPr>
                        <w:rFonts w:hint="eastAsia" w:ascii="Times New Roman" w:hAnsi="Times New Roman" w:eastAsiaTheme="minorEastAsia"/>
                        <w:b/>
                        <w:sz w:val="24"/>
                        <w:szCs w:val="24"/>
                      </w:rPr>
                      <w:t>1</w:t>
                    </w:r>
                    <w:r>
                      <w:rPr>
                        <w:rFonts w:ascii="Times New Roman" w:hAnsi="Times New Roman" w:eastAsiaTheme="minorEastAsia"/>
                        <w:b/>
                        <w:sz w:val="24"/>
                        <w:szCs w:val="24"/>
                      </w:rPr>
                      <w:t>-1   30万t/a甲醇项目生产工艺流程示意图</w:t>
                    </w:r>
                  </w:p>
                </w:txbxContent>
              </v:textbox>
            </v:shape>
          </v:group>
          <o:OLEObject Type="Embed" ProgID="Visio.Drawing.11" ShapeID="_x0000_s1029" DrawAspect="Content" ObjectID="_1468075727" r:id="rId30">
            <o:LockedField>false</o:LockedField>
          </o:OLEObject>
        </w:pict>
      </w:r>
    </w:p>
    <w:p>
      <w:pPr>
        <w:pStyle w:val="18"/>
        <w:spacing w:line="480" w:lineRule="exact"/>
        <w:ind w:firstLine="480"/>
        <w:rPr>
          <w:rFonts w:ascii="Times New Roman" w:hAnsi="Times New Roman"/>
        </w:rPr>
      </w:pPr>
    </w:p>
    <w:p>
      <w:pPr>
        <w:pStyle w:val="18"/>
        <w:spacing w:line="480" w:lineRule="exact"/>
        <w:ind w:firstLine="480"/>
        <w:rPr>
          <w:rFonts w:ascii="Times New Roman" w:hAnsi="Times New Roman"/>
        </w:rPr>
      </w:pPr>
    </w:p>
    <w:p>
      <w:pPr>
        <w:pStyle w:val="18"/>
        <w:spacing w:line="480" w:lineRule="exact"/>
        <w:ind w:firstLine="480"/>
        <w:rPr>
          <w:rFonts w:ascii="Times New Roman" w:hAnsi="Times New Roman"/>
        </w:rPr>
      </w:pPr>
    </w:p>
    <w:p>
      <w:pPr>
        <w:pStyle w:val="32"/>
        <w:ind w:left="851" w:firstLine="0" w:firstLineChars="0"/>
      </w:pPr>
    </w:p>
    <w:p>
      <w:pPr>
        <w:pStyle w:val="32"/>
        <w:ind w:left="851" w:firstLine="0" w:firstLineChars="0"/>
      </w:pPr>
      <w:r>
        <w:t>表3.1-4            30万t/a甲醇项目物料平衡表</w:t>
      </w:r>
    </w:p>
    <w:tbl>
      <w:tblPr>
        <w:tblStyle w:val="21"/>
        <w:tblW w:w="0" w:type="auto"/>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080"/>
        <w:gridCol w:w="1081"/>
        <w:gridCol w:w="1080"/>
        <w:gridCol w:w="1081"/>
        <w:gridCol w:w="1080"/>
        <w:gridCol w:w="1081"/>
        <w:gridCol w:w="108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物流号</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2</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5</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物料组成</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V%</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H</w:t>
            </w:r>
            <w:r>
              <w:rPr>
                <w:rFonts w:ascii="Times New Roman" w:hAnsi="Times New Roman" w:eastAsiaTheme="minorEastAsia"/>
                <w:szCs w:val="21"/>
                <w:vertAlign w:val="subscript"/>
              </w:rPr>
              <w:t>2</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22.53</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44.56</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61.26</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67.98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N</w:t>
            </w:r>
            <w:r>
              <w:rPr>
                <w:rFonts w:ascii="Times New Roman" w:hAnsi="Times New Roman" w:eastAsiaTheme="minorEastAsia"/>
                <w:szCs w:val="21"/>
                <w:vertAlign w:val="subscript"/>
              </w:rPr>
              <w:t>2</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0.15</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1.60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1.14</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5.00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CO</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66.23</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18.96</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30.40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20.27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Ar</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0.25</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0.08</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0.06</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0.05</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0.28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CH</w:t>
            </w:r>
            <w:r>
              <w:rPr>
                <w:rFonts w:ascii="Times New Roman" w:hAnsi="Times New Roman" w:eastAsiaTheme="minorEastAsia"/>
                <w:szCs w:val="21"/>
                <w:vertAlign w:val="subscript"/>
              </w:rPr>
              <w:t>4</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0.01</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0.01</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0.15</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0.04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CO</w:t>
            </w:r>
            <w:r>
              <w:rPr>
                <w:rFonts w:ascii="Times New Roman" w:hAnsi="Times New Roman" w:eastAsiaTheme="minorEastAsia"/>
                <w:szCs w:val="21"/>
                <w:vertAlign w:val="subscript"/>
              </w:rPr>
              <w:t>2</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9.36</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35.13</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3.14</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5.27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H</w:t>
            </w:r>
            <w:r>
              <w:rPr>
                <w:rFonts w:ascii="Times New Roman" w:hAnsi="Times New Roman" w:eastAsiaTheme="minorEastAsia"/>
                <w:szCs w:val="21"/>
                <w:vertAlign w:val="subscript"/>
              </w:rPr>
              <w:t>2</w:t>
            </w:r>
            <w:r>
              <w:rPr>
                <w:rFonts w:ascii="Times New Roman" w:hAnsi="Times New Roman" w:eastAsiaTheme="minorEastAsia"/>
                <w:szCs w:val="21"/>
              </w:rPr>
              <w:t>S</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0.19</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0.14</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O</w:t>
            </w:r>
            <w:r>
              <w:rPr>
                <w:rFonts w:ascii="Times New Roman" w:hAnsi="Times New Roman" w:eastAsiaTheme="minorEastAsia"/>
                <w:szCs w:val="21"/>
                <w:vertAlign w:val="subscript"/>
              </w:rPr>
              <w:t>2</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99.60</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流量 Nm</w:t>
            </w:r>
            <w:r>
              <w:rPr>
                <w:rFonts w:ascii="Times New Roman" w:hAnsi="Times New Roman" w:eastAsiaTheme="minorEastAsia"/>
                <w:szCs w:val="21"/>
                <w:vertAlign w:val="superscript"/>
              </w:rPr>
              <w:t>3</w:t>
            </w:r>
            <w:r>
              <w:rPr>
                <w:rFonts w:ascii="Times New Roman" w:hAnsi="Times New Roman" w:eastAsiaTheme="minorEastAsia"/>
                <w:szCs w:val="21"/>
              </w:rPr>
              <w:t>/h</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2000t/d</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41427</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154789</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172779</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114279</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37.91t/h</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31144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 xml:space="preserve">温度 </w:t>
            </w:r>
            <w:r>
              <w:rPr>
                <w:rFonts w:ascii="Times New Roman" w:hAnsi="Times New Roman"/>
                <w:szCs w:val="21"/>
              </w:rPr>
              <w:t>℃</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40</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160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40</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40</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6"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压力 Mpa</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6.0</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3.8</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3.65</w:t>
            </w:r>
          </w:p>
        </w:tc>
        <w:tc>
          <w:tcPr>
            <w:tcW w:w="1080"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3.4</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0.4</w:t>
            </w:r>
          </w:p>
        </w:tc>
        <w:tc>
          <w:tcPr>
            <w:tcW w:w="1081" w:type="dxa"/>
            <w:shd w:val="clear" w:color="auto" w:fill="auto"/>
            <w:vAlign w:val="center"/>
          </w:tcPr>
          <w:p>
            <w:pPr>
              <w:pStyle w:val="18"/>
              <w:spacing w:after="0" w:line="240" w:lineRule="auto"/>
              <w:jc w:val="center"/>
              <w:rPr>
                <w:rFonts w:ascii="Times New Roman" w:hAnsi="Times New Roman" w:eastAsiaTheme="minorEastAsia"/>
                <w:szCs w:val="21"/>
              </w:rPr>
            </w:pPr>
            <w:r>
              <w:rPr>
                <w:rFonts w:ascii="Times New Roman" w:hAnsi="Times New Roman" w:eastAsiaTheme="minorEastAsia"/>
                <w:szCs w:val="21"/>
              </w:rPr>
              <w:t>6.0</w:t>
            </w:r>
          </w:p>
        </w:tc>
      </w:tr>
    </w:tbl>
    <w:p>
      <w:pPr>
        <w:pStyle w:val="33"/>
        <w:adjustRightInd w:val="0"/>
        <w:snapToGrid w:val="0"/>
      </w:pPr>
      <w:bookmarkStart w:id="49" w:name="_Toc270585267"/>
      <w:bookmarkStart w:id="50" w:name="_Toc270867083"/>
      <w:r>
        <w:t>3.1.2.3  产污环节及污染防治措施</w:t>
      </w:r>
    </w:p>
    <w:bookmarkEnd w:id="49"/>
    <w:bookmarkEnd w:id="50"/>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（1）在线监控设施建设情况</w:t>
      </w:r>
    </w:p>
    <w:p>
      <w:pPr>
        <w:pStyle w:val="27"/>
        <w:ind w:firstLine="560"/>
        <w:rPr>
          <w:rFonts w:eastAsiaTheme="minorEastAsia"/>
          <w:szCs w:val="28"/>
        </w:rPr>
      </w:pPr>
      <w:r>
        <w:rPr>
          <w:rFonts w:eastAsiaTheme="minorEastAsia"/>
          <w:szCs w:val="28"/>
        </w:rPr>
        <w:t>甲醇项目目前废气设置4套在线监控设施，分别是低温甲醇洗排放口1套（非甲烷总烃）、厂界2套（非甲烷总烃）及锅炉排放口1套（流量、颗粒物、二氧化硫、氮氧化物、逃逸氨）；厂总排放口设置废水在线监测设备1套（流量、COD、NH</w:t>
      </w:r>
      <w:r>
        <w:rPr>
          <w:rFonts w:eastAsiaTheme="minorEastAsia"/>
          <w:szCs w:val="28"/>
          <w:vertAlign w:val="subscript"/>
        </w:rPr>
        <w:t>3</w:t>
      </w:r>
      <w:r>
        <w:rPr>
          <w:rFonts w:eastAsiaTheme="minorEastAsia"/>
          <w:szCs w:val="28"/>
        </w:rPr>
        <w:t>-N）。</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（2）产污环节及治理措施</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根据项目生产工艺及厂区排污许可，</w:t>
      </w:r>
      <w:r>
        <w:rPr>
          <w:rFonts w:ascii="Times New Roman" w:hAnsi="Times New Roman" w:eastAsiaTheme="minorEastAsia"/>
          <w:sz w:val="28"/>
          <w:szCs w:val="28"/>
        </w:rPr>
        <w:t>中原大化30万吨/年甲醇项目主要产污环节及治理措施可见表3.1-5。</w:t>
      </w:r>
    </w:p>
    <w:p>
      <w:pPr>
        <w:pStyle w:val="32"/>
        <w:ind w:left="851" w:firstLine="0" w:firstLineChars="0"/>
      </w:pPr>
      <w:r>
        <w:t>表3.1-5     30万t/a甲醇项目主要产污环节及治理措施一览表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014"/>
        <w:gridCol w:w="2127"/>
        <w:gridCol w:w="2552"/>
        <w:gridCol w:w="29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512" w:type="dxa"/>
            <w:vAlign w:val="center"/>
          </w:tcPr>
          <w:p>
            <w:pPr>
              <w:snapToGrid w:val="0"/>
              <w:rPr>
                <w:rFonts w:ascii="Times New Roman" w:hAnsi="Times New Roman" w:eastAsiaTheme="minorEastAsia"/>
                <w:b/>
                <w:bCs/>
                <w:szCs w:val="21"/>
              </w:rPr>
            </w:pPr>
            <w:r>
              <w:rPr>
                <w:rFonts w:ascii="Times New Roman" w:hAnsi="Times New Roman" w:eastAsiaTheme="minorEastAsia"/>
                <w:b/>
                <w:bCs/>
                <w:szCs w:val="21"/>
              </w:rPr>
              <w:t>类别</w:t>
            </w:r>
          </w:p>
        </w:tc>
        <w:tc>
          <w:tcPr>
            <w:tcW w:w="1014" w:type="dxa"/>
            <w:vAlign w:val="center"/>
          </w:tcPr>
          <w:p>
            <w:pPr>
              <w:snapToGrid w:val="0"/>
              <w:rPr>
                <w:rFonts w:ascii="Times New Roman" w:hAnsi="Times New Roman" w:eastAsiaTheme="minorEastAsia"/>
                <w:b/>
                <w:bCs/>
                <w:szCs w:val="21"/>
              </w:rPr>
            </w:pPr>
            <w:r>
              <w:rPr>
                <w:rFonts w:ascii="Times New Roman" w:hAnsi="Times New Roman" w:eastAsiaTheme="minorEastAsia"/>
                <w:b/>
                <w:bCs/>
                <w:szCs w:val="21"/>
              </w:rPr>
              <w:t>编号</w:t>
            </w:r>
          </w:p>
        </w:tc>
        <w:tc>
          <w:tcPr>
            <w:tcW w:w="2127" w:type="dxa"/>
            <w:vAlign w:val="center"/>
          </w:tcPr>
          <w:p>
            <w:pPr>
              <w:snapToGrid w:val="0"/>
              <w:jc w:val="center"/>
              <w:rPr>
                <w:rFonts w:ascii="Times New Roman" w:hAnsi="Times New Roman" w:eastAsiaTheme="minorEastAsia"/>
                <w:b/>
                <w:bCs/>
                <w:szCs w:val="21"/>
              </w:rPr>
            </w:pPr>
            <w:r>
              <w:rPr>
                <w:rFonts w:ascii="Times New Roman" w:hAnsi="Times New Roman" w:eastAsiaTheme="minorEastAsia"/>
                <w:b/>
                <w:bCs/>
                <w:szCs w:val="21"/>
              </w:rPr>
              <w:t>产污环节</w:t>
            </w:r>
          </w:p>
        </w:tc>
        <w:tc>
          <w:tcPr>
            <w:tcW w:w="2552" w:type="dxa"/>
            <w:vAlign w:val="center"/>
          </w:tcPr>
          <w:p>
            <w:pPr>
              <w:snapToGrid w:val="0"/>
              <w:jc w:val="center"/>
              <w:rPr>
                <w:rFonts w:ascii="Times New Roman" w:hAnsi="Times New Roman" w:eastAsiaTheme="minorEastAsia"/>
                <w:b/>
                <w:bCs/>
                <w:szCs w:val="21"/>
              </w:rPr>
            </w:pPr>
            <w:r>
              <w:rPr>
                <w:rFonts w:ascii="Times New Roman" w:hAnsi="Times New Roman" w:eastAsiaTheme="minorEastAsia"/>
                <w:b/>
                <w:bCs/>
                <w:szCs w:val="21"/>
              </w:rPr>
              <w:t>主要污染因子</w:t>
            </w:r>
          </w:p>
        </w:tc>
        <w:tc>
          <w:tcPr>
            <w:tcW w:w="2970" w:type="dxa"/>
            <w:vAlign w:val="center"/>
          </w:tcPr>
          <w:p>
            <w:pPr>
              <w:snapToGrid w:val="0"/>
              <w:jc w:val="center"/>
              <w:rPr>
                <w:rFonts w:ascii="Times New Roman" w:hAnsi="Times New Roman" w:eastAsiaTheme="minorEastAsia"/>
                <w:b/>
                <w:bCs/>
                <w:szCs w:val="21"/>
              </w:rPr>
            </w:pPr>
            <w:r>
              <w:rPr>
                <w:rFonts w:ascii="Times New Roman" w:hAnsi="Times New Roman" w:eastAsiaTheme="minorEastAsia"/>
                <w:b/>
                <w:bCs/>
                <w:szCs w:val="21"/>
              </w:rPr>
              <w:t>处理措施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restart"/>
            <w:vAlign w:val="center"/>
          </w:tcPr>
          <w:p>
            <w:pPr>
              <w:snapToGrid w:val="0"/>
              <w:rPr>
                <w:rFonts w:ascii="Times New Roman" w:hAnsi="Times New Roman" w:eastAsiaTheme="minorEastAsia"/>
                <w:szCs w:val="21"/>
              </w:rPr>
            </w:pPr>
            <w:r>
              <w:rPr>
                <w:rFonts w:ascii="Times New Roman" w:hAnsi="Times New Roman" w:eastAsiaTheme="minorEastAsia"/>
                <w:szCs w:val="21"/>
              </w:rPr>
              <w:t>废气</w:t>
            </w: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DA001</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备煤系统废气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w:t>
            </w:r>
            <w:r>
              <w:rPr>
                <w:rFonts w:hint="eastAsia" w:ascii="Times New Roman" w:hAnsi="Times New Roman" w:eastAsiaTheme="minorEastAsia"/>
                <w:szCs w:val="21"/>
              </w:rPr>
              <w:t>2</w:t>
            </w:r>
          </w:p>
        </w:tc>
        <w:tc>
          <w:tcPr>
            <w:tcW w:w="2127"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流化床锅炉烟气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烟尘、SO</w:t>
            </w:r>
            <w:r>
              <w:rPr>
                <w:rFonts w:ascii="Times New Roman" w:hAnsi="Times New Roman" w:eastAsiaTheme="minorEastAsia"/>
                <w:szCs w:val="21"/>
                <w:vertAlign w:val="subscript"/>
              </w:rPr>
              <w:t>2</w:t>
            </w:r>
            <w:r>
              <w:rPr>
                <w:rFonts w:ascii="Times New Roman" w:hAnsi="Times New Roman" w:eastAsiaTheme="minorEastAsia"/>
                <w:szCs w:val="21"/>
              </w:rPr>
              <w:t>、NO</w:t>
            </w:r>
            <w:r>
              <w:rPr>
                <w:rFonts w:ascii="Times New Roman" w:hAnsi="Times New Roman" w:eastAsiaTheme="minorEastAsia"/>
                <w:szCs w:val="21"/>
                <w:vertAlign w:val="subscript"/>
              </w:rPr>
              <w:t>X</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zCs w:val="21"/>
              </w:rPr>
              <w:t>低氮燃烧+SNCR脱硝</w:t>
            </w:r>
            <w:r>
              <w:rPr>
                <w:rFonts w:ascii="Times New Roman" w:hAnsi="Times New Roman" w:eastAsiaTheme="minorEastAsia"/>
                <w:snapToGrid w:val="0"/>
                <w:szCs w:val="21"/>
              </w:rPr>
              <w:t>+</w:t>
            </w:r>
            <w:r>
              <w:rPr>
                <w:rFonts w:ascii="Times New Roman" w:hAnsi="Times New Roman" w:eastAsiaTheme="minorEastAsia"/>
                <w:szCs w:val="21"/>
              </w:rPr>
              <w:t>电袋复合除尘系统+脱硫除尘一体化系统+89m</w:t>
            </w:r>
            <w:r>
              <w:rPr>
                <w:rFonts w:ascii="Times New Roman" w:hAnsi="Times New Roman" w:eastAsiaTheme="minorEastAsia"/>
                <w:snapToGrid w:val="0"/>
                <w:szCs w:val="21"/>
              </w:rPr>
              <w:t>烟囱</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DA003</w:t>
            </w:r>
          </w:p>
        </w:tc>
        <w:tc>
          <w:tcPr>
            <w:tcW w:w="2127"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火炬燃烧烟气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SO</w:t>
            </w:r>
            <w:r>
              <w:rPr>
                <w:rFonts w:ascii="Times New Roman" w:hAnsi="Times New Roman" w:eastAsiaTheme="minorEastAsia"/>
                <w:szCs w:val="21"/>
                <w:vertAlign w:val="subscript"/>
              </w:rPr>
              <w:t>2</w:t>
            </w:r>
            <w:r>
              <w:rPr>
                <w:rFonts w:ascii="Times New Roman" w:hAnsi="Times New Roman" w:eastAsiaTheme="minorEastAsia"/>
                <w:szCs w:val="21"/>
              </w:rPr>
              <w:t>、NO</w:t>
            </w:r>
            <w:r>
              <w:rPr>
                <w:rFonts w:ascii="Times New Roman" w:hAnsi="Times New Roman" w:eastAsiaTheme="minorEastAsia"/>
                <w:szCs w:val="21"/>
                <w:vertAlign w:val="subscript"/>
              </w:rPr>
              <w:t>X</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高空排放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DA004</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污水处理站废气</w:t>
            </w:r>
          </w:p>
        </w:tc>
        <w:tc>
          <w:tcPr>
            <w:tcW w:w="2552"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氨、</w:t>
            </w:r>
            <w:r>
              <w:rPr>
                <w:rFonts w:ascii="Times New Roman" w:hAnsi="Times New Roman" w:eastAsiaTheme="minorEastAsia"/>
                <w:szCs w:val="21"/>
              </w:rPr>
              <w:t>H</w:t>
            </w:r>
            <w:r>
              <w:rPr>
                <w:rFonts w:ascii="Times New Roman" w:hAnsi="Times New Roman" w:eastAsiaTheme="minorEastAsia"/>
                <w:szCs w:val="21"/>
                <w:vertAlign w:val="subscript"/>
              </w:rPr>
              <w:t>2</w:t>
            </w:r>
            <w:r>
              <w:rPr>
                <w:rFonts w:ascii="Times New Roman" w:hAnsi="Times New Roman" w:eastAsiaTheme="minorEastAsia"/>
                <w:szCs w:val="21"/>
              </w:rPr>
              <w:t>S、非甲烷总烃</w:t>
            </w:r>
          </w:p>
        </w:tc>
        <w:tc>
          <w:tcPr>
            <w:tcW w:w="2970"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碱洗+低温等离子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DA005</w:t>
            </w:r>
          </w:p>
        </w:tc>
        <w:tc>
          <w:tcPr>
            <w:tcW w:w="2127"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低温甲醇洗放空气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H</w:t>
            </w:r>
            <w:r>
              <w:rPr>
                <w:rFonts w:ascii="Times New Roman" w:hAnsi="Times New Roman" w:eastAsiaTheme="minorEastAsia"/>
                <w:szCs w:val="21"/>
                <w:vertAlign w:val="subscript"/>
              </w:rPr>
              <w:t>2</w:t>
            </w:r>
            <w:r>
              <w:rPr>
                <w:rFonts w:ascii="Times New Roman" w:hAnsi="Times New Roman" w:eastAsiaTheme="minorEastAsia"/>
                <w:szCs w:val="21"/>
              </w:rPr>
              <w:t>S、甲醇、非甲烷总烃</w:t>
            </w:r>
          </w:p>
        </w:tc>
        <w:tc>
          <w:tcPr>
            <w:tcW w:w="2970" w:type="dxa"/>
            <w:vAlign w:val="center"/>
          </w:tcPr>
          <w:p>
            <w:pPr>
              <w:jc w:val="center"/>
              <w:rPr>
                <w:rFonts w:ascii="Times New Roman" w:hAnsi="Times New Roman" w:eastAsiaTheme="minorEastAsia"/>
                <w:snapToGrid w:val="0"/>
                <w:szCs w:val="21"/>
              </w:rPr>
            </w:pPr>
            <w:r>
              <w:rPr>
                <w:rFonts w:ascii="Times New Roman" w:hAnsi="Times New Roman"/>
                <w:snapToGrid w:val="0"/>
                <w:szCs w:val="21"/>
              </w:rPr>
              <w:t>脱盐水</w:t>
            </w:r>
            <w:r>
              <w:rPr>
                <w:rFonts w:hint="eastAsia" w:ascii="Times New Roman" w:hAnsi="Times New Roman"/>
                <w:snapToGrid w:val="0"/>
                <w:szCs w:val="21"/>
              </w:rPr>
              <w:t>洗涤</w:t>
            </w:r>
            <w:r>
              <w:rPr>
                <w:rFonts w:ascii="Times New Roman" w:hAnsi="Times New Roman"/>
                <w:snapToGrid w:val="0"/>
                <w:szCs w:val="21"/>
              </w:rPr>
              <w:t>后排放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DA006</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磨前煤仓</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仓顶设袋式除尘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DA007</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磨前煤仓</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仓顶设袋式除尘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DA008</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磨煤干燥（热风炉）废气</w:t>
            </w:r>
          </w:p>
        </w:tc>
        <w:tc>
          <w:tcPr>
            <w:tcW w:w="2552"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颗粒物</w:t>
            </w:r>
            <w:r>
              <w:rPr>
                <w:rFonts w:ascii="Times New Roman" w:hAnsi="Times New Roman" w:eastAsiaTheme="minorEastAsia"/>
                <w:szCs w:val="21"/>
              </w:rPr>
              <w:t>、SO</w:t>
            </w:r>
            <w:r>
              <w:rPr>
                <w:rFonts w:ascii="Times New Roman" w:hAnsi="Times New Roman" w:eastAsiaTheme="minorEastAsia"/>
                <w:szCs w:val="21"/>
                <w:vertAlign w:val="subscript"/>
              </w:rPr>
              <w:t>2</w:t>
            </w:r>
            <w:r>
              <w:rPr>
                <w:rFonts w:ascii="Times New Roman" w:hAnsi="Times New Roman" w:eastAsiaTheme="minorEastAsia"/>
                <w:szCs w:val="21"/>
              </w:rPr>
              <w:t>、NO</w:t>
            </w:r>
            <w:r>
              <w:rPr>
                <w:rFonts w:ascii="Times New Roman" w:hAnsi="Times New Roman" w:eastAsiaTheme="minorEastAsia"/>
                <w:szCs w:val="21"/>
                <w:vertAlign w:val="subscript"/>
              </w:rPr>
              <w:t>X</w:t>
            </w:r>
          </w:p>
        </w:tc>
        <w:tc>
          <w:tcPr>
            <w:tcW w:w="2970"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袋式除尘器、低氮燃烧器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DA009</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输煤系统转运站废气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DA010</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磨煤干燥（热风炉）废气</w:t>
            </w:r>
          </w:p>
        </w:tc>
        <w:tc>
          <w:tcPr>
            <w:tcW w:w="2552"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颗粒物</w:t>
            </w:r>
            <w:r>
              <w:rPr>
                <w:rFonts w:ascii="Times New Roman" w:hAnsi="Times New Roman" w:eastAsiaTheme="minorEastAsia"/>
                <w:szCs w:val="21"/>
              </w:rPr>
              <w:t>、SO</w:t>
            </w:r>
            <w:r>
              <w:rPr>
                <w:rFonts w:ascii="Times New Roman" w:hAnsi="Times New Roman" w:eastAsiaTheme="minorEastAsia"/>
                <w:szCs w:val="21"/>
                <w:vertAlign w:val="subscript"/>
              </w:rPr>
              <w:t>2</w:t>
            </w:r>
            <w:r>
              <w:rPr>
                <w:rFonts w:ascii="Times New Roman" w:hAnsi="Times New Roman" w:eastAsiaTheme="minorEastAsia"/>
                <w:szCs w:val="21"/>
              </w:rPr>
              <w:t>、NO</w:t>
            </w:r>
            <w:r>
              <w:rPr>
                <w:rFonts w:ascii="Times New Roman" w:hAnsi="Times New Roman" w:eastAsiaTheme="minorEastAsia"/>
                <w:szCs w:val="21"/>
                <w:vertAlign w:val="subscript"/>
              </w:rPr>
              <w:t>X</w:t>
            </w:r>
          </w:p>
        </w:tc>
        <w:tc>
          <w:tcPr>
            <w:tcW w:w="2970"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袋式除尘器、低氮燃烧器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DA011</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粉煤仓泄压排放气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DA012</w:t>
            </w:r>
          </w:p>
        </w:tc>
        <w:tc>
          <w:tcPr>
            <w:tcW w:w="2127" w:type="dxa"/>
            <w:vAlign w:val="center"/>
          </w:tcPr>
          <w:p>
            <w:pPr>
              <w:jc w:val="center"/>
              <w:rPr>
                <w:rFonts w:ascii="Times New Roman" w:hAnsi="Times New Roman" w:eastAsiaTheme="minorEastAsia"/>
                <w:snapToGrid w:val="0"/>
                <w:szCs w:val="21"/>
              </w:rPr>
            </w:pPr>
            <w:r>
              <w:rPr>
                <w:rFonts w:hint="eastAsia" w:ascii="Times New Roman" w:hAnsi="Times New Roman" w:eastAsiaTheme="minorEastAsia"/>
                <w:snapToGrid w:val="0"/>
                <w:szCs w:val="21"/>
              </w:rPr>
              <w:t>粉煤仓泄压排放气</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粉尘</w:t>
            </w:r>
          </w:p>
        </w:tc>
        <w:tc>
          <w:tcPr>
            <w:tcW w:w="2970" w:type="dxa"/>
            <w:vAlign w:val="center"/>
          </w:tcPr>
          <w:p>
            <w:pPr>
              <w:jc w:val="center"/>
              <w:rPr>
                <w:rFonts w:ascii="Times New Roman" w:hAnsi="Times New Roman" w:eastAsiaTheme="minorEastAsia"/>
                <w:snapToGrid w:val="0"/>
                <w:szCs w:val="21"/>
              </w:rPr>
            </w:pPr>
            <w:r>
              <w:rPr>
                <w:rFonts w:ascii="Times New Roman" w:hAnsi="Times New Roman" w:eastAsiaTheme="minorEastAsia"/>
                <w:snapToGrid w:val="0"/>
                <w:szCs w:val="21"/>
              </w:rPr>
              <w:t>袋式除尘</w:t>
            </w:r>
            <w:r>
              <w:rPr>
                <w:rFonts w:hint="eastAsia" w:ascii="Times New Roman" w:hAnsi="Times New Roman" w:eastAsiaTheme="minorEastAsia"/>
                <w:snapToGrid w:val="0"/>
                <w:szCs w:val="21"/>
              </w:rPr>
              <w:t>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restart"/>
            <w:vAlign w:val="center"/>
          </w:tcPr>
          <w:p>
            <w:pPr>
              <w:snapToGrid w:val="0"/>
              <w:rPr>
                <w:rFonts w:ascii="Times New Roman" w:hAnsi="Times New Roman" w:eastAsiaTheme="minorEastAsia"/>
                <w:szCs w:val="21"/>
              </w:rPr>
            </w:pPr>
            <w:r>
              <w:rPr>
                <w:rFonts w:ascii="Times New Roman" w:hAnsi="Times New Roman" w:eastAsiaTheme="minorEastAsia"/>
                <w:szCs w:val="21"/>
              </w:rPr>
              <w:t>废水</w:t>
            </w: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W1</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煤气化</w:t>
            </w:r>
          </w:p>
        </w:tc>
        <w:tc>
          <w:tcPr>
            <w:tcW w:w="2552" w:type="dxa"/>
            <w:vAlign w:val="center"/>
          </w:tcPr>
          <w:p>
            <w:pPr>
              <w:jc w:val="center"/>
              <w:rPr>
                <w:rFonts w:ascii="Times New Roman" w:hAnsi="Times New Roman" w:eastAsiaTheme="minorEastAsia"/>
                <w:snapToGrid w:val="0"/>
                <w:szCs w:val="21"/>
              </w:rPr>
            </w:pPr>
            <w:r>
              <w:rPr>
                <w:rFonts w:ascii="Times New Roman" w:hAnsi="Times New Roman" w:eastAsiaTheme="minorEastAsia"/>
                <w:szCs w:val="21"/>
              </w:rPr>
              <w:t>pH、COD、NH</w:t>
            </w:r>
            <w:r>
              <w:rPr>
                <w:rFonts w:ascii="Times New Roman" w:hAnsi="Times New Roman" w:eastAsiaTheme="minorEastAsia"/>
                <w:szCs w:val="21"/>
                <w:vertAlign w:val="subscript"/>
              </w:rPr>
              <w:t>3</w:t>
            </w:r>
            <w:r>
              <w:rPr>
                <w:rFonts w:ascii="Times New Roman" w:hAnsi="Times New Roman" w:eastAsiaTheme="minorEastAsia"/>
                <w:szCs w:val="21"/>
              </w:rPr>
              <w:t>-N</w:t>
            </w:r>
          </w:p>
        </w:tc>
        <w:tc>
          <w:tcPr>
            <w:tcW w:w="2970" w:type="dxa"/>
            <w:vMerge w:val="restart"/>
            <w:vAlign w:val="center"/>
          </w:tcPr>
          <w:p>
            <w:pPr>
              <w:snapToGrid w:val="0"/>
              <w:ind w:left="-101" w:leftChars="-48"/>
              <w:jc w:val="left"/>
              <w:rPr>
                <w:rFonts w:ascii="Times New Roman" w:hAnsi="Times New Roman" w:eastAsiaTheme="minorEastAsia"/>
                <w:szCs w:val="21"/>
              </w:rPr>
            </w:pPr>
            <w:r>
              <w:rPr>
                <w:rFonts w:ascii="Times New Roman" w:hAnsi="Times New Roman" w:eastAsiaTheme="minorEastAsia"/>
                <w:szCs w:val="21"/>
              </w:rPr>
              <w:t>自建污水处理站处理，原设计采用预处理+SBR生化处理，污水处理站提标扩能改造后采用IC+HBF+二级AO+砂滤+超滤+反渗透处理中水回用系统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W2</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酸性气体脱除</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SS、COD、Pb</w:t>
            </w:r>
          </w:p>
        </w:tc>
        <w:tc>
          <w:tcPr>
            <w:tcW w:w="2970" w:type="dxa"/>
            <w:vMerge w:val="continue"/>
            <w:vAlign w:val="center"/>
          </w:tcPr>
          <w:p>
            <w:pPr>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W3</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甲醇合成含油污水</w:t>
            </w:r>
          </w:p>
        </w:tc>
        <w:tc>
          <w:tcPr>
            <w:tcW w:w="255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COD、NH</w:t>
            </w:r>
            <w:r>
              <w:rPr>
                <w:rFonts w:ascii="Times New Roman" w:hAnsi="Times New Roman" w:eastAsiaTheme="minorEastAsia"/>
                <w:szCs w:val="21"/>
                <w:vertAlign w:val="subscript"/>
              </w:rPr>
              <w:t>3</w:t>
            </w:r>
            <w:r>
              <w:rPr>
                <w:rFonts w:ascii="Times New Roman" w:hAnsi="Times New Roman" w:eastAsiaTheme="minorEastAsia"/>
                <w:szCs w:val="21"/>
              </w:rPr>
              <w:t>-N、SS</w:t>
            </w:r>
          </w:p>
        </w:tc>
        <w:tc>
          <w:tcPr>
            <w:tcW w:w="2970" w:type="dxa"/>
            <w:vMerge w:val="continue"/>
            <w:vAlign w:val="center"/>
          </w:tcPr>
          <w:p>
            <w:pPr>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W4</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甲醇精馏废水</w:t>
            </w:r>
          </w:p>
        </w:tc>
        <w:tc>
          <w:tcPr>
            <w:tcW w:w="2552"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Ag</w:t>
            </w:r>
          </w:p>
        </w:tc>
        <w:tc>
          <w:tcPr>
            <w:tcW w:w="2970" w:type="dxa"/>
            <w:vMerge w:val="continue"/>
            <w:vAlign w:val="center"/>
          </w:tcPr>
          <w:p>
            <w:pPr>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W5</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地坪冲洗及生活污水</w:t>
            </w:r>
          </w:p>
        </w:tc>
        <w:tc>
          <w:tcPr>
            <w:tcW w:w="2552"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pH、Au</w:t>
            </w:r>
          </w:p>
        </w:tc>
        <w:tc>
          <w:tcPr>
            <w:tcW w:w="2970" w:type="dxa"/>
            <w:vMerge w:val="continue"/>
            <w:vAlign w:val="center"/>
          </w:tcPr>
          <w:p>
            <w:pPr>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W6</w:t>
            </w:r>
          </w:p>
        </w:tc>
        <w:tc>
          <w:tcPr>
            <w:tcW w:w="2127"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清净下水</w:t>
            </w:r>
          </w:p>
        </w:tc>
        <w:tc>
          <w:tcPr>
            <w:tcW w:w="2552"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pH</w:t>
            </w:r>
          </w:p>
        </w:tc>
        <w:tc>
          <w:tcPr>
            <w:tcW w:w="2970"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直接排放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restart"/>
            <w:vAlign w:val="center"/>
          </w:tcPr>
          <w:p>
            <w:pPr>
              <w:snapToGrid w:val="0"/>
              <w:rPr>
                <w:rFonts w:ascii="Times New Roman" w:hAnsi="Times New Roman" w:eastAsiaTheme="minorEastAsia"/>
                <w:szCs w:val="21"/>
              </w:rPr>
            </w:pPr>
            <w:r>
              <w:rPr>
                <w:rFonts w:ascii="Times New Roman" w:hAnsi="Times New Roman" w:eastAsiaTheme="minorEastAsia"/>
                <w:szCs w:val="21"/>
              </w:rPr>
              <w:t>噪声</w:t>
            </w: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N1</w:t>
            </w:r>
          </w:p>
        </w:tc>
        <w:tc>
          <w:tcPr>
            <w:tcW w:w="2127" w:type="dxa"/>
            <w:vAlign w:val="center"/>
          </w:tcPr>
          <w:p>
            <w:pPr>
              <w:pStyle w:val="38"/>
              <w:spacing w:line="240" w:lineRule="auto"/>
              <w:rPr>
                <w:rFonts w:eastAsiaTheme="minorEastAsia"/>
                <w:szCs w:val="21"/>
              </w:rPr>
            </w:pPr>
            <w:r>
              <w:rPr>
                <w:rFonts w:eastAsiaTheme="minorEastAsia"/>
                <w:szCs w:val="21"/>
              </w:rPr>
              <w:t>磨煤机</w:t>
            </w:r>
          </w:p>
        </w:tc>
        <w:tc>
          <w:tcPr>
            <w:tcW w:w="2552" w:type="dxa"/>
            <w:vMerge w:val="restart"/>
            <w:vAlign w:val="center"/>
          </w:tcPr>
          <w:p>
            <w:pPr>
              <w:pStyle w:val="38"/>
              <w:spacing w:line="240" w:lineRule="auto"/>
              <w:rPr>
                <w:rFonts w:eastAsiaTheme="minorEastAsia"/>
                <w:szCs w:val="21"/>
              </w:rPr>
            </w:pPr>
            <w:r>
              <w:rPr>
                <w:rFonts w:eastAsiaTheme="minorEastAsia"/>
                <w:szCs w:val="21"/>
              </w:rPr>
              <w:t>噪声</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基础减震、厂房隔声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N2</w:t>
            </w:r>
          </w:p>
        </w:tc>
        <w:tc>
          <w:tcPr>
            <w:tcW w:w="2127" w:type="dxa"/>
            <w:vAlign w:val="center"/>
          </w:tcPr>
          <w:p>
            <w:pPr>
              <w:pStyle w:val="38"/>
              <w:spacing w:line="240" w:lineRule="auto"/>
              <w:rPr>
                <w:rFonts w:eastAsiaTheme="minorEastAsia"/>
                <w:szCs w:val="21"/>
              </w:rPr>
            </w:pPr>
            <w:r>
              <w:rPr>
                <w:rFonts w:eastAsiaTheme="minorEastAsia"/>
                <w:szCs w:val="21"/>
              </w:rPr>
              <w:t>各类泵</w:t>
            </w:r>
          </w:p>
        </w:tc>
        <w:tc>
          <w:tcPr>
            <w:tcW w:w="2552" w:type="dxa"/>
            <w:vMerge w:val="continue"/>
            <w:vAlign w:val="center"/>
          </w:tcPr>
          <w:p>
            <w:pPr>
              <w:pStyle w:val="38"/>
              <w:spacing w:line="240" w:lineRule="auto"/>
              <w:jc w:val="left"/>
              <w:rPr>
                <w:rFonts w:eastAsiaTheme="minorEastAsia"/>
                <w:szCs w:val="21"/>
              </w:rPr>
            </w:pP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基础减震、厂房隔声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N3</w:t>
            </w:r>
          </w:p>
        </w:tc>
        <w:tc>
          <w:tcPr>
            <w:tcW w:w="2127" w:type="dxa"/>
            <w:vAlign w:val="center"/>
          </w:tcPr>
          <w:p>
            <w:pPr>
              <w:pStyle w:val="38"/>
              <w:spacing w:line="240" w:lineRule="auto"/>
              <w:rPr>
                <w:rFonts w:eastAsiaTheme="minorEastAsia"/>
                <w:szCs w:val="21"/>
              </w:rPr>
            </w:pPr>
            <w:r>
              <w:rPr>
                <w:rFonts w:eastAsiaTheme="minorEastAsia"/>
                <w:szCs w:val="21"/>
              </w:rPr>
              <w:t>压缩机</w:t>
            </w:r>
          </w:p>
        </w:tc>
        <w:tc>
          <w:tcPr>
            <w:tcW w:w="2552" w:type="dxa"/>
            <w:vMerge w:val="continue"/>
            <w:vAlign w:val="center"/>
          </w:tcPr>
          <w:p>
            <w:pPr>
              <w:pStyle w:val="38"/>
              <w:spacing w:line="240" w:lineRule="auto"/>
              <w:jc w:val="left"/>
              <w:rPr>
                <w:rFonts w:eastAsiaTheme="minorEastAsia"/>
                <w:szCs w:val="21"/>
              </w:rPr>
            </w:pP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基础减震、厂房隔声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N4</w:t>
            </w:r>
          </w:p>
        </w:tc>
        <w:tc>
          <w:tcPr>
            <w:tcW w:w="2127" w:type="dxa"/>
            <w:vAlign w:val="center"/>
          </w:tcPr>
          <w:p>
            <w:pPr>
              <w:pStyle w:val="38"/>
              <w:spacing w:line="240" w:lineRule="auto"/>
              <w:rPr>
                <w:rFonts w:eastAsiaTheme="minorEastAsia"/>
                <w:szCs w:val="21"/>
              </w:rPr>
            </w:pPr>
            <w:r>
              <w:rPr>
                <w:rFonts w:eastAsiaTheme="minorEastAsia"/>
                <w:szCs w:val="21"/>
              </w:rPr>
              <w:t>风机</w:t>
            </w:r>
          </w:p>
        </w:tc>
        <w:tc>
          <w:tcPr>
            <w:tcW w:w="2552" w:type="dxa"/>
            <w:vMerge w:val="continue"/>
            <w:vAlign w:val="center"/>
          </w:tcPr>
          <w:p>
            <w:pPr>
              <w:pStyle w:val="38"/>
              <w:spacing w:line="240" w:lineRule="auto"/>
              <w:jc w:val="left"/>
              <w:rPr>
                <w:rFonts w:eastAsiaTheme="minorEastAsia"/>
                <w:szCs w:val="21"/>
              </w:rPr>
            </w:pPr>
          </w:p>
        </w:tc>
        <w:tc>
          <w:tcPr>
            <w:tcW w:w="2970"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基础减震、消声、隔声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N5</w:t>
            </w:r>
          </w:p>
        </w:tc>
        <w:tc>
          <w:tcPr>
            <w:tcW w:w="2127" w:type="dxa"/>
            <w:vAlign w:val="center"/>
          </w:tcPr>
          <w:p>
            <w:pPr>
              <w:pStyle w:val="38"/>
              <w:spacing w:line="240" w:lineRule="auto"/>
              <w:rPr>
                <w:rFonts w:eastAsiaTheme="minorEastAsia"/>
                <w:szCs w:val="21"/>
              </w:rPr>
            </w:pPr>
            <w:r>
              <w:rPr>
                <w:rFonts w:eastAsiaTheme="minorEastAsia"/>
                <w:szCs w:val="21"/>
              </w:rPr>
              <w:t>循环水站</w:t>
            </w:r>
          </w:p>
        </w:tc>
        <w:tc>
          <w:tcPr>
            <w:tcW w:w="2552" w:type="dxa"/>
            <w:vMerge w:val="continue"/>
            <w:vAlign w:val="center"/>
          </w:tcPr>
          <w:p>
            <w:pPr>
              <w:pStyle w:val="38"/>
              <w:spacing w:line="240" w:lineRule="auto"/>
              <w:jc w:val="left"/>
              <w:rPr>
                <w:rFonts w:eastAsiaTheme="minorEastAsia"/>
                <w:szCs w:val="21"/>
              </w:rPr>
            </w:pPr>
          </w:p>
        </w:tc>
        <w:tc>
          <w:tcPr>
            <w:tcW w:w="2970"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基础减震、厂房隔声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restart"/>
            <w:vAlign w:val="center"/>
          </w:tcPr>
          <w:p>
            <w:pPr>
              <w:snapToGrid w:val="0"/>
              <w:rPr>
                <w:rFonts w:ascii="Times New Roman" w:hAnsi="Times New Roman" w:eastAsiaTheme="minorEastAsia"/>
                <w:szCs w:val="21"/>
              </w:rPr>
            </w:pPr>
            <w:r>
              <w:rPr>
                <w:rFonts w:ascii="Times New Roman" w:hAnsi="Times New Roman" w:eastAsiaTheme="minorEastAsia"/>
                <w:szCs w:val="21"/>
              </w:rPr>
              <w:t>固废</w:t>
            </w: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S1</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煤制粉废渣</w:t>
            </w:r>
          </w:p>
        </w:tc>
        <w:tc>
          <w:tcPr>
            <w:tcW w:w="2552" w:type="dxa"/>
            <w:vAlign w:val="center"/>
          </w:tcPr>
          <w:p>
            <w:pPr>
              <w:jc w:val="center"/>
              <w:rPr>
                <w:rFonts w:ascii="Times New Roman" w:hAnsi="Times New Roman" w:eastAsiaTheme="minorEastAsia"/>
                <w:szCs w:val="21"/>
              </w:rPr>
            </w:pPr>
            <w:r>
              <w:rPr>
                <w:rFonts w:ascii="Times New Roman" w:hAnsi="Times New Roman" w:eastAsiaTheme="minorEastAsia"/>
                <w:szCs w:val="21"/>
              </w:rPr>
              <w:t>石子</w:t>
            </w:r>
          </w:p>
        </w:tc>
        <w:tc>
          <w:tcPr>
            <w:tcW w:w="2970" w:type="dxa"/>
            <w:vMerge w:val="restart"/>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S2</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煤气化飞灰</w:t>
            </w:r>
          </w:p>
        </w:tc>
        <w:tc>
          <w:tcPr>
            <w:tcW w:w="2552" w:type="dxa"/>
            <w:vAlign w:val="center"/>
          </w:tcPr>
          <w:p>
            <w:pPr>
              <w:jc w:val="center"/>
              <w:rPr>
                <w:rFonts w:ascii="Times New Roman" w:hAnsi="Times New Roman" w:eastAsiaTheme="minorEastAsia"/>
                <w:szCs w:val="21"/>
                <w:lang w:val="pt-BR"/>
              </w:rPr>
            </w:pPr>
            <w:r>
              <w:rPr>
                <w:rFonts w:ascii="Times New Roman" w:hAnsi="Times New Roman" w:eastAsiaTheme="minorEastAsia"/>
                <w:szCs w:val="21"/>
                <w:lang w:val="pt-BR"/>
              </w:rPr>
              <w:t>SiO</w:t>
            </w:r>
            <w:r>
              <w:rPr>
                <w:rFonts w:ascii="Times New Roman" w:hAnsi="Times New Roman" w:eastAsiaTheme="minorEastAsia"/>
                <w:szCs w:val="21"/>
                <w:vertAlign w:val="subscript"/>
                <w:lang w:val="pt-BR"/>
              </w:rPr>
              <w:t>2</w:t>
            </w:r>
            <w:r>
              <w:rPr>
                <w:rFonts w:ascii="Times New Roman" w:hAnsi="Times New Roman" w:eastAsiaTheme="minorEastAsia"/>
                <w:szCs w:val="21"/>
              </w:rPr>
              <w:t>、</w:t>
            </w:r>
            <w:r>
              <w:rPr>
                <w:rFonts w:ascii="Times New Roman" w:hAnsi="Times New Roman" w:eastAsiaTheme="minorEastAsia"/>
                <w:szCs w:val="21"/>
                <w:lang w:val="pt-BR"/>
              </w:rPr>
              <w:t>CaO</w:t>
            </w:r>
            <w:r>
              <w:rPr>
                <w:rFonts w:ascii="Times New Roman" w:hAnsi="Times New Roman" w:eastAsiaTheme="minorEastAsia"/>
                <w:szCs w:val="21"/>
              </w:rPr>
              <w:t>、</w:t>
            </w:r>
            <w:r>
              <w:rPr>
                <w:rFonts w:ascii="Times New Roman" w:hAnsi="Times New Roman" w:eastAsiaTheme="minorEastAsia"/>
                <w:szCs w:val="21"/>
                <w:lang w:val="pt-BR"/>
              </w:rPr>
              <w:t>Fe</w:t>
            </w:r>
            <w:r>
              <w:rPr>
                <w:rFonts w:ascii="Times New Roman" w:hAnsi="Times New Roman" w:eastAsiaTheme="minorEastAsia"/>
                <w:szCs w:val="21"/>
                <w:vertAlign w:val="subscript"/>
                <w:lang w:val="pt-BR"/>
              </w:rPr>
              <w:t>2</w:t>
            </w:r>
            <w:r>
              <w:rPr>
                <w:rFonts w:ascii="Times New Roman" w:hAnsi="Times New Roman" w:eastAsiaTheme="minorEastAsia"/>
                <w:szCs w:val="21"/>
                <w:lang w:val="pt-BR"/>
              </w:rPr>
              <w:t>O</w:t>
            </w:r>
            <w:r>
              <w:rPr>
                <w:rFonts w:ascii="Times New Roman" w:hAnsi="Times New Roman" w:eastAsiaTheme="minorEastAsia"/>
                <w:szCs w:val="21"/>
                <w:vertAlign w:val="subscript"/>
                <w:lang w:val="pt-BR"/>
              </w:rPr>
              <w:t>3</w:t>
            </w:r>
            <w:r>
              <w:rPr>
                <w:rFonts w:ascii="Times New Roman" w:hAnsi="Times New Roman" w:eastAsiaTheme="minorEastAsia"/>
                <w:szCs w:val="21"/>
              </w:rPr>
              <w:t>、</w:t>
            </w:r>
            <w:r>
              <w:rPr>
                <w:rFonts w:ascii="Times New Roman" w:hAnsi="Times New Roman" w:eastAsiaTheme="minorEastAsia"/>
                <w:szCs w:val="21"/>
                <w:lang w:val="pt-BR"/>
              </w:rPr>
              <w:t>C</w:t>
            </w:r>
            <w:r>
              <w:rPr>
                <w:rFonts w:ascii="Times New Roman" w:hAnsi="Times New Roman" w:eastAsiaTheme="minorEastAsia"/>
                <w:szCs w:val="21"/>
              </w:rPr>
              <w:t>等</w:t>
            </w:r>
          </w:p>
        </w:tc>
        <w:tc>
          <w:tcPr>
            <w:tcW w:w="2970" w:type="dxa"/>
            <w:vMerge w:val="continue"/>
            <w:vAlign w:val="center"/>
          </w:tcPr>
          <w:p>
            <w:pPr>
              <w:adjustRightInd w:val="0"/>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S3</w:t>
            </w:r>
          </w:p>
        </w:tc>
        <w:tc>
          <w:tcPr>
            <w:tcW w:w="2127" w:type="dxa"/>
            <w:vAlign w:val="center"/>
          </w:tcPr>
          <w:p>
            <w:pPr>
              <w:jc w:val="center"/>
              <w:rPr>
                <w:rFonts w:ascii="Times New Roman" w:hAnsi="Times New Roman" w:eastAsiaTheme="minorEastAsia"/>
                <w:szCs w:val="21"/>
              </w:rPr>
            </w:pPr>
            <w:r>
              <w:rPr>
                <w:rFonts w:ascii="Times New Roman" w:hAnsi="Times New Roman" w:eastAsiaTheme="minorEastAsia"/>
                <w:szCs w:val="21"/>
              </w:rPr>
              <w:t>煤气化</w:t>
            </w:r>
            <w:r>
              <w:rPr>
                <w:rFonts w:hint="eastAsia" w:ascii="Times New Roman" w:hAnsi="Times New Roman" w:eastAsiaTheme="minorEastAsia"/>
                <w:szCs w:val="21"/>
              </w:rPr>
              <w:t>炉渣</w:t>
            </w:r>
          </w:p>
        </w:tc>
        <w:tc>
          <w:tcPr>
            <w:tcW w:w="2552" w:type="dxa"/>
            <w:vAlign w:val="center"/>
          </w:tcPr>
          <w:p>
            <w:pPr>
              <w:jc w:val="center"/>
              <w:rPr>
                <w:rFonts w:ascii="Times New Roman" w:hAnsi="Times New Roman" w:eastAsiaTheme="minorEastAsia"/>
                <w:szCs w:val="21"/>
                <w:lang w:val="pt-BR"/>
              </w:rPr>
            </w:pPr>
            <w:r>
              <w:rPr>
                <w:rFonts w:ascii="Times New Roman" w:hAnsi="Times New Roman" w:eastAsiaTheme="minorEastAsia"/>
                <w:szCs w:val="21"/>
                <w:lang w:val="pt-BR"/>
              </w:rPr>
              <w:t>SiO</w:t>
            </w:r>
            <w:r>
              <w:rPr>
                <w:rFonts w:ascii="Times New Roman" w:hAnsi="Times New Roman" w:eastAsiaTheme="minorEastAsia"/>
                <w:szCs w:val="21"/>
                <w:vertAlign w:val="subscript"/>
                <w:lang w:val="pt-BR"/>
              </w:rPr>
              <w:t>2</w:t>
            </w:r>
            <w:r>
              <w:rPr>
                <w:rFonts w:ascii="Times New Roman" w:hAnsi="Times New Roman" w:eastAsiaTheme="minorEastAsia"/>
                <w:szCs w:val="21"/>
              </w:rPr>
              <w:t>、</w:t>
            </w:r>
            <w:r>
              <w:rPr>
                <w:rFonts w:ascii="Times New Roman" w:hAnsi="Times New Roman" w:eastAsiaTheme="minorEastAsia"/>
                <w:szCs w:val="21"/>
                <w:lang w:val="pt-BR"/>
              </w:rPr>
              <w:t>CaO</w:t>
            </w:r>
            <w:r>
              <w:rPr>
                <w:rFonts w:ascii="Times New Roman" w:hAnsi="Times New Roman" w:eastAsiaTheme="minorEastAsia"/>
                <w:szCs w:val="21"/>
              </w:rPr>
              <w:t>、</w:t>
            </w:r>
            <w:r>
              <w:rPr>
                <w:rFonts w:ascii="Times New Roman" w:hAnsi="Times New Roman" w:eastAsiaTheme="minorEastAsia"/>
                <w:szCs w:val="21"/>
                <w:lang w:val="pt-BR"/>
              </w:rPr>
              <w:t>Fe</w:t>
            </w:r>
            <w:r>
              <w:rPr>
                <w:rFonts w:ascii="Times New Roman" w:hAnsi="Times New Roman" w:eastAsiaTheme="minorEastAsia"/>
                <w:szCs w:val="21"/>
                <w:vertAlign w:val="subscript"/>
                <w:lang w:val="pt-BR"/>
              </w:rPr>
              <w:t>2</w:t>
            </w:r>
            <w:r>
              <w:rPr>
                <w:rFonts w:ascii="Times New Roman" w:hAnsi="Times New Roman" w:eastAsiaTheme="minorEastAsia"/>
                <w:szCs w:val="21"/>
                <w:lang w:val="pt-BR"/>
              </w:rPr>
              <w:t>O</w:t>
            </w:r>
            <w:r>
              <w:rPr>
                <w:rFonts w:ascii="Times New Roman" w:hAnsi="Times New Roman" w:eastAsiaTheme="minorEastAsia"/>
                <w:szCs w:val="21"/>
                <w:vertAlign w:val="subscript"/>
                <w:lang w:val="pt-BR"/>
              </w:rPr>
              <w:t>3</w:t>
            </w:r>
            <w:r>
              <w:rPr>
                <w:rFonts w:ascii="Times New Roman" w:hAnsi="Times New Roman" w:eastAsiaTheme="minorEastAsia"/>
                <w:szCs w:val="21"/>
              </w:rPr>
              <w:t>、</w:t>
            </w:r>
            <w:r>
              <w:rPr>
                <w:rFonts w:ascii="Times New Roman" w:hAnsi="Times New Roman" w:eastAsiaTheme="minorEastAsia"/>
                <w:szCs w:val="21"/>
                <w:lang w:val="pt-BR"/>
              </w:rPr>
              <w:t>C</w:t>
            </w:r>
            <w:r>
              <w:rPr>
                <w:rFonts w:ascii="Times New Roman" w:hAnsi="Times New Roman" w:eastAsiaTheme="minorEastAsia"/>
                <w:szCs w:val="21"/>
              </w:rPr>
              <w:t>等</w:t>
            </w:r>
          </w:p>
        </w:tc>
        <w:tc>
          <w:tcPr>
            <w:tcW w:w="2970" w:type="dxa"/>
            <w:vMerge w:val="continue"/>
            <w:vAlign w:val="center"/>
          </w:tcPr>
          <w:p>
            <w:pPr>
              <w:adjustRightInd w:val="0"/>
              <w:snapToGrid w:val="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S4</w:t>
            </w:r>
          </w:p>
        </w:tc>
        <w:tc>
          <w:tcPr>
            <w:tcW w:w="2127" w:type="dxa"/>
            <w:vAlign w:val="center"/>
          </w:tcPr>
          <w:p>
            <w:pPr>
              <w:jc w:val="center"/>
              <w:rPr>
                <w:rFonts w:ascii="Times New Roman" w:hAnsi="Times New Roman" w:eastAsiaTheme="minorEastAsia"/>
                <w:szCs w:val="21"/>
              </w:rPr>
            </w:pPr>
            <w:r>
              <w:rPr>
                <w:rFonts w:ascii="Times New Roman" w:hAnsi="Times New Roman"/>
                <w:bCs/>
                <w:szCs w:val="21"/>
              </w:rPr>
              <w:t>生化污泥</w:t>
            </w:r>
          </w:p>
        </w:tc>
        <w:tc>
          <w:tcPr>
            <w:tcW w:w="2552" w:type="dxa"/>
            <w:vAlign w:val="center"/>
          </w:tcPr>
          <w:p>
            <w:pPr>
              <w:jc w:val="center"/>
              <w:rPr>
                <w:rFonts w:ascii="Times New Roman" w:hAnsi="Times New Roman" w:eastAsiaTheme="minorEastAsia"/>
                <w:szCs w:val="21"/>
                <w:lang w:val="pt-BR"/>
              </w:rPr>
            </w:pPr>
            <w:r>
              <w:rPr>
                <w:rFonts w:ascii="Times New Roman" w:hAnsi="Times New Roman" w:eastAsiaTheme="minorEastAsia"/>
                <w:szCs w:val="21"/>
              </w:rPr>
              <w:t>含水85%</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S5</w:t>
            </w:r>
          </w:p>
        </w:tc>
        <w:tc>
          <w:tcPr>
            <w:tcW w:w="2127" w:type="dxa"/>
            <w:vAlign w:val="center"/>
          </w:tcPr>
          <w:p>
            <w:pPr>
              <w:jc w:val="center"/>
              <w:rPr>
                <w:rFonts w:ascii="Times New Roman" w:hAnsi="Times New Roman" w:eastAsiaTheme="minorEastAsia"/>
                <w:szCs w:val="21"/>
              </w:rPr>
            </w:pPr>
            <w:r>
              <w:rPr>
                <w:rFonts w:ascii="Times New Roman" w:hAnsi="Times New Roman"/>
                <w:bCs/>
                <w:szCs w:val="21"/>
              </w:rPr>
              <w:t>含氰污泥</w:t>
            </w:r>
          </w:p>
        </w:tc>
        <w:tc>
          <w:tcPr>
            <w:tcW w:w="2552" w:type="dxa"/>
            <w:vAlign w:val="center"/>
          </w:tcPr>
          <w:p>
            <w:pPr>
              <w:jc w:val="center"/>
              <w:rPr>
                <w:rFonts w:ascii="Times New Roman" w:hAnsi="Times New Roman" w:eastAsiaTheme="minorEastAsia"/>
                <w:szCs w:val="21"/>
                <w:lang w:val="pt-BR"/>
              </w:rPr>
            </w:pPr>
            <w:r>
              <w:rPr>
                <w:rFonts w:ascii="Times New Roman" w:hAnsi="Times New Roman" w:eastAsiaTheme="minorEastAsia"/>
                <w:szCs w:val="21"/>
              </w:rPr>
              <w:t>含氰络合物及Cu</w:t>
            </w:r>
            <w:r>
              <w:rPr>
                <w:rFonts w:ascii="Times New Roman" w:hAnsi="Times New Roman" w:eastAsiaTheme="minorEastAsia"/>
                <w:szCs w:val="21"/>
                <w:vertAlign w:val="superscript"/>
              </w:rPr>
              <w:t>2+</w:t>
            </w:r>
            <w:r>
              <w:rPr>
                <w:rFonts w:ascii="Times New Roman" w:hAnsi="Times New Roman" w:eastAsiaTheme="minorEastAsia"/>
                <w:szCs w:val="21"/>
              </w:rPr>
              <w:t>等</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设置危险废物临时贮存场所，送</w:t>
            </w:r>
            <w:r>
              <w:rPr>
                <w:rFonts w:hint="eastAsia" w:ascii="Times New Roman" w:hAnsi="Times New Roman" w:eastAsiaTheme="minorEastAsia"/>
                <w:szCs w:val="21"/>
              </w:rPr>
              <w:t>厂区锅炉焚烧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S6</w:t>
            </w:r>
          </w:p>
        </w:tc>
        <w:tc>
          <w:tcPr>
            <w:tcW w:w="2127" w:type="dxa"/>
            <w:vAlign w:val="center"/>
          </w:tcPr>
          <w:p>
            <w:pPr>
              <w:jc w:val="center"/>
              <w:rPr>
                <w:rFonts w:ascii="Times New Roman" w:hAnsi="Times New Roman" w:eastAsiaTheme="minorEastAsia"/>
                <w:szCs w:val="21"/>
              </w:rPr>
            </w:pPr>
            <w:r>
              <w:rPr>
                <w:rFonts w:ascii="Times New Roman" w:hAnsi="Times New Roman"/>
                <w:bCs/>
                <w:szCs w:val="21"/>
              </w:rPr>
              <w:t>CO变换废催化剂</w:t>
            </w:r>
          </w:p>
        </w:tc>
        <w:tc>
          <w:tcPr>
            <w:tcW w:w="2552" w:type="dxa"/>
            <w:vAlign w:val="center"/>
          </w:tcPr>
          <w:p>
            <w:pPr>
              <w:jc w:val="center"/>
              <w:rPr>
                <w:rFonts w:ascii="Times New Roman" w:hAnsi="Times New Roman" w:eastAsiaTheme="minorEastAsia"/>
                <w:szCs w:val="21"/>
                <w:lang w:val="pt-BR"/>
              </w:rPr>
            </w:pPr>
            <w:r>
              <w:rPr>
                <w:rFonts w:ascii="Times New Roman" w:hAnsi="Times New Roman" w:eastAsiaTheme="minorEastAsia"/>
                <w:szCs w:val="21"/>
              </w:rPr>
              <w:t>CoO、MoO等</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危险废物，由有资质厂家回收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S7</w:t>
            </w:r>
          </w:p>
        </w:tc>
        <w:tc>
          <w:tcPr>
            <w:tcW w:w="2127" w:type="dxa"/>
            <w:vAlign w:val="center"/>
          </w:tcPr>
          <w:p>
            <w:pPr>
              <w:jc w:val="center"/>
              <w:rPr>
                <w:rFonts w:ascii="Times New Roman" w:hAnsi="Times New Roman" w:eastAsiaTheme="minorEastAsia"/>
                <w:szCs w:val="21"/>
              </w:rPr>
            </w:pPr>
            <w:r>
              <w:rPr>
                <w:rFonts w:ascii="Times New Roman" w:hAnsi="Times New Roman"/>
                <w:bCs/>
                <w:szCs w:val="21"/>
              </w:rPr>
              <w:t>甲醇合成废催化剂</w:t>
            </w:r>
          </w:p>
        </w:tc>
        <w:tc>
          <w:tcPr>
            <w:tcW w:w="2552" w:type="dxa"/>
            <w:vAlign w:val="center"/>
          </w:tcPr>
          <w:p>
            <w:pPr>
              <w:jc w:val="center"/>
              <w:rPr>
                <w:rFonts w:ascii="Times New Roman" w:hAnsi="Times New Roman" w:eastAsiaTheme="minorEastAsia"/>
                <w:szCs w:val="21"/>
                <w:lang w:val="pt-BR"/>
              </w:rPr>
            </w:pPr>
            <w:r>
              <w:rPr>
                <w:rFonts w:ascii="Times New Roman"/>
                <w:bCs/>
                <w:szCs w:val="21"/>
              </w:rPr>
              <w:t>CuO、ZnO、Al</w:t>
            </w:r>
            <w:r>
              <w:rPr>
                <w:rFonts w:ascii="Times New Roman"/>
                <w:bCs/>
                <w:szCs w:val="21"/>
                <w:vertAlign w:val="subscript"/>
              </w:rPr>
              <w:t>2</w:t>
            </w:r>
            <w:r>
              <w:rPr>
                <w:rFonts w:ascii="Times New Roman"/>
                <w:bCs/>
                <w:szCs w:val="21"/>
              </w:rPr>
              <w:t>O</w:t>
            </w:r>
            <w:r>
              <w:rPr>
                <w:rFonts w:ascii="Times New Roman"/>
                <w:bCs/>
                <w:szCs w:val="21"/>
                <w:vertAlign w:val="subscript"/>
              </w:rPr>
              <w:t>3</w:t>
            </w:r>
            <w:r>
              <w:rPr>
                <w:rFonts w:ascii="Times New Roman"/>
                <w:bCs/>
                <w:szCs w:val="21"/>
              </w:rPr>
              <w:t>等</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危险废物，由有资质厂家回收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S8</w:t>
            </w:r>
          </w:p>
        </w:tc>
        <w:tc>
          <w:tcPr>
            <w:tcW w:w="2127" w:type="dxa"/>
            <w:vAlign w:val="center"/>
          </w:tcPr>
          <w:p>
            <w:pPr>
              <w:jc w:val="center"/>
              <w:rPr>
                <w:rFonts w:ascii="Times New Roman" w:hAnsi="Times New Roman"/>
                <w:bCs/>
                <w:szCs w:val="21"/>
              </w:rPr>
            </w:pPr>
            <w:r>
              <w:rPr>
                <w:rFonts w:ascii="Times New Roman" w:hAnsi="Times New Roman"/>
                <w:bCs/>
                <w:szCs w:val="21"/>
              </w:rPr>
              <w:t>废分子筛</w:t>
            </w:r>
          </w:p>
        </w:tc>
        <w:tc>
          <w:tcPr>
            <w:tcW w:w="2552" w:type="dxa"/>
            <w:vAlign w:val="center"/>
          </w:tcPr>
          <w:p>
            <w:pPr>
              <w:jc w:val="center"/>
              <w:rPr>
                <w:rFonts w:ascii="Times New Roman"/>
                <w:bCs/>
                <w:szCs w:val="21"/>
              </w:rPr>
            </w:pPr>
            <w:r>
              <w:rPr>
                <w:rFonts w:ascii="Times New Roman"/>
                <w:bCs/>
                <w:szCs w:val="21"/>
              </w:rPr>
              <w:t>分子筛</w:t>
            </w:r>
          </w:p>
        </w:tc>
        <w:tc>
          <w:tcPr>
            <w:tcW w:w="2970"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一般固废，委托处置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S9</w:t>
            </w:r>
          </w:p>
        </w:tc>
        <w:tc>
          <w:tcPr>
            <w:tcW w:w="2127" w:type="dxa"/>
            <w:vAlign w:val="center"/>
          </w:tcPr>
          <w:p>
            <w:pPr>
              <w:jc w:val="center"/>
              <w:rPr>
                <w:rFonts w:ascii="Times New Roman" w:hAnsi="Times New Roman"/>
                <w:bCs/>
                <w:szCs w:val="21"/>
              </w:rPr>
            </w:pPr>
            <w:r>
              <w:rPr>
                <w:rFonts w:ascii="Times New Roman" w:hAnsi="Times New Roman"/>
                <w:bCs/>
                <w:szCs w:val="21"/>
              </w:rPr>
              <w:t>废铝胶</w:t>
            </w:r>
          </w:p>
        </w:tc>
        <w:tc>
          <w:tcPr>
            <w:tcW w:w="2552" w:type="dxa"/>
            <w:vAlign w:val="center"/>
          </w:tcPr>
          <w:p>
            <w:pPr>
              <w:jc w:val="center"/>
              <w:rPr>
                <w:rFonts w:ascii="Times New Roman"/>
                <w:bCs/>
                <w:szCs w:val="21"/>
              </w:rPr>
            </w:pPr>
            <w:r>
              <w:rPr>
                <w:rFonts w:ascii="Times New Roman"/>
                <w:bCs/>
                <w:szCs w:val="21"/>
              </w:rPr>
              <w:t>Al</w:t>
            </w:r>
            <w:r>
              <w:rPr>
                <w:rFonts w:ascii="Times New Roman"/>
                <w:bCs/>
                <w:szCs w:val="21"/>
                <w:vertAlign w:val="subscript"/>
              </w:rPr>
              <w:t>2</w:t>
            </w:r>
            <w:r>
              <w:rPr>
                <w:rFonts w:ascii="Times New Roman"/>
                <w:bCs/>
                <w:szCs w:val="21"/>
              </w:rPr>
              <w:t>O等</w:t>
            </w:r>
          </w:p>
        </w:tc>
        <w:tc>
          <w:tcPr>
            <w:tcW w:w="2970"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一般固废，委托处置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S10</w:t>
            </w:r>
          </w:p>
        </w:tc>
        <w:tc>
          <w:tcPr>
            <w:tcW w:w="2127" w:type="dxa"/>
            <w:vAlign w:val="center"/>
          </w:tcPr>
          <w:p>
            <w:pPr>
              <w:jc w:val="center"/>
              <w:rPr>
                <w:rFonts w:ascii="Times New Roman" w:hAnsi="Times New Roman"/>
                <w:bCs/>
                <w:szCs w:val="21"/>
              </w:rPr>
            </w:pPr>
            <w:r>
              <w:rPr>
                <w:rFonts w:ascii="Times New Roman" w:hAnsi="Times New Roman"/>
                <w:bCs/>
                <w:szCs w:val="21"/>
              </w:rPr>
              <w:t>珠光砂</w:t>
            </w:r>
          </w:p>
        </w:tc>
        <w:tc>
          <w:tcPr>
            <w:tcW w:w="2552" w:type="dxa"/>
            <w:vAlign w:val="center"/>
          </w:tcPr>
          <w:p>
            <w:pPr>
              <w:jc w:val="center"/>
              <w:rPr>
                <w:rFonts w:ascii="Times New Roman"/>
                <w:bCs/>
                <w:szCs w:val="21"/>
              </w:rPr>
            </w:pPr>
            <w:r>
              <w:rPr>
                <w:rFonts w:ascii="Times New Roman"/>
                <w:bCs/>
                <w:szCs w:val="21"/>
              </w:rPr>
              <w:t>SiO</w:t>
            </w:r>
            <w:r>
              <w:rPr>
                <w:rFonts w:ascii="Times New Roman"/>
                <w:bCs/>
                <w:szCs w:val="21"/>
                <w:vertAlign w:val="subscript"/>
              </w:rPr>
              <w:t>2</w:t>
            </w:r>
            <w:r>
              <w:rPr>
                <w:rFonts w:ascii="Times New Roman"/>
                <w:bCs/>
                <w:szCs w:val="21"/>
              </w:rPr>
              <w:t>等</w:t>
            </w:r>
          </w:p>
        </w:tc>
        <w:tc>
          <w:tcPr>
            <w:tcW w:w="2970"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一般固废，委托处置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S11</w:t>
            </w:r>
          </w:p>
        </w:tc>
        <w:tc>
          <w:tcPr>
            <w:tcW w:w="2127" w:type="dxa"/>
            <w:vAlign w:val="center"/>
          </w:tcPr>
          <w:p>
            <w:pPr>
              <w:jc w:val="center"/>
              <w:rPr>
                <w:rFonts w:ascii="Times New Roman" w:hAnsi="Times New Roman"/>
                <w:bCs/>
                <w:szCs w:val="21"/>
              </w:rPr>
            </w:pPr>
            <w:r>
              <w:rPr>
                <w:rFonts w:ascii="Times New Roman" w:hAnsi="Times New Roman"/>
                <w:bCs/>
                <w:szCs w:val="21"/>
              </w:rPr>
              <w:t>硫回收废催化剂</w:t>
            </w:r>
          </w:p>
        </w:tc>
        <w:tc>
          <w:tcPr>
            <w:tcW w:w="2552" w:type="dxa"/>
            <w:vAlign w:val="center"/>
          </w:tcPr>
          <w:p>
            <w:pPr>
              <w:jc w:val="center"/>
              <w:rPr>
                <w:rFonts w:ascii="Times New Roman"/>
                <w:bCs/>
                <w:szCs w:val="21"/>
              </w:rPr>
            </w:pPr>
            <w:r>
              <w:rPr>
                <w:rFonts w:ascii="Times New Roman"/>
                <w:bCs/>
                <w:szCs w:val="21"/>
              </w:rPr>
              <w:t>Al</w:t>
            </w:r>
            <w:r>
              <w:rPr>
                <w:rFonts w:ascii="Times New Roman"/>
                <w:bCs/>
                <w:szCs w:val="21"/>
                <w:vertAlign w:val="subscript"/>
              </w:rPr>
              <w:t>2</w:t>
            </w:r>
            <w:r>
              <w:rPr>
                <w:rFonts w:ascii="Times New Roman"/>
                <w:bCs/>
                <w:szCs w:val="21"/>
              </w:rPr>
              <w:t>O</w:t>
            </w:r>
            <w:r>
              <w:rPr>
                <w:rFonts w:ascii="Times New Roman"/>
                <w:bCs/>
                <w:szCs w:val="21"/>
                <w:vertAlign w:val="subscript"/>
              </w:rPr>
              <w:t>3</w:t>
            </w:r>
            <w:r>
              <w:rPr>
                <w:rFonts w:ascii="Times New Roman"/>
                <w:bCs/>
                <w:szCs w:val="21"/>
              </w:rPr>
              <w:t>、TiO</w:t>
            </w:r>
            <w:r>
              <w:rPr>
                <w:rFonts w:ascii="Times New Roman"/>
                <w:bCs/>
                <w:szCs w:val="21"/>
                <w:vertAlign w:val="subscript"/>
              </w:rPr>
              <w:t>2</w:t>
            </w:r>
            <w:r>
              <w:rPr>
                <w:rFonts w:ascii="Times New Roman"/>
                <w:bCs/>
                <w:szCs w:val="21"/>
              </w:rPr>
              <w:t>等</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危险废物，由有资质厂家回收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12" w:type="dxa"/>
            <w:vMerge w:val="continue"/>
            <w:vAlign w:val="center"/>
          </w:tcPr>
          <w:p>
            <w:pPr>
              <w:snapToGrid w:val="0"/>
              <w:rPr>
                <w:rFonts w:ascii="Times New Roman" w:hAnsi="Times New Roman" w:eastAsiaTheme="minorEastAsia"/>
                <w:szCs w:val="21"/>
              </w:rPr>
            </w:pPr>
          </w:p>
        </w:tc>
        <w:tc>
          <w:tcPr>
            <w:tcW w:w="101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S12</w:t>
            </w:r>
          </w:p>
        </w:tc>
        <w:tc>
          <w:tcPr>
            <w:tcW w:w="2127" w:type="dxa"/>
            <w:vAlign w:val="center"/>
          </w:tcPr>
          <w:p>
            <w:pPr>
              <w:jc w:val="center"/>
              <w:rPr>
                <w:rFonts w:ascii="Times New Roman" w:hAnsi="Times New Roman"/>
                <w:bCs/>
                <w:szCs w:val="21"/>
              </w:rPr>
            </w:pPr>
            <w:r>
              <w:rPr>
                <w:rFonts w:ascii="Times New Roman" w:hAnsi="Times New Roman" w:eastAsiaTheme="minorEastAsia"/>
                <w:szCs w:val="21"/>
              </w:rPr>
              <w:t>杂醇油</w:t>
            </w:r>
          </w:p>
        </w:tc>
        <w:tc>
          <w:tcPr>
            <w:tcW w:w="2552" w:type="dxa"/>
            <w:vAlign w:val="center"/>
          </w:tcPr>
          <w:p>
            <w:pPr>
              <w:jc w:val="center"/>
              <w:rPr>
                <w:rFonts w:ascii="Times New Roman"/>
                <w:bCs/>
                <w:szCs w:val="21"/>
              </w:rPr>
            </w:pPr>
            <w:r>
              <w:rPr>
                <w:rFonts w:ascii="Times New Roman" w:hAnsi="Times New Roman" w:eastAsiaTheme="minorEastAsia"/>
                <w:szCs w:val="21"/>
              </w:rPr>
              <w:t>水、醇、酮、醛、酸等</w:t>
            </w:r>
          </w:p>
        </w:tc>
        <w:tc>
          <w:tcPr>
            <w:tcW w:w="2970"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送锅炉焚烧</w:t>
            </w:r>
          </w:p>
        </w:tc>
      </w:tr>
    </w:tbl>
    <w:p>
      <w:pPr>
        <w:pStyle w:val="33"/>
        <w:adjustRightInd w:val="0"/>
        <w:snapToGrid w:val="0"/>
      </w:pPr>
      <w:r>
        <w:t>3.1.2.4  污染物排放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本次污染物排放达标分析参考项目环评报告及《</w:t>
      </w:r>
      <w:r>
        <w:rPr>
          <w:rFonts w:ascii="Times New Roman" w:hAnsi="Times New Roman" w:eastAsiaTheme="minorEastAsia"/>
          <w:bCs/>
          <w:sz w:val="28"/>
          <w:szCs w:val="28"/>
        </w:rPr>
        <w:t>河南省中原大化集团有限责任公司</w:t>
      </w:r>
      <w:r>
        <w:rPr>
          <w:rFonts w:ascii="Times New Roman" w:hAnsi="Times New Roman" w:eastAsiaTheme="minorEastAsia"/>
          <w:sz w:val="28"/>
          <w:szCs w:val="28"/>
        </w:rPr>
        <w:t>年产</w:t>
      </w:r>
      <w:bookmarkStart w:id="51" w:name="_Hlk66350892"/>
      <w:r>
        <w:rPr>
          <w:rFonts w:ascii="Times New Roman" w:hAnsi="Times New Roman" w:eastAsiaTheme="minorEastAsia"/>
          <w:sz w:val="28"/>
          <w:szCs w:val="28"/>
        </w:rPr>
        <w:t>30万吨甲醇项目</w:t>
      </w:r>
      <w:bookmarkEnd w:id="51"/>
      <w:r>
        <w:rPr>
          <w:rFonts w:ascii="Times New Roman" w:hAnsi="Times New Roman" w:eastAsiaTheme="minorEastAsia"/>
          <w:sz w:val="28"/>
          <w:szCs w:val="28"/>
        </w:rPr>
        <w:t>竣工环境保护验收监测报告》(豫环监验字[2010]第062号)、项目污染源在线监测数据及企业常规监测数据。</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（1）废气</w:t>
      </w:r>
    </w:p>
    <w:p>
      <w:pPr>
        <w:pStyle w:val="27"/>
        <w:ind w:firstLine="697" w:firstLineChars="249"/>
        <w:rPr>
          <w:rFonts w:eastAsiaTheme="minorEastAsia"/>
          <w:szCs w:val="28"/>
        </w:rPr>
      </w:pPr>
      <w:r>
        <w:rPr>
          <w:rFonts w:hint="eastAsia" w:ascii="宋体" w:hAnsi="宋体" w:cs="宋体"/>
          <w:szCs w:val="28"/>
        </w:rPr>
        <w:t>①</w:t>
      </w:r>
      <w:r>
        <w:rPr>
          <w:rFonts w:eastAsiaTheme="minorEastAsia"/>
          <w:szCs w:val="28"/>
        </w:rPr>
        <w:t>有组织废气</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30万t/a甲醇项目有组织废气达标情况见表3.1-6。</w:t>
      </w:r>
    </w:p>
    <w:p>
      <w:pPr>
        <w:spacing w:line="520" w:lineRule="exact"/>
        <w:ind w:firstLine="560" w:firstLineChars="200"/>
        <w:rPr>
          <w:rFonts w:ascii="Times New Roman" w:hAnsi="Times New Roman"/>
          <w:sz w:val="28"/>
          <w:szCs w:val="28"/>
        </w:rPr>
        <w:sectPr>
          <w:pgSz w:w="11907" w:h="16840"/>
          <w:pgMar w:top="1474" w:right="1474" w:bottom="1474" w:left="1474" w:header="851" w:footer="851" w:gutter="0"/>
          <w:cols w:space="720" w:num="1"/>
          <w:docGrid w:linePitch="498" w:charSpace="-5626"/>
        </w:sectPr>
      </w:pPr>
    </w:p>
    <w:p>
      <w:pPr>
        <w:pStyle w:val="32"/>
        <w:ind w:left="851" w:firstLine="0" w:firstLineChars="0"/>
      </w:pPr>
      <w:r>
        <w:t>表3.1-6                          30万t/a甲醇项目废气污染物排放达标分析</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5"/>
        <w:gridCol w:w="1540"/>
        <w:gridCol w:w="900"/>
        <w:gridCol w:w="872"/>
        <w:gridCol w:w="1363"/>
        <w:gridCol w:w="1287"/>
        <w:gridCol w:w="1106"/>
        <w:gridCol w:w="1106"/>
        <w:gridCol w:w="1106"/>
        <w:gridCol w:w="1532"/>
        <w:gridCol w:w="1109"/>
        <w:gridCol w:w="1352"/>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序号</w:t>
            </w:r>
          </w:p>
        </w:tc>
        <w:tc>
          <w:tcPr>
            <w:tcW w:w="546"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污染源</w:t>
            </w:r>
          </w:p>
        </w:tc>
        <w:tc>
          <w:tcPr>
            <w:tcW w:w="319" w:type="pct"/>
            <w:vMerge w:val="restart"/>
            <w:vAlign w:val="center"/>
          </w:tcPr>
          <w:p>
            <w:pPr>
              <w:pStyle w:val="34"/>
              <w:rPr>
                <w:rFonts w:eastAsiaTheme="minorEastAsia"/>
                <w:szCs w:val="21"/>
              </w:rPr>
            </w:pPr>
            <w:r>
              <w:rPr>
                <w:rFonts w:eastAsiaTheme="minorEastAsia"/>
                <w:szCs w:val="21"/>
              </w:rPr>
              <w:t>排气量Nm</w:t>
            </w:r>
            <w:r>
              <w:rPr>
                <w:rFonts w:eastAsiaTheme="minorEastAsia"/>
                <w:szCs w:val="21"/>
                <w:vertAlign w:val="superscript"/>
              </w:rPr>
              <w:t>3</w:t>
            </w:r>
            <w:r>
              <w:rPr>
                <w:rFonts w:eastAsiaTheme="minorEastAsia"/>
                <w:szCs w:val="21"/>
              </w:rPr>
              <w:t>/h</w:t>
            </w:r>
          </w:p>
        </w:tc>
        <w:tc>
          <w:tcPr>
            <w:tcW w:w="309"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排气筒</w:t>
            </w:r>
          </w:p>
          <w:p>
            <w:pPr>
              <w:jc w:val="center"/>
              <w:rPr>
                <w:rFonts w:ascii="宋体" w:hAnsi="宋体"/>
                <w:b/>
                <w:szCs w:val="21"/>
              </w:rPr>
            </w:pPr>
            <w:r>
              <w:rPr>
                <w:rFonts w:hint="eastAsia" w:ascii="Times New Roman" w:hAnsi="Times New Roman" w:eastAsiaTheme="minorEastAsia"/>
                <w:b/>
                <w:szCs w:val="21"/>
              </w:rPr>
              <w:t>H</w:t>
            </w:r>
            <w:r>
              <w:rPr>
                <w:rFonts w:ascii="Times New Roman" w:hAnsi="Times New Roman" w:eastAsiaTheme="minorEastAsia"/>
                <w:b/>
                <w:szCs w:val="21"/>
              </w:rPr>
              <w:t>/</w:t>
            </w:r>
            <w:r>
              <w:rPr>
                <w:rFonts w:hint="eastAsia" w:ascii="宋体" w:hAnsi="宋体"/>
                <w:b/>
                <w:szCs w:val="21"/>
              </w:rPr>
              <w:t>Φ</w:t>
            </w:r>
          </w:p>
          <w:p>
            <w:pPr>
              <w:jc w:val="center"/>
              <w:rPr>
                <w:rFonts w:ascii="Times New Roman" w:hAnsi="Times New Roman" w:eastAsiaTheme="minorEastAsia"/>
                <w:b/>
                <w:szCs w:val="21"/>
              </w:rPr>
            </w:pPr>
            <w:r>
              <w:rPr>
                <w:rFonts w:hint="eastAsia" w:ascii="宋体" w:hAnsi="宋体"/>
                <w:b/>
                <w:szCs w:val="21"/>
              </w:rPr>
              <w:t>（</w:t>
            </w:r>
            <w:r>
              <w:rPr>
                <w:rFonts w:ascii="Times New Roman" w:hAnsi="Times New Roman" w:eastAsiaTheme="minorEastAsia"/>
                <w:b/>
                <w:szCs w:val="21"/>
              </w:rPr>
              <w:t>m</w:t>
            </w:r>
            <w:r>
              <w:rPr>
                <w:rFonts w:hint="eastAsia" w:ascii="宋体" w:hAnsi="宋体"/>
                <w:b/>
                <w:szCs w:val="21"/>
              </w:rPr>
              <w:t>）</w:t>
            </w:r>
          </w:p>
        </w:tc>
        <w:tc>
          <w:tcPr>
            <w:tcW w:w="483"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污染物</w:t>
            </w:r>
          </w:p>
        </w:tc>
        <w:tc>
          <w:tcPr>
            <w:tcW w:w="1240" w:type="pct"/>
            <w:gridSpan w:val="3"/>
            <w:vAlign w:val="center"/>
          </w:tcPr>
          <w:p>
            <w:pPr>
              <w:jc w:val="center"/>
              <w:rPr>
                <w:rFonts w:ascii="Times New Roman" w:hAnsi="Times New Roman" w:eastAsiaTheme="minorEastAsia"/>
                <w:b/>
                <w:szCs w:val="21"/>
              </w:rPr>
            </w:pPr>
            <w:r>
              <w:rPr>
                <w:rFonts w:ascii="Times New Roman" w:hAnsi="Times New Roman" w:eastAsiaTheme="minorEastAsia"/>
                <w:b/>
                <w:szCs w:val="21"/>
              </w:rPr>
              <w:t>污染物排放情况</w:t>
            </w:r>
          </w:p>
        </w:tc>
        <w:tc>
          <w:tcPr>
            <w:tcW w:w="392"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运行时间</w:t>
            </w:r>
          </w:p>
          <w:p>
            <w:pPr>
              <w:jc w:val="center"/>
              <w:rPr>
                <w:rFonts w:ascii="Times New Roman" w:hAnsi="Times New Roman" w:eastAsiaTheme="minorEastAsia"/>
                <w:b/>
                <w:szCs w:val="21"/>
              </w:rPr>
            </w:pPr>
            <w:r>
              <w:rPr>
                <w:rFonts w:ascii="Times New Roman" w:hAnsi="Times New Roman" w:eastAsiaTheme="minorEastAsia"/>
                <w:b/>
                <w:szCs w:val="21"/>
              </w:rPr>
              <w:t>h/a</w:t>
            </w:r>
          </w:p>
        </w:tc>
        <w:tc>
          <w:tcPr>
            <w:tcW w:w="936" w:type="pct"/>
            <w:gridSpan w:val="2"/>
            <w:vAlign w:val="center"/>
          </w:tcPr>
          <w:p>
            <w:pPr>
              <w:jc w:val="center"/>
              <w:rPr>
                <w:rFonts w:ascii="Times New Roman" w:hAnsi="Times New Roman" w:eastAsiaTheme="minorEastAsia"/>
                <w:b/>
                <w:szCs w:val="21"/>
              </w:rPr>
            </w:pPr>
            <w:r>
              <w:rPr>
                <w:rFonts w:ascii="Times New Roman" w:hAnsi="Times New Roman" w:eastAsiaTheme="minorEastAsia"/>
                <w:b/>
                <w:szCs w:val="21"/>
              </w:rPr>
              <w:t>排放标准</w:t>
            </w:r>
          </w:p>
        </w:tc>
        <w:tc>
          <w:tcPr>
            <w:tcW w:w="479" w:type="pct"/>
            <w:vMerge w:val="restart"/>
            <w:vAlign w:val="center"/>
          </w:tcPr>
          <w:p>
            <w:pPr>
              <w:jc w:val="center"/>
              <w:rPr>
                <w:rFonts w:ascii="Times New Roman" w:hAnsi="Times New Roman" w:eastAsiaTheme="minorEastAsia"/>
                <w:b/>
                <w:szCs w:val="21"/>
              </w:rPr>
            </w:pPr>
            <w:r>
              <w:rPr>
                <w:rFonts w:ascii="Times New Roman" w:hAnsi="Times New Roman" w:eastAsiaTheme="minorEastAsia"/>
                <w:b/>
                <w:szCs w:val="21"/>
              </w:rPr>
              <w:t>备注</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jc w:val="center"/>
              <w:rPr>
                <w:rFonts w:ascii="Times New Roman" w:hAnsi="Times New Roman" w:eastAsiaTheme="minorEastAsia"/>
                <w:b/>
                <w:szCs w:val="21"/>
              </w:rPr>
            </w:pPr>
          </w:p>
        </w:tc>
        <w:tc>
          <w:tcPr>
            <w:tcW w:w="546" w:type="pct"/>
            <w:vMerge w:val="continue"/>
            <w:vAlign w:val="center"/>
          </w:tcPr>
          <w:p>
            <w:pPr>
              <w:jc w:val="center"/>
              <w:rPr>
                <w:rFonts w:ascii="Times New Roman" w:hAnsi="Times New Roman" w:eastAsiaTheme="minorEastAsia"/>
                <w:b/>
                <w:szCs w:val="21"/>
              </w:rPr>
            </w:pPr>
          </w:p>
        </w:tc>
        <w:tc>
          <w:tcPr>
            <w:tcW w:w="319" w:type="pct"/>
            <w:vMerge w:val="continue"/>
            <w:vAlign w:val="center"/>
          </w:tcPr>
          <w:p>
            <w:pPr>
              <w:jc w:val="center"/>
              <w:rPr>
                <w:rFonts w:ascii="Times New Roman" w:hAnsi="Times New Roman" w:eastAsiaTheme="minorEastAsia"/>
                <w:b/>
                <w:szCs w:val="21"/>
              </w:rPr>
            </w:pPr>
          </w:p>
        </w:tc>
        <w:tc>
          <w:tcPr>
            <w:tcW w:w="309" w:type="pct"/>
            <w:vMerge w:val="continue"/>
            <w:vAlign w:val="center"/>
          </w:tcPr>
          <w:p>
            <w:pPr>
              <w:jc w:val="center"/>
              <w:rPr>
                <w:rFonts w:ascii="Times New Roman" w:hAnsi="Times New Roman" w:eastAsiaTheme="minorEastAsia"/>
                <w:b/>
                <w:szCs w:val="21"/>
              </w:rPr>
            </w:pPr>
          </w:p>
        </w:tc>
        <w:tc>
          <w:tcPr>
            <w:tcW w:w="483" w:type="pct"/>
            <w:vMerge w:val="continue"/>
            <w:vAlign w:val="center"/>
          </w:tcPr>
          <w:p>
            <w:pPr>
              <w:pStyle w:val="34"/>
              <w:rPr>
                <w:rFonts w:eastAsiaTheme="minorEastAsia"/>
                <w:szCs w:val="21"/>
              </w:rPr>
            </w:pPr>
          </w:p>
        </w:tc>
        <w:tc>
          <w:tcPr>
            <w:tcW w:w="456" w:type="pct"/>
            <w:vAlign w:val="center"/>
          </w:tcPr>
          <w:p>
            <w:pPr>
              <w:pStyle w:val="34"/>
              <w:rPr>
                <w:rFonts w:eastAsiaTheme="minorEastAsia"/>
                <w:szCs w:val="21"/>
              </w:rPr>
            </w:pPr>
            <w:r>
              <w:rPr>
                <w:rFonts w:eastAsiaTheme="minorEastAsia"/>
                <w:szCs w:val="21"/>
              </w:rPr>
              <w:t>浓度</w:t>
            </w:r>
            <w:r>
              <w:rPr>
                <w:rFonts w:eastAsiaTheme="minorEastAsia"/>
                <w:spacing w:val="-20"/>
                <w:szCs w:val="21"/>
              </w:rPr>
              <w:t>mg/Nm</w:t>
            </w:r>
            <w:r>
              <w:rPr>
                <w:rFonts w:eastAsiaTheme="minorEastAsia"/>
                <w:spacing w:val="-20"/>
                <w:szCs w:val="21"/>
                <w:vertAlign w:val="superscript"/>
              </w:rPr>
              <w:t>3</w:t>
            </w:r>
          </w:p>
        </w:tc>
        <w:tc>
          <w:tcPr>
            <w:tcW w:w="392"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速率kg/h</w:t>
            </w:r>
          </w:p>
        </w:tc>
        <w:tc>
          <w:tcPr>
            <w:tcW w:w="392"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排放量t/a</w:t>
            </w:r>
          </w:p>
        </w:tc>
        <w:tc>
          <w:tcPr>
            <w:tcW w:w="392" w:type="pct"/>
            <w:vMerge w:val="continue"/>
            <w:vAlign w:val="center"/>
          </w:tcPr>
          <w:p>
            <w:pPr>
              <w:jc w:val="center"/>
              <w:rPr>
                <w:rFonts w:ascii="Times New Roman" w:hAnsi="Times New Roman" w:eastAsiaTheme="minorEastAsia"/>
                <w:b/>
                <w:szCs w:val="21"/>
              </w:rPr>
            </w:pPr>
          </w:p>
        </w:tc>
        <w:tc>
          <w:tcPr>
            <w:tcW w:w="543" w:type="pct"/>
            <w:vAlign w:val="center"/>
          </w:tcPr>
          <w:p>
            <w:pPr>
              <w:pStyle w:val="34"/>
              <w:rPr>
                <w:rFonts w:eastAsiaTheme="minorEastAsia"/>
                <w:szCs w:val="21"/>
              </w:rPr>
            </w:pPr>
            <w:r>
              <w:rPr>
                <w:rFonts w:eastAsiaTheme="minorEastAsia"/>
                <w:szCs w:val="21"/>
              </w:rPr>
              <w:t>浓度</w:t>
            </w:r>
            <w:r>
              <w:rPr>
                <w:rFonts w:eastAsiaTheme="minorEastAsia"/>
                <w:spacing w:val="-20"/>
                <w:szCs w:val="21"/>
              </w:rPr>
              <w:t>mg/Nm</w:t>
            </w:r>
            <w:r>
              <w:rPr>
                <w:rFonts w:eastAsiaTheme="minorEastAsia"/>
                <w:spacing w:val="-20"/>
                <w:szCs w:val="21"/>
                <w:vertAlign w:val="superscript"/>
              </w:rPr>
              <w:t>3</w:t>
            </w:r>
          </w:p>
        </w:tc>
        <w:tc>
          <w:tcPr>
            <w:tcW w:w="393"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速率kg/h</w:t>
            </w:r>
          </w:p>
        </w:tc>
        <w:tc>
          <w:tcPr>
            <w:tcW w:w="479" w:type="pct"/>
            <w:vMerge w:val="continue"/>
            <w:vAlign w:val="center"/>
          </w:tcPr>
          <w:p>
            <w:pPr>
              <w:jc w:val="center"/>
              <w:rPr>
                <w:rFonts w:ascii="Times New Roman" w:hAnsi="Times New Roman" w:eastAsiaTheme="minorEastAsia"/>
                <w:b/>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Align w:val="center"/>
          </w:tcPr>
          <w:p>
            <w:pPr>
              <w:pStyle w:val="35"/>
              <w:rPr>
                <w:rFonts w:eastAsiaTheme="minorEastAsia"/>
                <w:spacing w:val="-20"/>
                <w:szCs w:val="21"/>
              </w:rPr>
            </w:pPr>
            <w:r>
              <w:rPr>
                <w:rFonts w:eastAsiaTheme="minorEastAsia"/>
                <w:szCs w:val="21"/>
              </w:rPr>
              <w:t>DA001</w:t>
            </w:r>
          </w:p>
        </w:tc>
        <w:tc>
          <w:tcPr>
            <w:tcW w:w="546" w:type="pct"/>
            <w:vAlign w:val="center"/>
          </w:tcPr>
          <w:p>
            <w:pPr>
              <w:pStyle w:val="35"/>
              <w:rPr>
                <w:rFonts w:eastAsiaTheme="minorEastAsia"/>
                <w:szCs w:val="21"/>
              </w:rPr>
            </w:pPr>
            <w:r>
              <w:rPr>
                <w:rFonts w:hint="eastAsia" w:eastAsiaTheme="minorEastAsia"/>
                <w:snapToGrid w:val="0"/>
                <w:szCs w:val="21"/>
              </w:rPr>
              <w:t>备煤系统废气</w:t>
            </w:r>
          </w:p>
        </w:tc>
        <w:tc>
          <w:tcPr>
            <w:tcW w:w="319" w:type="pct"/>
            <w:vAlign w:val="center"/>
          </w:tcPr>
          <w:p>
            <w:pPr>
              <w:pStyle w:val="35"/>
              <w:rPr>
                <w:rFonts w:eastAsiaTheme="minorEastAsia"/>
                <w:szCs w:val="21"/>
              </w:rPr>
            </w:pPr>
            <w:r>
              <w:rPr>
                <w:rFonts w:eastAsiaTheme="minorEastAsia"/>
                <w:szCs w:val="21"/>
              </w:rPr>
              <w:t>20000</w:t>
            </w:r>
          </w:p>
        </w:tc>
        <w:tc>
          <w:tcPr>
            <w:tcW w:w="309" w:type="pct"/>
            <w:vAlign w:val="center"/>
          </w:tcPr>
          <w:p>
            <w:pPr>
              <w:pStyle w:val="35"/>
              <w:rPr>
                <w:rFonts w:eastAsiaTheme="minorEastAsia"/>
                <w:szCs w:val="21"/>
              </w:rPr>
            </w:pPr>
            <w:r>
              <w:rPr>
                <w:rFonts w:hint="eastAsia" w:eastAsiaTheme="minorEastAsia"/>
                <w:szCs w:val="21"/>
              </w:rPr>
              <w:t>1</w:t>
            </w:r>
            <w:r>
              <w:rPr>
                <w:rFonts w:eastAsiaTheme="minorEastAsia"/>
                <w:szCs w:val="21"/>
              </w:rPr>
              <w:t>5/0.4</w:t>
            </w:r>
          </w:p>
        </w:tc>
        <w:tc>
          <w:tcPr>
            <w:tcW w:w="483" w:type="pct"/>
            <w:vAlign w:val="center"/>
          </w:tcPr>
          <w:p>
            <w:pPr>
              <w:pStyle w:val="35"/>
              <w:rPr>
                <w:rFonts w:eastAsiaTheme="minorEastAsia"/>
                <w:szCs w:val="21"/>
              </w:rPr>
            </w:pPr>
            <w:r>
              <w:rPr>
                <w:rFonts w:eastAsiaTheme="minorEastAsia"/>
                <w:szCs w:val="21"/>
              </w:rPr>
              <w:t>粉尘</w:t>
            </w:r>
          </w:p>
        </w:tc>
        <w:tc>
          <w:tcPr>
            <w:tcW w:w="456" w:type="pct"/>
            <w:vAlign w:val="center"/>
          </w:tcPr>
          <w:p>
            <w:pPr>
              <w:pStyle w:val="35"/>
              <w:rPr>
                <w:rFonts w:eastAsiaTheme="minorEastAsia"/>
                <w:szCs w:val="21"/>
              </w:rPr>
            </w:pPr>
            <w:r>
              <w:rPr>
                <w:rFonts w:eastAsiaTheme="minorEastAsia"/>
                <w:szCs w:val="21"/>
              </w:rPr>
              <w:t xml:space="preserve">100 </w:t>
            </w:r>
          </w:p>
        </w:tc>
        <w:tc>
          <w:tcPr>
            <w:tcW w:w="392" w:type="pct"/>
            <w:vAlign w:val="center"/>
          </w:tcPr>
          <w:p>
            <w:pPr>
              <w:pStyle w:val="35"/>
              <w:rPr>
                <w:rFonts w:eastAsiaTheme="minorEastAsia"/>
                <w:szCs w:val="21"/>
              </w:rPr>
            </w:pPr>
            <w:r>
              <w:rPr>
                <w:rFonts w:eastAsiaTheme="minorEastAsia"/>
                <w:szCs w:val="21"/>
              </w:rPr>
              <w:t>2</w:t>
            </w:r>
          </w:p>
        </w:tc>
        <w:tc>
          <w:tcPr>
            <w:tcW w:w="392" w:type="pct"/>
            <w:vAlign w:val="center"/>
          </w:tcPr>
          <w:p>
            <w:pPr>
              <w:pStyle w:val="35"/>
              <w:rPr>
                <w:rFonts w:eastAsiaTheme="minorEastAsia"/>
                <w:szCs w:val="21"/>
              </w:rPr>
            </w:pPr>
            <w:r>
              <w:rPr>
                <w:rFonts w:eastAsiaTheme="minorEastAsia"/>
                <w:szCs w:val="21"/>
              </w:rPr>
              <w:t>16</w:t>
            </w:r>
          </w:p>
        </w:tc>
        <w:tc>
          <w:tcPr>
            <w:tcW w:w="392" w:type="pc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120</w:t>
            </w:r>
          </w:p>
        </w:tc>
        <w:tc>
          <w:tcPr>
            <w:tcW w:w="393" w:type="pct"/>
            <w:vAlign w:val="center"/>
          </w:tcPr>
          <w:p>
            <w:pPr>
              <w:pStyle w:val="35"/>
              <w:rPr>
                <w:rFonts w:eastAsiaTheme="minorEastAsia"/>
                <w:szCs w:val="21"/>
              </w:rPr>
            </w:pPr>
            <w:r>
              <w:rPr>
                <w:rFonts w:eastAsiaTheme="minorEastAsia"/>
                <w:szCs w:val="21"/>
              </w:rPr>
              <w:t>3.5</w:t>
            </w:r>
          </w:p>
        </w:tc>
        <w:tc>
          <w:tcPr>
            <w:tcW w:w="479" w:type="pct"/>
            <w:vAlign w:val="center"/>
          </w:tcPr>
          <w:p>
            <w:pPr>
              <w:jc w:val="center"/>
              <w:rPr>
                <w:rFonts w:ascii="Times New Roman" w:hAnsi="Times New Roman" w:eastAsiaTheme="minorEastAsia"/>
                <w:szCs w:val="21"/>
              </w:rPr>
            </w:pPr>
            <w:r>
              <w:rPr>
                <w:rFonts w:ascii="Times New Roman" w:hAnsi="Times New Roman" w:eastAsiaTheme="minorEastAsia"/>
                <w:szCs w:val="21"/>
              </w:rPr>
              <w:t>环评数据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pStyle w:val="35"/>
              <w:rPr>
                <w:rFonts w:eastAsiaTheme="minorEastAsia"/>
                <w:szCs w:val="21"/>
              </w:rPr>
            </w:pPr>
            <w:r>
              <w:rPr>
                <w:rFonts w:eastAsiaTheme="minorEastAsia"/>
                <w:szCs w:val="21"/>
              </w:rPr>
              <w:t>DA00</w:t>
            </w:r>
            <w:r>
              <w:rPr>
                <w:rFonts w:hint="eastAsia" w:eastAsiaTheme="minorEastAsia"/>
                <w:szCs w:val="21"/>
              </w:rPr>
              <w:t>2</w:t>
            </w:r>
          </w:p>
        </w:tc>
        <w:tc>
          <w:tcPr>
            <w:tcW w:w="546" w:type="pct"/>
            <w:vMerge w:val="restart"/>
            <w:vAlign w:val="center"/>
          </w:tcPr>
          <w:p>
            <w:pPr>
              <w:pStyle w:val="35"/>
              <w:rPr>
                <w:rFonts w:eastAsiaTheme="minorEastAsia"/>
                <w:snapToGrid w:val="0"/>
                <w:szCs w:val="21"/>
              </w:rPr>
            </w:pPr>
            <w:r>
              <w:rPr>
                <w:rFonts w:eastAsiaTheme="minorEastAsia"/>
                <w:szCs w:val="21"/>
              </w:rPr>
              <w:t>流化床锅炉烟气</w:t>
            </w:r>
          </w:p>
        </w:tc>
        <w:tc>
          <w:tcPr>
            <w:tcW w:w="319" w:type="pct"/>
            <w:vMerge w:val="restart"/>
            <w:vAlign w:val="center"/>
          </w:tcPr>
          <w:p>
            <w:pPr>
              <w:pStyle w:val="35"/>
              <w:rPr>
                <w:rFonts w:eastAsiaTheme="minorEastAsia"/>
                <w:szCs w:val="21"/>
              </w:rPr>
            </w:pPr>
            <w:r>
              <w:rPr>
                <w:rFonts w:eastAsiaTheme="minorEastAsia"/>
                <w:szCs w:val="21"/>
              </w:rPr>
              <w:t>247950</w:t>
            </w:r>
          </w:p>
        </w:tc>
        <w:tc>
          <w:tcPr>
            <w:tcW w:w="309" w:type="pct"/>
            <w:vMerge w:val="restart"/>
            <w:vAlign w:val="center"/>
          </w:tcPr>
          <w:p>
            <w:pPr>
              <w:pStyle w:val="35"/>
              <w:rPr>
                <w:rFonts w:eastAsiaTheme="minorEastAsia"/>
                <w:szCs w:val="21"/>
              </w:rPr>
            </w:pPr>
            <w:r>
              <w:rPr>
                <w:rFonts w:eastAsiaTheme="minorEastAsia"/>
                <w:szCs w:val="21"/>
              </w:rPr>
              <w:t>86/5</w:t>
            </w:r>
          </w:p>
        </w:tc>
        <w:tc>
          <w:tcPr>
            <w:tcW w:w="483" w:type="pct"/>
            <w:vAlign w:val="center"/>
          </w:tcPr>
          <w:p>
            <w:pPr>
              <w:pStyle w:val="35"/>
              <w:rPr>
                <w:rFonts w:eastAsiaTheme="minorEastAsia"/>
                <w:szCs w:val="21"/>
              </w:rPr>
            </w:pPr>
            <w:r>
              <w:rPr>
                <w:rFonts w:eastAsiaTheme="minorEastAsia"/>
                <w:szCs w:val="21"/>
              </w:rPr>
              <w:t>颗粒物</w:t>
            </w:r>
          </w:p>
        </w:tc>
        <w:tc>
          <w:tcPr>
            <w:tcW w:w="456" w:type="pct"/>
            <w:vAlign w:val="center"/>
          </w:tcPr>
          <w:p>
            <w:pPr>
              <w:pStyle w:val="35"/>
              <w:rPr>
                <w:rFonts w:eastAsiaTheme="minorEastAsia"/>
                <w:szCs w:val="21"/>
              </w:rPr>
            </w:pPr>
            <w:r>
              <w:rPr>
                <w:rFonts w:eastAsiaTheme="minorEastAsia"/>
                <w:szCs w:val="21"/>
              </w:rPr>
              <w:t xml:space="preserve">1.14 </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.28</w:t>
            </w:r>
          </w:p>
        </w:tc>
        <w:tc>
          <w:tcPr>
            <w:tcW w:w="392" w:type="pct"/>
            <w:vAlign w:val="center"/>
          </w:tcPr>
          <w:p>
            <w:pPr>
              <w:pStyle w:val="35"/>
              <w:rPr>
                <w:rFonts w:eastAsiaTheme="minorEastAsia"/>
                <w:szCs w:val="21"/>
              </w:rPr>
            </w:pPr>
            <w:r>
              <w:rPr>
                <w:rFonts w:hint="eastAsia" w:eastAsiaTheme="minorEastAsia"/>
                <w:szCs w:val="21"/>
              </w:rPr>
              <w:t>2</w:t>
            </w:r>
            <w:r>
              <w:rPr>
                <w:rFonts w:eastAsiaTheme="minorEastAsia"/>
                <w:szCs w:val="21"/>
              </w:rPr>
              <w:t>.26</w:t>
            </w:r>
          </w:p>
        </w:tc>
        <w:tc>
          <w:tcPr>
            <w:tcW w:w="392" w:type="pct"/>
            <w:vMerge w:val="restar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10</w:t>
            </w:r>
          </w:p>
        </w:tc>
        <w:tc>
          <w:tcPr>
            <w:tcW w:w="393" w:type="pct"/>
          </w:tcPr>
          <w:p>
            <w:pPr>
              <w:pStyle w:val="35"/>
              <w:rPr>
                <w:rFonts w:eastAsiaTheme="minorEastAsia"/>
                <w:szCs w:val="21"/>
              </w:rPr>
            </w:pPr>
            <w:r>
              <w:rPr>
                <w:rFonts w:eastAsiaTheme="minorEastAsia"/>
                <w:szCs w:val="21"/>
              </w:rPr>
              <w:t>/</w:t>
            </w:r>
          </w:p>
        </w:tc>
        <w:tc>
          <w:tcPr>
            <w:tcW w:w="479" w:type="pct"/>
            <w:vMerge w:val="restar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021.2在线数据</w:t>
            </w:r>
            <w:r>
              <w:rPr>
                <w:rFonts w:hint="eastAsia" w:ascii="Times New Roman" w:hAnsi="Times New Roman" w:eastAsiaTheme="minorEastAsia"/>
                <w:szCs w:val="21"/>
              </w:rPr>
              <w:t>均值</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二氧化硫</w:t>
            </w:r>
          </w:p>
        </w:tc>
        <w:tc>
          <w:tcPr>
            <w:tcW w:w="456" w:type="pct"/>
            <w:vAlign w:val="center"/>
          </w:tcPr>
          <w:p>
            <w:pPr>
              <w:pStyle w:val="35"/>
              <w:rPr>
                <w:rFonts w:eastAsiaTheme="minorEastAsia"/>
                <w:szCs w:val="21"/>
              </w:rPr>
            </w:pPr>
            <w:r>
              <w:rPr>
                <w:rFonts w:eastAsiaTheme="minorEastAsia"/>
                <w:szCs w:val="21"/>
              </w:rPr>
              <w:t>1.31</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.32</w:t>
            </w:r>
          </w:p>
        </w:tc>
        <w:tc>
          <w:tcPr>
            <w:tcW w:w="392" w:type="pct"/>
            <w:vAlign w:val="center"/>
          </w:tcPr>
          <w:p>
            <w:pPr>
              <w:pStyle w:val="35"/>
              <w:rPr>
                <w:rFonts w:eastAsiaTheme="minorEastAsia"/>
                <w:szCs w:val="21"/>
              </w:rPr>
            </w:pPr>
            <w:r>
              <w:rPr>
                <w:rFonts w:hint="eastAsia" w:eastAsiaTheme="minorEastAsia"/>
                <w:szCs w:val="21"/>
              </w:rPr>
              <w:t>2</w:t>
            </w:r>
            <w:r>
              <w:rPr>
                <w:rFonts w:eastAsiaTheme="minorEastAsia"/>
                <w:szCs w:val="21"/>
              </w:rPr>
              <w:t>.60</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eastAsiaTheme="minorEastAsia"/>
                <w:szCs w:val="21"/>
              </w:rPr>
              <w:t>35</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氮氧化物</w:t>
            </w:r>
          </w:p>
        </w:tc>
        <w:tc>
          <w:tcPr>
            <w:tcW w:w="456" w:type="pct"/>
            <w:vAlign w:val="center"/>
          </w:tcPr>
          <w:p>
            <w:pPr>
              <w:pStyle w:val="35"/>
              <w:rPr>
                <w:rFonts w:eastAsiaTheme="minorEastAsia"/>
                <w:szCs w:val="21"/>
              </w:rPr>
            </w:pPr>
            <w:r>
              <w:rPr>
                <w:rFonts w:eastAsiaTheme="minorEastAsia"/>
                <w:szCs w:val="21"/>
              </w:rPr>
              <w:t>45.55</w:t>
            </w:r>
          </w:p>
        </w:tc>
        <w:tc>
          <w:tcPr>
            <w:tcW w:w="392" w:type="pct"/>
            <w:vAlign w:val="center"/>
          </w:tcPr>
          <w:p>
            <w:pPr>
              <w:pStyle w:val="35"/>
              <w:rPr>
                <w:rFonts w:eastAsiaTheme="minorEastAsia"/>
                <w:szCs w:val="21"/>
              </w:rPr>
            </w:pPr>
            <w:r>
              <w:rPr>
                <w:rFonts w:hint="eastAsia" w:eastAsiaTheme="minorEastAsia"/>
                <w:szCs w:val="21"/>
              </w:rPr>
              <w:t>1</w:t>
            </w:r>
            <w:r>
              <w:rPr>
                <w:rFonts w:eastAsiaTheme="minorEastAsia"/>
                <w:szCs w:val="21"/>
              </w:rPr>
              <w:t>1.29</w:t>
            </w:r>
          </w:p>
        </w:tc>
        <w:tc>
          <w:tcPr>
            <w:tcW w:w="392" w:type="pct"/>
            <w:vAlign w:val="center"/>
          </w:tcPr>
          <w:p>
            <w:pPr>
              <w:pStyle w:val="35"/>
              <w:rPr>
                <w:rFonts w:eastAsiaTheme="minorEastAsia"/>
                <w:szCs w:val="21"/>
              </w:rPr>
            </w:pPr>
            <w:r>
              <w:rPr>
                <w:rFonts w:hint="eastAsia" w:eastAsiaTheme="minorEastAsia"/>
                <w:szCs w:val="21"/>
              </w:rPr>
              <w:t>9</w:t>
            </w:r>
            <w:r>
              <w:rPr>
                <w:rFonts w:eastAsiaTheme="minorEastAsia"/>
                <w:szCs w:val="21"/>
              </w:rPr>
              <w:t>0.35</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eastAsiaTheme="minorEastAsia"/>
                <w:szCs w:val="21"/>
              </w:rPr>
              <w:t>100</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pStyle w:val="35"/>
              <w:rPr>
                <w:rFonts w:eastAsiaTheme="minorEastAsia"/>
                <w:szCs w:val="21"/>
              </w:rPr>
            </w:pPr>
            <w:r>
              <w:rPr>
                <w:rFonts w:eastAsiaTheme="minorEastAsia"/>
                <w:szCs w:val="21"/>
              </w:rPr>
              <w:t>DA003</w:t>
            </w:r>
          </w:p>
        </w:tc>
        <w:tc>
          <w:tcPr>
            <w:tcW w:w="546" w:type="pct"/>
            <w:vMerge w:val="restart"/>
            <w:vAlign w:val="center"/>
          </w:tcPr>
          <w:p>
            <w:pPr>
              <w:pStyle w:val="35"/>
              <w:rPr>
                <w:rFonts w:eastAsiaTheme="minorEastAsia"/>
                <w:snapToGrid w:val="0"/>
                <w:szCs w:val="21"/>
              </w:rPr>
            </w:pPr>
            <w:r>
              <w:rPr>
                <w:rFonts w:eastAsiaTheme="minorEastAsia"/>
                <w:snapToGrid w:val="0"/>
                <w:szCs w:val="21"/>
              </w:rPr>
              <w:t>火炬燃烧烟气</w:t>
            </w:r>
          </w:p>
        </w:tc>
        <w:tc>
          <w:tcPr>
            <w:tcW w:w="319" w:type="pct"/>
            <w:vMerge w:val="restart"/>
            <w:vAlign w:val="center"/>
          </w:tcPr>
          <w:p>
            <w:pPr>
              <w:pStyle w:val="35"/>
              <w:rPr>
                <w:rFonts w:eastAsiaTheme="minorEastAsia"/>
                <w:szCs w:val="21"/>
              </w:rPr>
            </w:pPr>
            <w:r>
              <w:rPr>
                <w:rFonts w:eastAsiaTheme="minorEastAsia"/>
                <w:szCs w:val="21"/>
              </w:rPr>
              <w:t>1820</w:t>
            </w:r>
          </w:p>
        </w:tc>
        <w:tc>
          <w:tcPr>
            <w:tcW w:w="309" w:type="pct"/>
            <w:vMerge w:val="restart"/>
            <w:vAlign w:val="center"/>
          </w:tcPr>
          <w:p>
            <w:pPr>
              <w:pStyle w:val="35"/>
              <w:rPr>
                <w:rFonts w:eastAsiaTheme="minorEastAsia"/>
                <w:szCs w:val="21"/>
              </w:rPr>
            </w:pPr>
            <w:r>
              <w:rPr>
                <w:rFonts w:eastAsiaTheme="minorEastAsia"/>
                <w:szCs w:val="21"/>
              </w:rPr>
              <w:t>88</w:t>
            </w:r>
          </w:p>
        </w:tc>
        <w:tc>
          <w:tcPr>
            <w:tcW w:w="483" w:type="pct"/>
            <w:vAlign w:val="center"/>
          </w:tcPr>
          <w:p>
            <w:pPr>
              <w:pStyle w:val="35"/>
              <w:rPr>
                <w:rFonts w:eastAsiaTheme="minorEastAsia"/>
                <w:szCs w:val="21"/>
              </w:rPr>
            </w:pPr>
            <w:r>
              <w:rPr>
                <w:rFonts w:eastAsiaTheme="minorEastAsia"/>
                <w:szCs w:val="21"/>
              </w:rPr>
              <w:t>二氧化硫</w:t>
            </w:r>
          </w:p>
        </w:tc>
        <w:tc>
          <w:tcPr>
            <w:tcW w:w="456" w:type="pct"/>
            <w:vAlign w:val="center"/>
          </w:tcPr>
          <w:p>
            <w:pPr>
              <w:pStyle w:val="35"/>
              <w:rPr>
                <w:rFonts w:eastAsiaTheme="minorEastAsia"/>
                <w:szCs w:val="21"/>
              </w:rPr>
            </w:pPr>
            <w:r>
              <w:rPr>
                <w:rFonts w:eastAsiaTheme="minorEastAsia"/>
                <w:szCs w:val="21"/>
              </w:rPr>
              <w:t xml:space="preserve">8.24 </w:t>
            </w:r>
          </w:p>
        </w:tc>
        <w:tc>
          <w:tcPr>
            <w:tcW w:w="392" w:type="pct"/>
            <w:vAlign w:val="center"/>
          </w:tcPr>
          <w:p>
            <w:pPr>
              <w:pStyle w:val="35"/>
              <w:rPr>
                <w:rFonts w:eastAsiaTheme="minorEastAsia"/>
                <w:szCs w:val="21"/>
              </w:rPr>
            </w:pPr>
            <w:r>
              <w:rPr>
                <w:rFonts w:eastAsiaTheme="minorEastAsia"/>
                <w:szCs w:val="21"/>
              </w:rPr>
              <w:t>0.015</w:t>
            </w:r>
          </w:p>
        </w:tc>
        <w:tc>
          <w:tcPr>
            <w:tcW w:w="392" w:type="pct"/>
            <w:vAlign w:val="center"/>
          </w:tcPr>
          <w:p>
            <w:pPr>
              <w:pStyle w:val="35"/>
              <w:rPr>
                <w:rFonts w:eastAsiaTheme="minorEastAsia"/>
                <w:szCs w:val="21"/>
              </w:rPr>
            </w:pPr>
            <w:r>
              <w:rPr>
                <w:rFonts w:eastAsiaTheme="minorEastAsia"/>
                <w:szCs w:val="21"/>
              </w:rPr>
              <w:t>0.12</w:t>
            </w:r>
          </w:p>
        </w:tc>
        <w:tc>
          <w:tcPr>
            <w:tcW w:w="392" w:type="pct"/>
            <w:vMerge w:val="restar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550</w:t>
            </w:r>
          </w:p>
        </w:tc>
        <w:tc>
          <w:tcPr>
            <w:tcW w:w="393" w:type="pct"/>
            <w:vAlign w:val="center"/>
          </w:tcPr>
          <w:p>
            <w:pPr>
              <w:pStyle w:val="35"/>
              <w:rPr>
                <w:rFonts w:eastAsiaTheme="minorEastAsia"/>
                <w:szCs w:val="21"/>
              </w:rPr>
            </w:pPr>
            <w:r>
              <w:rPr>
                <w:rFonts w:eastAsiaTheme="minorEastAsia"/>
                <w:szCs w:val="21"/>
              </w:rPr>
              <w:t>122.6</w:t>
            </w:r>
          </w:p>
        </w:tc>
        <w:tc>
          <w:tcPr>
            <w:tcW w:w="479"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环评数据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氮氧化物</w:t>
            </w:r>
          </w:p>
        </w:tc>
        <w:tc>
          <w:tcPr>
            <w:tcW w:w="456" w:type="pct"/>
            <w:vAlign w:val="center"/>
          </w:tcPr>
          <w:p>
            <w:pPr>
              <w:pStyle w:val="35"/>
              <w:rPr>
                <w:rFonts w:eastAsiaTheme="minorEastAsia"/>
                <w:szCs w:val="21"/>
              </w:rPr>
            </w:pPr>
            <w:r>
              <w:rPr>
                <w:rFonts w:eastAsiaTheme="minorEastAsia"/>
                <w:szCs w:val="21"/>
              </w:rPr>
              <w:t xml:space="preserve">197.80 </w:t>
            </w:r>
          </w:p>
        </w:tc>
        <w:tc>
          <w:tcPr>
            <w:tcW w:w="392" w:type="pct"/>
            <w:vAlign w:val="center"/>
          </w:tcPr>
          <w:p>
            <w:pPr>
              <w:pStyle w:val="35"/>
              <w:rPr>
                <w:rFonts w:eastAsiaTheme="minorEastAsia"/>
                <w:szCs w:val="21"/>
              </w:rPr>
            </w:pPr>
            <w:r>
              <w:rPr>
                <w:rFonts w:eastAsiaTheme="minorEastAsia"/>
                <w:szCs w:val="21"/>
              </w:rPr>
              <w:t>0.36</w:t>
            </w:r>
          </w:p>
        </w:tc>
        <w:tc>
          <w:tcPr>
            <w:tcW w:w="392" w:type="pct"/>
            <w:vAlign w:val="center"/>
          </w:tcPr>
          <w:p>
            <w:pPr>
              <w:pStyle w:val="35"/>
              <w:rPr>
                <w:rFonts w:eastAsiaTheme="minorEastAsia"/>
                <w:szCs w:val="21"/>
              </w:rPr>
            </w:pPr>
            <w:r>
              <w:rPr>
                <w:rFonts w:eastAsiaTheme="minorEastAsia"/>
                <w:szCs w:val="21"/>
              </w:rPr>
              <w:t>2.88</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eastAsiaTheme="minorEastAsia"/>
                <w:szCs w:val="21"/>
              </w:rPr>
              <w:t>240</w:t>
            </w:r>
          </w:p>
        </w:tc>
        <w:tc>
          <w:tcPr>
            <w:tcW w:w="393" w:type="pct"/>
            <w:vAlign w:val="center"/>
          </w:tcPr>
          <w:p>
            <w:pPr>
              <w:pStyle w:val="35"/>
              <w:rPr>
                <w:rFonts w:eastAsiaTheme="minorEastAsia"/>
                <w:szCs w:val="21"/>
              </w:rPr>
            </w:pPr>
            <w:r>
              <w:rPr>
                <w:rFonts w:eastAsiaTheme="minorEastAsia"/>
                <w:szCs w:val="21"/>
              </w:rPr>
              <w:t>36.67</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pStyle w:val="35"/>
              <w:rPr>
                <w:rFonts w:eastAsiaTheme="minorEastAsia"/>
                <w:szCs w:val="21"/>
              </w:rPr>
            </w:pPr>
            <w:r>
              <w:rPr>
                <w:rFonts w:eastAsiaTheme="minorEastAsia"/>
                <w:szCs w:val="21"/>
              </w:rPr>
              <w:t>DA005</w:t>
            </w:r>
          </w:p>
        </w:tc>
        <w:tc>
          <w:tcPr>
            <w:tcW w:w="546" w:type="pct"/>
            <w:vMerge w:val="restart"/>
            <w:vAlign w:val="center"/>
          </w:tcPr>
          <w:p>
            <w:pPr>
              <w:pStyle w:val="35"/>
              <w:rPr>
                <w:rFonts w:eastAsiaTheme="minorEastAsia"/>
                <w:snapToGrid w:val="0"/>
                <w:szCs w:val="21"/>
              </w:rPr>
            </w:pPr>
            <w:r>
              <w:rPr>
                <w:rFonts w:eastAsiaTheme="minorEastAsia"/>
                <w:szCs w:val="21"/>
              </w:rPr>
              <w:t>低温甲醇洗放空CO</w:t>
            </w:r>
            <w:r>
              <w:rPr>
                <w:rFonts w:eastAsiaTheme="minorEastAsia"/>
                <w:szCs w:val="21"/>
                <w:vertAlign w:val="subscript"/>
              </w:rPr>
              <w:t>2</w:t>
            </w:r>
          </w:p>
        </w:tc>
        <w:tc>
          <w:tcPr>
            <w:tcW w:w="319" w:type="pct"/>
            <w:vMerge w:val="restart"/>
            <w:vAlign w:val="center"/>
          </w:tcPr>
          <w:p>
            <w:pPr>
              <w:pStyle w:val="35"/>
              <w:rPr>
                <w:rFonts w:eastAsiaTheme="minorEastAsia"/>
                <w:szCs w:val="21"/>
              </w:rPr>
            </w:pPr>
            <w:r>
              <w:rPr>
                <w:rFonts w:eastAsiaTheme="minorEastAsia"/>
                <w:szCs w:val="21"/>
              </w:rPr>
              <w:t>54400</w:t>
            </w:r>
          </w:p>
        </w:tc>
        <w:tc>
          <w:tcPr>
            <w:tcW w:w="309" w:type="pct"/>
            <w:vMerge w:val="restart"/>
            <w:vAlign w:val="center"/>
          </w:tcPr>
          <w:p>
            <w:pPr>
              <w:pStyle w:val="35"/>
              <w:rPr>
                <w:rFonts w:eastAsiaTheme="minorEastAsia"/>
                <w:szCs w:val="21"/>
              </w:rPr>
            </w:pPr>
            <w:r>
              <w:rPr>
                <w:rFonts w:eastAsiaTheme="minorEastAsia"/>
                <w:szCs w:val="21"/>
              </w:rPr>
              <w:t>85/0.6</w:t>
            </w:r>
          </w:p>
        </w:tc>
        <w:tc>
          <w:tcPr>
            <w:tcW w:w="483" w:type="pct"/>
            <w:vAlign w:val="center"/>
          </w:tcPr>
          <w:p>
            <w:pPr>
              <w:pStyle w:val="35"/>
              <w:rPr>
                <w:rFonts w:eastAsiaTheme="minorEastAsia"/>
                <w:szCs w:val="21"/>
              </w:rPr>
            </w:pPr>
            <w:r>
              <w:rPr>
                <w:rFonts w:eastAsiaTheme="minorEastAsia"/>
                <w:szCs w:val="21"/>
              </w:rPr>
              <w:t>甲醇</w:t>
            </w:r>
          </w:p>
        </w:tc>
        <w:tc>
          <w:tcPr>
            <w:tcW w:w="456" w:type="pct"/>
            <w:vAlign w:val="center"/>
          </w:tcPr>
          <w:p>
            <w:pPr>
              <w:pStyle w:val="35"/>
              <w:rPr>
                <w:rFonts w:eastAsiaTheme="minorEastAsia"/>
                <w:szCs w:val="21"/>
              </w:rPr>
            </w:pPr>
            <w:r>
              <w:rPr>
                <w:rFonts w:eastAsiaTheme="minorEastAsia"/>
                <w:szCs w:val="21"/>
              </w:rPr>
              <w:t>0.015</w:t>
            </w:r>
          </w:p>
        </w:tc>
        <w:tc>
          <w:tcPr>
            <w:tcW w:w="392" w:type="pct"/>
            <w:vAlign w:val="center"/>
          </w:tcPr>
          <w:p>
            <w:pPr>
              <w:pStyle w:val="35"/>
              <w:rPr>
                <w:rFonts w:eastAsiaTheme="minorEastAsia"/>
                <w:szCs w:val="21"/>
              </w:rPr>
            </w:pPr>
            <w:r>
              <w:rPr>
                <w:rFonts w:eastAsiaTheme="minorEastAsia"/>
                <w:szCs w:val="21"/>
              </w:rPr>
              <w:t>0.000835</w:t>
            </w:r>
          </w:p>
        </w:tc>
        <w:tc>
          <w:tcPr>
            <w:tcW w:w="392" w:type="pct"/>
            <w:vAlign w:val="center"/>
          </w:tcPr>
          <w:p>
            <w:pPr>
              <w:pStyle w:val="35"/>
              <w:rPr>
                <w:rFonts w:eastAsiaTheme="minorEastAsia"/>
                <w:szCs w:val="21"/>
              </w:rPr>
            </w:pPr>
            <w:r>
              <w:rPr>
                <w:rFonts w:eastAsiaTheme="minorEastAsia"/>
                <w:szCs w:val="21"/>
              </w:rPr>
              <w:t>2.088</w:t>
            </w:r>
          </w:p>
        </w:tc>
        <w:tc>
          <w:tcPr>
            <w:tcW w:w="392" w:type="pct"/>
            <w:vMerge w:val="restar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t>50</w:t>
            </w:r>
          </w:p>
        </w:tc>
        <w:tc>
          <w:tcPr>
            <w:tcW w:w="393" w:type="pct"/>
            <w:vAlign w:val="bottom"/>
          </w:tcPr>
          <w:p>
            <w:pPr>
              <w:pStyle w:val="35"/>
              <w:rPr>
                <w:rFonts w:eastAsiaTheme="minorEastAsia"/>
                <w:szCs w:val="21"/>
              </w:rPr>
            </w:pPr>
            <w:r>
              <w:rPr>
                <w:rFonts w:eastAsiaTheme="minorEastAsia"/>
                <w:szCs w:val="21"/>
              </w:rPr>
              <w:t>/</w:t>
            </w:r>
          </w:p>
        </w:tc>
        <w:tc>
          <w:tcPr>
            <w:tcW w:w="479" w:type="pct"/>
            <w:vMerge w:val="restar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020.11监测报告</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硫化氢</w:t>
            </w:r>
          </w:p>
        </w:tc>
        <w:tc>
          <w:tcPr>
            <w:tcW w:w="456" w:type="pct"/>
            <w:vAlign w:val="center"/>
          </w:tcPr>
          <w:p>
            <w:pPr>
              <w:pStyle w:val="35"/>
              <w:rPr>
                <w:rFonts w:eastAsiaTheme="minorEastAsia"/>
                <w:szCs w:val="21"/>
              </w:rPr>
            </w:pPr>
            <w:r>
              <w:rPr>
                <w:rFonts w:hint="eastAsia" w:eastAsiaTheme="minorEastAsia"/>
                <w:szCs w:val="21"/>
              </w:rPr>
              <w:t>未检出</w:t>
            </w:r>
          </w:p>
        </w:tc>
        <w:tc>
          <w:tcPr>
            <w:tcW w:w="392" w:type="pct"/>
            <w:vAlign w:val="center"/>
          </w:tcPr>
          <w:p>
            <w:pPr>
              <w:pStyle w:val="35"/>
              <w:rPr>
                <w:rFonts w:eastAsiaTheme="minorEastAsia"/>
                <w:szCs w:val="21"/>
              </w:rPr>
            </w:pPr>
            <w:r>
              <w:rPr>
                <w:rFonts w:hint="eastAsia" w:eastAsiaTheme="minorEastAsia"/>
                <w:szCs w:val="21"/>
              </w:rPr>
              <w:t>未检出</w:t>
            </w:r>
          </w:p>
        </w:tc>
        <w:tc>
          <w:tcPr>
            <w:tcW w:w="392" w:type="pct"/>
            <w:vAlign w:val="center"/>
          </w:tcPr>
          <w:p>
            <w:pPr>
              <w:pStyle w:val="35"/>
              <w:rPr>
                <w:rFonts w:eastAsiaTheme="minorEastAsia"/>
                <w:szCs w:val="21"/>
              </w:rPr>
            </w:pP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eastAsiaTheme="minorEastAsia"/>
                <w:szCs w:val="21"/>
              </w:rPr>
              <w:t>/</w:t>
            </w:r>
          </w:p>
        </w:tc>
        <w:tc>
          <w:tcPr>
            <w:tcW w:w="393" w:type="pct"/>
            <w:vAlign w:val="center"/>
          </w:tcPr>
          <w:p>
            <w:pPr>
              <w:pStyle w:val="35"/>
              <w:rPr>
                <w:rFonts w:eastAsiaTheme="minorEastAsia"/>
                <w:szCs w:val="21"/>
              </w:rPr>
            </w:pPr>
            <w:r>
              <w:rPr>
                <w:rFonts w:hint="eastAsia" w:eastAsiaTheme="minorEastAsia"/>
                <w:szCs w:val="21"/>
              </w:rPr>
              <w:t>9</w:t>
            </w:r>
            <w:r>
              <w:rPr>
                <w:rFonts w:eastAsiaTheme="minorEastAsia"/>
                <w:szCs w:val="21"/>
              </w:rPr>
              <w:t>.3</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非甲烷总烃</w:t>
            </w:r>
          </w:p>
        </w:tc>
        <w:tc>
          <w:tcPr>
            <w:tcW w:w="456" w:type="pct"/>
            <w:vAlign w:val="center"/>
          </w:tcPr>
          <w:p>
            <w:pPr>
              <w:pStyle w:val="35"/>
              <w:rPr>
                <w:rFonts w:eastAsiaTheme="minorEastAsia"/>
                <w:szCs w:val="21"/>
              </w:rPr>
            </w:pPr>
            <w:r>
              <w:rPr>
                <w:rFonts w:eastAsiaTheme="minorEastAsia"/>
                <w:szCs w:val="21"/>
              </w:rPr>
              <w:t>71.5</w:t>
            </w:r>
            <w:r>
              <w:rPr>
                <w:rFonts w:hint="eastAsia" w:eastAsiaTheme="minorEastAsia"/>
                <w:szCs w:val="21"/>
              </w:rPr>
              <w:t>~</w:t>
            </w:r>
            <w:r>
              <w:rPr>
                <w:rFonts w:eastAsiaTheme="minorEastAsia"/>
                <w:szCs w:val="21"/>
              </w:rPr>
              <w:t>86.4</w:t>
            </w:r>
          </w:p>
        </w:tc>
        <w:tc>
          <w:tcPr>
            <w:tcW w:w="392" w:type="pct"/>
            <w:vAlign w:val="center"/>
          </w:tcPr>
          <w:p>
            <w:pPr>
              <w:pStyle w:val="35"/>
              <w:rPr>
                <w:rFonts w:eastAsiaTheme="minorEastAsia"/>
                <w:szCs w:val="21"/>
              </w:rPr>
            </w:pPr>
            <w:r>
              <w:rPr>
                <w:rFonts w:eastAsiaTheme="minorEastAsia"/>
                <w:szCs w:val="21"/>
              </w:rPr>
              <w:t>/</w:t>
            </w:r>
          </w:p>
        </w:tc>
        <w:tc>
          <w:tcPr>
            <w:tcW w:w="392" w:type="pct"/>
            <w:vAlign w:val="center"/>
          </w:tcPr>
          <w:p>
            <w:pPr>
              <w:pStyle w:val="35"/>
              <w:rPr>
                <w:rFonts w:eastAsiaTheme="minorEastAsia"/>
                <w:szCs w:val="21"/>
              </w:rPr>
            </w:pPr>
            <w:r>
              <w:rPr>
                <w:rFonts w:eastAsiaTheme="minorEastAsia"/>
                <w:szCs w:val="21"/>
              </w:rPr>
              <w:t>/</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eastAsiaTheme="minorEastAsia"/>
                <w:szCs w:val="21"/>
              </w:rPr>
              <w:t>80</w:t>
            </w:r>
          </w:p>
        </w:tc>
        <w:tc>
          <w:tcPr>
            <w:tcW w:w="393" w:type="pct"/>
            <w:vAlign w:val="bottom"/>
          </w:tcPr>
          <w:p>
            <w:pPr>
              <w:pStyle w:val="35"/>
              <w:rPr>
                <w:rFonts w:eastAsiaTheme="minorEastAsia"/>
                <w:szCs w:val="21"/>
              </w:rPr>
            </w:pPr>
            <w:r>
              <w:rPr>
                <w:rFonts w:eastAsiaTheme="minorEastAsia"/>
                <w:szCs w:val="21"/>
              </w:rPr>
              <w:t>/</w:t>
            </w:r>
          </w:p>
        </w:tc>
        <w:tc>
          <w:tcPr>
            <w:tcW w:w="479" w:type="pct"/>
            <w:vAlign w:val="center"/>
          </w:tcPr>
          <w:p>
            <w:pPr>
              <w:jc w:val="center"/>
              <w:rPr>
                <w:rFonts w:ascii="Times New Roman" w:hAnsi="Times New Roman" w:eastAsiaTheme="minorEastAsia"/>
                <w:szCs w:val="21"/>
              </w:rPr>
            </w:pPr>
            <w:r>
              <w:rPr>
                <w:rFonts w:ascii="Times New Roman" w:hAnsi="Times New Roman" w:eastAsiaTheme="minorEastAsia"/>
                <w:szCs w:val="21"/>
              </w:rPr>
              <w:t>在线数据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Align w:val="center"/>
          </w:tcPr>
          <w:p>
            <w:pPr>
              <w:pStyle w:val="35"/>
              <w:rPr>
                <w:rFonts w:eastAsiaTheme="minorEastAsia"/>
                <w:szCs w:val="21"/>
              </w:rPr>
            </w:pPr>
            <w:r>
              <w:rPr>
                <w:rFonts w:eastAsiaTheme="minorEastAsia"/>
                <w:szCs w:val="21"/>
              </w:rPr>
              <w:t>DA006</w:t>
            </w:r>
          </w:p>
        </w:tc>
        <w:tc>
          <w:tcPr>
            <w:tcW w:w="546" w:type="pct"/>
            <w:vAlign w:val="center"/>
          </w:tcPr>
          <w:p>
            <w:pPr>
              <w:pStyle w:val="35"/>
              <w:rPr>
                <w:rFonts w:eastAsiaTheme="minorEastAsia"/>
                <w:snapToGrid w:val="0"/>
                <w:szCs w:val="21"/>
              </w:rPr>
            </w:pPr>
            <w:r>
              <w:rPr>
                <w:rFonts w:hint="eastAsia" w:eastAsiaTheme="minorEastAsia"/>
                <w:snapToGrid w:val="0"/>
                <w:szCs w:val="21"/>
              </w:rPr>
              <w:t>磨前煤仓</w:t>
            </w:r>
          </w:p>
        </w:tc>
        <w:tc>
          <w:tcPr>
            <w:tcW w:w="319" w:type="pct"/>
            <w:vAlign w:val="center"/>
          </w:tcPr>
          <w:p>
            <w:pPr>
              <w:pStyle w:val="35"/>
              <w:rPr>
                <w:rFonts w:eastAsiaTheme="minorEastAsia"/>
                <w:szCs w:val="21"/>
              </w:rPr>
            </w:pPr>
            <w:r>
              <w:rPr>
                <w:rFonts w:eastAsiaTheme="minorEastAsia"/>
                <w:szCs w:val="21"/>
              </w:rPr>
              <w:t>6000</w:t>
            </w:r>
          </w:p>
        </w:tc>
        <w:tc>
          <w:tcPr>
            <w:tcW w:w="309" w:type="pct"/>
            <w:vAlign w:val="center"/>
          </w:tcPr>
          <w:p>
            <w:pPr>
              <w:pStyle w:val="35"/>
              <w:rPr>
                <w:rFonts w:eastAsiaTheme="minorEastAsia"/>
                <w:szCs w:val="21"/>
              </w:rPr>
            </w:pPr>
            <w:r>
              <w:rPr>
                <w:rFonts w:eastAsiaTheme="minorEastAsia"/>
                <w:szCs w:val="21"/>
              </w:rPr>
              <w:t>46/0.4</w:t>
            </w:r>
          </w:p>
        </w:tc>
        <w:tc>
          <w:tcPr>
            <w:tcW w:w="483" w:type="pct"/>
            <w:vAlign w:val="center"/>
          </w:tcPr>
          <w:p>
            <w:pPr>
              <w:pStyle w:val="35"/>
              <w:rPr>
                <w:rFonts w:eastAsiaTheme="minorEastAsia"/>
                <w:szCs w:val="21"/>
              </w:rPr>
            </w:pPr>
            <w:r>
              <w:rPr>
                <w:rFonts w:eastAsiaTheme="minorEastAsia"/>
                <w:szCs w:val="21"/>
              </w:rPr>
              <w:t>粉尘</w:t>
            </w:r>
          </w:p>
        </w:tc>
        <w:tc>
          <w:tcPr>
            <w:tcW w:w="456" w:type="pct"/>
            <w:vAlign w:val="center"/>
          </w:tcPr>
          <w:p>
            <w:pPr>
              <w:pStyle w:val="35"/>
              <w:rPr>
                <w:rFonts w:eastAsiaTheme="minorEastAsia"/>
                <w:szCs w:val="21"/>
              </w:rPr>
            </w:pPr>
            <w:r>
              <w:rPr>
                <w:rFonts w:eastAsiaTheme="minorEastAsia"/>
                <w:szCs w:val="21"/>
              </w:rPr>
              <w:t xml:space="preserve">100 </w:t>
            </w:r>
          </w:p>
        </w:tc>
        <w:tc>
          <w:tcPr>
            <w:tcW w:w="392" w:type="pct"/>
            <w:vAlign w:val="center"/>
          </w:tcPr>
          <w:p>
            <w:pPr>
              <w:pStyle w:val="35"/>
              <w:rPr>
                <w:rFonts w:eastAsiaTheme="minorEastAsia"/>
                <w:szCs w:val="21"/>
              </w:rPr>
            </w:pPr>
            <w:r>
              <w:rPr>
                <w:rFonts w:eastAsiaTheme="minorEastAsia"/>
                <w:szCs w:val="21"/>
              </w:rPr>
              <w:t>1.2</w:t>
            </w:r>
          </w:p>
        </w:tc>
        <w:tc>
          <w:tcPr>
            <w:tcW w:w="392" w:type="pct"/>
            <w:vAlign w:val="center"/>
          </w:tcPr>
          <w:p>
            <w:pPr>
              <w:pStyle w:val="35"/>
              <w:rPr>
                <w:rFonts w:eastAsiaTheme="minorEastAsia"/>
                <w:szCs w:val="21"/>
              </w:rPr>
            </w:pPr>
            <w:r>
              <w:rPr>
                <w:rFonts w:eastAsiaTheme="minorEastAsia"/>
                <w:szCs w:val="21"/>
              </w:rPr>
              <w:t>9.6</w:t>
            </w:r>
          </w:p>
        </w:tc>
        <w:tc>
          <w:tcPr>
            <w:tcW w:w="392" w:type="pc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120</w:t>
            </w:r>
          </w:p>
        </w:tc>
        <w:tc>
          <w:tcPr>
            <w:tcW w:w="393" w:type="pct"/>
            <w:vAlign w:val="center"/>
          </w:tcPr>
          <w:p>
            <w:pPr>
              <w:pStyle w:val="35"/>
              <w:rPr>
                <w:rFonts w:eastAsiaTheme="minorEastAsia"/>
                <w:szCs w:val="21"/>
              </w:rPr>
            </w:pPr>
            <w:r>
              <w:rPr>
                <w:rFonts w:eastAsiaTheme="minorEastAsia"/>
                <w:szCs w:val="21"/>
              </w:rPr>
              <w:t>51.6</w:t>
            </w:r>
          </w:p>
        </w:tc>
        <w:tc>
          <w:tcPr>
            <w:tcW w:w="479" w:type="pct"/>
            <w:vAlign w:val="center"/>
          </w:tcPr>
          <w:p>
            <w:pPr>
              <w:jc w:val="center"/>
              <w:rPr>
                <w:rFonts w:ascii="Times New Roman" w:hAnsi="Times New Roman" w:eastAsiaTheme="minorEastAsia"/>
                <w:szCs w:val="21"/>
              </w:rPr>
            </w:pPr>
            <w:r>
              <w:rPr>
                <w:rFonts w:ascii="Times New Roman" w:hAnsi="Times New Roman" w:eastAsiaTheme="minorEastAsia"/>
                <w:szCs w:val="21"/>
              </w:rPr>
              <w:t>环评数据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Align w:val="center"/>
          </w:tcPr>
          <w:p>
            <w:pPr>
              <w:pStyle w:val="35"/>
              <w:rPr>
                <w:rFonts w:eastAsiaTheme="minorEastAsia"/>
                <w:szCs w:val="21"/>
              </w:rPr>
            </w:pPr>
            <w:r>
              <w:rPr>
                <w:rFonts w:eastAsiaTheme="minorEastAsia"/>
                <w:szCs w:val="21"/>
              </w:rPr>
              <w:t>DA007</w:t>
            </w:r>
          </w:p>
        </w:tc>
        <w:tc>
          <w:tcPr>
            <w:tcW w:w="546" w:type="pct"/>
            <w:vAlign w:val="center"/>
          </w:tcPr>
          <w:p>
            <w:pPr>
              <w:pStyle w:val="35"/>
              <w:rPr>
                <w:rFonts w:eastAsiaTheme="minorEastAsia"/>
                <w:snapToGrid w:val="0"/>
                <w:szCs w:val="21"/>
              </w:rPr>
            </w:pPr>
            <w:r>
              <w:rPr>
                <w:rFonts w:hint="eastAsia" w:eastAsiaTheme="minorEastAsia"/>
                <w:snapToGrid w:val="0"/>
                <w:szCs w:val="21"/>
              </w:rPr>
              <w:t>磨前煤仓</w:t>
            </w:r>
          </w:p>
        </w:tc>
        <w:tc>
          <w:tcPr>
            <w:tcW w:w="319" w:type="pct"/>
            <w:vAlign w:val="center"/>
          </w:tcPr>
          <w:p>
            <w:pPr>
              <w:pStyle w:val="35"/>
              <w:rPr>
                <w:rFonts w:eastAsiaTheme="minorEastAsia"/>
                <w:szCs w:val="21"/>
              </w:rPr>
            </w:pPr>
            <w:r>
              <w:rPr>
                <w:rFonts w:eastAsiaTheme="minorEastAsia"/>
                <w:szCs w:val="21"/>
              </w:rPr>
              <w:t>6000</w:t>
            </w:r>
          </w:p>
        </w:tc>
        <w:tc>
          <w:tcPr>
            <w:tcW w:w="309" w:type="pct"/>
            <w:vAlign w:val="center"/>
          </w:tcPr>
          <w:p>
            <w:pPr>
              <w:pStyle w:val="35"/>
              <w:rPr>
                <w:rFonts w:eastAsiaTheme="minorEastAsia"/>
                <w:szCs w:val="21"/>
              </w:rPr>
            </w:pPr>
            <w:r>
              <w:rPr>
                <w:rFonts w:eastAsiaTheme="minorEastAsia"/>
                <w:szCs w:val="21"/>
              </w:rPr>
              <w:t>46/0.4</w:t>
            </w:r>
          </w:p>
        </w:tc>
        <w:tc>
          <w:tcPr>
            <w:tcW w:w="483" w:type="pct"/>
            <w:vAlign w:val="center"/>
          </w:tcPr>
          <w:p>
            <w:pPr>
              <w:pStyle w:val="35"/>
              <w:rPr>
                <w:rFonts w:eastAsiaTheme="minorEastAsia"/>
                <w:szCs w:val="21"/>
              </w:rPr>
            </w:pPr>
            <w:r>
              <w:rPr>
                <w:rFonts w:eastAsiaTheme="minorEastAsia"/>
                <w:szCs w:val="21"/>
              </w:rPr>
              <w:t>粉尘</w:t>
            </w:r>
          </w:p>
        </w:tc>
        <w:tc>
          <w:tcPr>
            <w:tcW w:w="456" w:type="pct"/>
            <w:vAlign w:val="center"/>
          </w:tcPr>
          <w:p>
            <w:pPr>
              <w:pStyle w:val="35"/>
              <w:rPr>
                <w:rFonts w:eastAsiaTheme="minorEastAsia"/>
                <w:szCs w:val="21"/>
              </w:rPr>
            </w:pPr>
            <w:r>
              <w:rPr>
                <w:rFonts w:eastAsiaTheme="minorEastAsia"/>
                <w:szCs w:val="21"/>
              </w:rPr>
              <w:t xml:space="preserve">100 </w:t>
            </w:r>
          </w:p>
        </w:tc>
        <w:tc>
          <w:tcPr>
            <w:tcW w:w="392" w:type="pct"/>
            <w:vAlign w:val="center"/>
          </w:tcPr>
          <w:p>
            <w:pPr>
              <w:pStyle w:val="35"/>
              <w:rPr>
                <w:rFonts w:eastAsiaTheme="minorEastAsia"/>
                <w:szCs w:val="21"/>
              </w:rPr>
            </w:pPr>
            <w:r>
              <w:rPr>
                <w:rFonts w:eastAsiaTheme="minorEastAsia"/>
                <w:szCs w:val="21"/>
              </w:rPr>
              <w:t>1.2</w:t>
            </w:r>
          </w:p>
        </w:tc>
        <w:tc>
          <w:tcPr>
            <w:tcW w:w="392" w:type="pct"/>
            <w:vAlign w:val="center"/>
          </w:tcPr>
          <w:p>
            <w:pPr>
              <w:pStyle w:val="35"/>
              <w:rPr>
                <w:rFonts w:eastAsiaTheme="minorEastAsia"/>
                <w:szCs w:val="21"/>
              </w:rPr>
            </w:pPr>
            <w:r>
              <w:rPr>
                <w:rFonts w:eastAsiaTheme="minorEastAsia"/>
                <w:szCs w:val="21"/>
              </w:rPr>
              <w:t>9.6</w:t>
            </w:r>
          </w:p>
        </w:tc>
        <w:tc>
          <w:tcPr>
            <w:tcW w:w="392" w:type="pc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120</w:t>
            </w:r>
          </w:p>
        </w:tc>
        <w:tc>
          <w:tcPr>
            <w:tcW w:w="393" w:type="pct"/>
            <w:vAlign w:val="center"/>
          </w:tcPr>
          <w:p>
            <w:pPr>
              <w:pStyle w:val="35"/>
              <w:rPr>
                <w:rFonts w:eastAsiaTheme="minorEastAsia"/>
                <w:szCs w:val="21"/>
              </w:rPr>
            </w:pPr>
            <w:r>
              <w:rPr>
                <w:rFonts w:eastAsiaTheme="minorEastAsia"/>
                <w:szCs w:val="21"/>
              </w:rPr>
              <w:t>51.6</w:t>
            </w:r>
          </w:p>
        </w:tc>
        <w:tc>
          <w:tcPr>
            <w:tcW w:w="479" w:type="pct"/>
            <w:vAlign w:val="center"/>
          </w:tcPr>
          <w:p>
            <w:pPr>
              <w:jc w:val="center"/>
              <w:rPr>
                <w:rFonts w:ascii="Times New Roman" w:hAnsi="Times New Roman" w:eastAsiaTheme="minorEastAsia"/>
                <w:szCs w:val="21"/>
              </w:rPr>
            </w:pPr>
            <w:r>
              <w:rPr>
                <w:rFonts w:ascii="Times New Roman" w:hAnsi="Times New Roman" w:eastAsiaTheme="minorEastAsia"/>
                <w:szCs w:val="21"/>
              </w:rPr>
              <w:t>环评数据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pStyle w:val="35"/>
              <w:rPr>
                <w:rFonts w:eastAsiaTheme="minorEastAsia"/>
                <w:szCs w:val="21"/>
              </w:rPr>
            </w:pPr>
            <w:r>
              <w:rPr>
                <w:rFonts w:eastAsiaTheme="minorEastAsia"/>
                <w:szCs w:val="21"/>
              </w:rPr>
              <w:t>DA008</w:t>
            </w:r>
          </w:p>
        </w:tc>
        <w:tc>
          <w:tcPr>
            <w:tcW w:w="546" w:type="pct"/>
            <w:vMerge w:val="restart"/>
            <w:vAlign w:val="center"/>
          </w:tcPr>
          <w:p>
            <w:pPr>
              <w:pStyle w:val="35"/>
              <w:rPr>
                <w:rFonts w:eastAsiaTheme="minorEastAsia"/>
                <w:snapToGrid w:val="0"/>
                <w:szCs w:val="21"/>
              </w:rPr>
            </w:pPr>
            <w:r>
              <w:rPr>
                <w:rFonts w:hint="eastAsia" w:eastAsiaTheme="minorEastAsia"/>
                <w:snapToGrid w:val="0"/>
                <w:szCs w:val="21"/>
              </w:rPr>
              <w:t>磨煤干燥（热风炉南）废气</w:t>
            </w:r>
          </w:p>
        </w:tc>
        <w:tc>
          <w:tcPr>
            <w:tcW w:w="319" w:type="pct"/>
            <w:vMerge w:val="restart"/>
            <w:vAlign w:val="center"/>
          </w:tcPr>
          <w:p>
            <w:pPr>
              <w:pStyle w:val="35"/>
              <w:rPr>
                <w:rFonts w:eastAsiaTheme="minorEastAsia"/>
                <w:szCs w:val="21"/>
              </w:rPr>
            </w:pPr>
            <w:r>
              <w:rPr>
                <w:rFonts w:hint="eastAsia" w:eastAsiaTheme="minorEastAsia"/>
                <w:szCs w:val="21"/>
              </w:rPr>
              <w:t>3</w:t>
            </w:r>
            <w:r>
              <w:rPr>
                <w:rFonts w:eastAsiaTheme="minorEastAsia"/>
                <w:szCs w:val="21"/>
              </w:rPr>
              <w:t>8700</w:t>
            </w:r>
          </w:p>
        </w:tc>
        <w:tc>
          <w:tcPr>
            <w:tcW w:w="309" w:type="pct"/>
            <w:vMerge w:val="restart"/>
            <w:vAlign w:val="center"/>
          </w:tcPr>
          <w:p>
            <w:pPr>
              <w:pStyle w:val="35"/>
              <w:rPr>
                <w:rFonts w:eastAsiaTheme="minorEastAsia"/>
                <w:szCs w:val="21"/>
              </w:rPr>
            </w:pPr>
            <w:r>
              <w:rPr>
                <w:rFonts w:eastAsiaTheme="minorEastAsia"/>
                <w:szCs w:val="21"/>
              </w:rPr>
              <w:t>96/0.7</w:t>
            </w:r>
          </w:p>
        </w:tc>
        <w:tc>
          <w:tcPr>
            <w:tcW w:w="483" w:type="pct"/>
            <w:vAlign w:val="center"/>
          </w:tcPr>
          <w:p>
            <w:pPr>
              <w:pStyle w:val="35"/>
              <w:rPr>
                <w:rFonts w:eastAsiaTheme="minorEastAsia"/>
                <w:szCs w:val="21"/>
              </w:rPr>
            </w:pPr>
            <w:r>
              <w:rPr>
                <w:rFonts w:hint="eastAsia" w:eastAsiaTheme="minorEastAsia"/>
                <w:szCs w:val="21"/>
              </w:rPr>
              <w:t>颗粒物</w:t>
            </w:r>
          </w:p>
        </w:tc>
        <w:tc>
          <w:tcPr>
            <w:tcW w:w="456" w:type="pct"/>
            <w:vAlign w:val="center"/>
          </w:tcPr>
          <w:p>
            <w:pPr>
              <w:pStyle w:val="35"/>
              <w:rPr>
                <w:rFonts w:eastAsiaTheme="minorEastAsia"/>
                <w:szCs w:val="21"/>
              </w:rPr>
            </w:pPr>
            <w:r>
              <w:rPr>
                <w:rFonts w:hint="eastAsia" w:eastAsiaTheme="minorEastAsia"/>
                <w:szCs w:val="21"/>
              </w:rPr>
              <w:t>2</w:t>
            </w:r>
            <w:r>
              <w:rPr>
                <w:rFonts w:eastAsiaTheme="minorEastAsia"/>
                <w:szCs w:val="21"/>
              </w:rPr>
              <w:t>.84</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.110</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.88</w:t>
            </w:r>
          </w:p>
        </w:tc>
        <w:tc>
          <w:tcPr>
            <w:tcW w:w="392" w:type="pct"/>
            <w:vMerge w:val="restar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hint="eastAsia" w:eastAsiaTheme="minorEastAsia"/>
                <w:szCs w:val="21"/>
              </w:rPr>
              <w:t>2</w:t>
            </w:r>
            <w:r>
              <w:rPr>
                <w:rFonts w:eastAsiaTheme="minorEastAsia"/>
                <w:szCs w:val="21"/>
              </w:rPr>
              <w:t>0</w:t>
            </w:r>
          </w:p>
        </w:tc>
        <w:tc>
          <w:tcPr>
            <w:tcW w:w="393" w:type="pct"/>
          </w:tcPr>
          <w:p>
            <w:pPr>
              <w:pStyle w:val="35"/>
              <w:rPr>
                <w:rFonts w:eastAsiaTheme="minorEastAsia"/>
                <w:szCs w:val="21"/>
              </w:rPr>
            </w:pPr>
            <w:r>
              <w:rPr>
                <w:rFonts w:eastAsiaTheme="minorEastAsia"/>
                <w:szCs w:val="21"/>
              </w:rPr>
              <w:t>/</w:t>
            </w:r>
          </w:p>
        </w:tc>
        <w:tc>
          <w:tcPr>
            <w:tcW w:w="479" w:type="pct"/>
            <w:vMerge w:val="restar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020.11监测报告</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二氧化硫</w:t>
            </w:r>
          </w:p>
        </w:tc>
        <w:tc>
          <w:tcPr>
            <w:tcW w:w="456" w:type="pct"/>
            <w:vAlign w:val="center"/>
          </w:tcPr>
          <w:p>
            <w:pPr>
              <w:pStyle w:val="35"/>
              <w:rPr>
                <w:rFonts w:eastAsiaTheme="minorEastAsia"/>
                <w:szCs w:val="21"/>
              </w:rPr>
            </w:pPr>
            <w:r>
              <w:rPr>
                <w:rFonts w:hint="eastAsia" w:eastAsiaTheme="minorEastAsia"/>
                <w:szCs w:val="21"/>
              </w:rPr>
              <w:t>N</w:t>
            </w:r>
            <w:r>
              <w:rPr>
                <w:rFonts w:eastAsiaTheme="minorEastAsia"/>
                <w:szCs w:val="21"/>
              </w:rPr>
              <w:t>D</w:t>
            </w:r>
          </w:p>
        </w:tc>
        <w:tc>
          <w:tcPr>
            <w:tcW w:w="392" w:type="pct"/>
            <w:vAlign w:val="center"/>
          </w:tcPr>
          <w:p>
            <w:pPr>
              <w:pStyle w:val="35"/>
              <w:rPr>
                <w:rFonts w:eastAsiaTheme="minorEastAsia"/>
                <w:szCs w:val="21"/>
              </w:rPr>
            </w:pPr>
            <w:r>
              <w:rPr>
                <w:rFonts w:hint="eastAsia" w:eastAsiaTheme="minorEastAsia"/>
                <w:szCs w:val="21"/>
              </w:rPr>
              <w:t>/</w:t>
            </w:r>
          </w:p>
        </w:tc>
        <w:tc>
          <w:tcPr>
            <w:tcW w:w="392" w:type="pct"/>
            <w:vAlign w:val="center"/>
          </w:tcPr>
          <w:p>
            <w:pPr>
              <w:pStyle w:val="35"/>
              <w:rPr>
                <w:rFonts w:eastAsiaTheme="minorEastAsia"/>
                <w:szCs w:val="21"/>
              </w:rPr>
            </w:pPr>
            <w:r>
              <w:rPr>
                <w:rFonts w:hint="eastAsia" w:eastAsiaTheme="minorEastAsia"/>
                <w:szCs w:val="21"/>
              </w:rPr>
              <w:t>/</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hint="eastAsia" w:eastAsiaTheme="minorEastAsia"/>
                <w:szCs w:val="21"/>
              </w:rPr>
              <w:t>5</w:t>
            </w:r>
            <w:r>
              <w:rPr>
                <w:rFonts w:eastAsiaTheme="minorEastAsia"/>
                <w:szCs w:val="21"/>
              </w:rPr>
              <w:t>0</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氮氧化物</w:t>
            </w:r>
          </w:p>
        </w:tc>
        <w:tc>
          <w:tcPr>
            <w:tcW w:w="456" w:type="pct"/>
            <w:vAlign w:val="center"/>
          </w:tcPr>
          <w:p>
            <w:pPr>
              <w:pStyle w:val="35"/>
              <w:rPr>
                <w:rFonts w:eastAsiaTheme="minorEastAsia"/>
                <w:szCs w:val="21"/>
              </w:rPr>
            </w:pPr>
            <w:r>
              <w:rPr>
                <w:rFonts w:hint="eastAsia" w:eastAsiaTheme="minorEastAsia"/>
                <w:szCs w:val="21"/>
              </w:rPr>
              <w:t>1</w:t>
            </w:r>
            <w:r>
              <w:rPr>
                <w:rFonts w:eastAsiaTheme="minorEastAsia"/>
                <w:szCs w:val="21"/>
              </w:rPr>
              <w:t>8.36</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.711</w:t>
            </w:r>
          </w:p>
        </w:tc>
        <w:tc>
          <w:tcPr>
            <w:tcW w:w="392" w:type="pct"/>
            <w:vAlign w:val="center"/>
          </w:tcPr>
          <w:p>
            <w:pPr>
              <w:pStyle w:val="35"/>
              <w:rPr>
                <w:rFonts w:eastAsiaTheme="minorEastAsia"/>
                <w:szCs w:val="21"/>
              </w:rPr>
            </w:pPr>
            <w:r>
              <w:rPr>
                <w:rFonts w:hint="eastAsia" w:eastAsiaTheme="minorEastAsia"/>
                <w:szCs w:val="21"/>
              </w:rPr>
              <w:t>5</w:t>
            </w:r>
            <w:r>
              <w:rPr>
                <w:rFonts w:eastAsiaTheme="minorEastAsia"/>
                <w:szCs w:val="21"/>
              </w:rPr>
              <w:t>.69</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hint="eastAsia" w:eastAsiaTheme="minorEastAsia"/>
                <w:szCs w:val="21"/>
              </w:rPr>
              <w:t>1</w:t>
            </w:r>
            <w:r>
              <w:rPr>
                <w:rFonts w:eastAsiaTheme="minorEastAsia"/>
                <w:szCs w:val="21"/>
              </w:rPr>
              <w:t>00</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restart"/>
            <w:vAlign w:val="center"/>
          </w:tcPr>
          <w:p>
            <w:pPr>
              <w:pStyle w:val="35"/>
              <w:rPr>
                <w:rFonts w:eastAsiaTheme="minorEastAsia"/>
                <w:szCs w:val="21"/>
              </w:rPr>
            </w:pPr>
            <w:r>
              <w:rPr>
                <w:rFonts w:eastAsiaTheme="minorEastAsia"/>
                <w:szCs w:val="21"/>
              </w:rPr>
              <w:t>DA010</w:t>
            </w:r>
          </w:p>
        </w:tc>
        <w:tc>
          <w:tcPr>
            <w:tcW w:w="546" w:type="pct"/>
            <w:vMerge w:val="restart"/>
            <w:vAlign w:val="center"/>
          </w:tcPr>
          <w:p>
            <w:pPr>
              <w:pStyle w:val="35"/>
              <w:rPr>
                <w:rFonts w:eastAsiaTheme="minorEastAsia"/>
                <w:snapToGrid w:val="0"/>
                <w:szCs w:val="21"/>
              </w:rPr>
            </w:pPr>
            <w:r>
              <w:rPr>
                <w:rFonts w:hint="eastAsia" w:eastAsiaTheme="minorEastAsia"/>
                <w:snapToGrid w:val="0"/>
                <w:szCs w:val="21"/>
              </w:rPr>
              <w:t>磨煤干燥（热风炉北）废气</w:t>
            </w:r>
          </w:p>
        </w:tc>
        <w:tc>
          <w:tcPr>
            <w:tcW w:w="319" w:type="pct"/>
            <w:vMerge w:val="restart"/>
            <w:vAlign w:val="center"/>
          </w:tcPr>
          <w:p>
            <w:pPr>
              <w:pStyle w:val="35"/>
              <w:rPr>
                <w:rFonts w:eastAsiaTheme="minorEastAsia"/>
                <w:szCs w:val="21"/>
              </w:rPr>
            </w:pPr>
            <w:r>
              <w:rPr>
                <w:rFonts w:hint="eastAsia" w:eastAsiaTheme="minorEastAsia"/>
                <w:szCs w:val="21"/>
              </w:rPr>
              <w:t>2</w:t>
            </w:r>
            <w:r>
              <w:rPr>
                <w:rFonts w:eastAsiaTheme="minorEastAsia"/>
                <w:szCs w:val="21"/>
              </w:rPr>
              <w:t>8500</w:t>
            </w:r>
          </w:p>
        </w:tc>
        <w:tc>
          <w:tcPr>
            <w:tcW w:w="309" w:type="pct"/>
            <w:vMerge w:val="restart"/>
            <w:vAlign w:val="center"/>
          </w:tcPr>
          <w:p>
            <w:pPr>
              <w:pStyle w:val="35"/>
              <w:rPr>
                <w:rFonts w:eastAsiaTheme="minorEastAsia"/>
                <w:szCs w:val="21"/>
              </w:rPr>
            </w:pPr>
            <w:r>
              <w:rPr>
                <w:rFonts w:eastAsiaTheme="minorEastAsia"/>
                <w:szCs w:val="21"/>
              </w:rPr>
              <w:t>96/0.7</w:t>
            </w:r>
          </w:p>
        </w:tc>
        <w:tc>
          <w:tcPr>
            <w:tcW w:w="483" w:type="pct"/>
            <w:vAlign w:val="center"/>
          </w:tcPr>
          <w:p>
            <w:pPr>
              <w:pStyle w:val="35"/>
              <w:rPr>
                <w:rFonts w:eastAsiaTheme="minorEastAsia"/>
                <w:szCs w:val="21"/>
              </w:rPr>
            </w:pPr>
            <w:r>
              <w:rPr>
                <w:rFonts w:hint="eastAsia" w:eastAsiaTheme="minorEastAsia"/>
                <w:szCs w:val="21"/>
              </w:rPr>
              <w:t>颗粒物</w:t>
            </w:r>
          </w:p>
        </w:tc>
        <w:tc>
          <w:tcPr>
            <w:tcW w:w="456" w:type="pct"/>
            <w:vAlign w:val="center"/>
          </w:tcPr>
          <w:p>
            <w:pPr>
              <w:pStyle w:val="35"/>
              <w:rPr>
                <w:rFonts w:eastAsiaTheme="minorEastAsia"/>
                <w:szCs w:val="21"/>
              </w:rPr>
            </w:pPr>
            <w:r>
              <w:rPr>
                <w:rFonts w:hint="eastAsia" w:eastAsiaTheme="minorEastAsia"/>
                <w:szCs w:val="21"/>
              </w:rPr>
              <w:t>2</w:t>
            </w:r>
            <w:r>
              <w:rPr>
                <w:rFonts w:eastAsiaTheme="minorEastAsia"/>
                <w:szCs w:val="21"/>
              </w:rPr>
              <w:t>.5</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.07</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.56</w:t>
            </w:r>
          </w:p>
        </w:tc>
        <w:tc>
          <w:tcPr>
            <w:tcW w:w="392" w:type="pct"/>
            <w:vMerge w:val="restar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hint="eastAsia" w:eastAsiaTheme="minorEastAsia"/>
                <w:szCs w:val="21"/>
              </w:rPr>
              <w:t>2</w:t>
            </w:r>
            <w:r>
              <w:rPr>
                <w:rFonts w:eastAsiaTheme="minorEastAsia"/>
                <w:szCs w:val="21"/>
              </w:rPr>
              <w:t>0</w:t>
            </w:r>
          </w:p>
        </w:tc>
        <w:tc>
          <w:tcPr>
            <w:tcW w:w="393" w:type="pct"/>
          </w:tcPr>
          <w:p>
            <w:pPr>
              <w:pStyle w:val="35"/>
              <w:rPr>
                <w:rFonts w:eastAsiaTheme="minorEastAsia"/>
                <w:szCs w:val="21"/>
              </w:rPr>
            </w:pPr>
            <w:r>
              <w:rPr>
                <w:rFonts w:eastAsiaTheme="minorEastAsia"/>
                <w:szCs w:val="21"/>
              </w:rPr>
              <w:t>/</w:t>
            </w:r>
          </w:p>
        </w:tc>
        <w:tc>
          <w:tcPr>
            <w:tcW w:w="479" w:type="pct"/>
            <w:vMerge w:val="restar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020.11监测报告</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二氧化硫</w:t>
            </w:r>
          </w:p>
        </w:tc>
        <w:tc>
          <w:tcPr>
            <w:tcW w:w="456" w:type="pct"/>
            <w:vAlign w:val="center"/>
          </w:tcPr>
          <w:p>
            <w:pPr>
              <w:pStyle w:val="35"/>
              <w:rPr>
                <w:rFonts w:eastAsiaTheme="minorEastAsia"/>
                <w:szCs w:val="21"/>
              </w:rPr>
            </w:pPr>
            <w:r>
              <w:rPr>
                <w:rFonts w:hint="eastAsia" w:eastAsiaTheme="minorEastAsia"/>
                <w:szCs w:val="21"/>
              </w:rPr>
              <w:t>N</w:t>
            </w:r>
            <w:r>
              <w:rPr>
                <w:rFonts w:eastAsiaTheme="minorEastAsia"/>
                <w:szCs w:val="21"/>
              </w:rPr>
              <w:t>D</w:t>
            </w:r>
          </w:p>
        </w:tc>
        <w:tc>
          <w:tcPr>
            <w:tcW w:w="392" w:type="pct"/>
            <w:vAlign w:val="center"/>
          </w:tcPr>
          <w:p>
            <w:pPr>
              <w:pStyle w:val="35"/>
              <w:rPr>
                <w:rFonts w:eastAsiaTheme="minorEastAsia"/>
                <w:szCs w:val="21"/>
              </w:rPr>
            </w:pPr>
            <w:r>
              <w:rPr>
                <w:rFonts w:hint="eastAsia" w:eastAsiaTheme="minorEastAsia"/>
                <w:szCs w:val="21"/>
              </w:rPr>
              <w:t>/</w:t>
            </w:r>
          </w:p>
        </w:tc>
        <w:tc>
          <w:tcPr>
            <w:tcW w:w="392" w:type="pct"/>
            <w:vAlign w:val="center"/>
          </w:tcPr>
          <w:p>
            <w:pPr>
              <w:pStyle w:val="35"/>
              <w:rPr>
                <w:rFonts w:eastAsiaTheme="minorEastAsia"/>
                <w:szCs w:val="21"/>
              </w:rPr>
            </w:pPr>
            <w:r>
              <w:rPr>
                <w:rFonts w:hint="eastAsia" w:eastAsiaTheme="minorEastAsia"/>
                <w:szCs w:val="21"/>
              </w:rPr>
              <w:t>/</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hint="eastAsia" w:eastAsiaTheme="minorEastAsia"/>
                <w:szCs w:val="21"/>
              </w:rPr>
              <w:t>5</w:t>
            </w:r>
            <w:r>
              <w:rPr>
                <w:rFonts w:eastAsiaTheme="minorEastAsia"/>
                <w:szCs w:val="21"/>
              </w:rPr>
              <w:t>0</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Merge w:val="continue"/>
            <w:vAlign w:val="center"/>
          </w:tcPr>
          <w:p>
            <w:pPr>
              <w:pStyle w:val="35"/>
              <w:rPr>
                <w:rFonts w:eastAsiaTheme="minorEastAsia"/>
                <w:szCs w:val="21"/>
              </w:rPr>
            </w:pPr>
          </w:p>
        </w:tc>
        <w:tc>
          <w:tcPr>
            <w:tcW w:w="546" w:type="pct"/>
            <w:vMerge w:val="continue"/>
            <w:vAlign w:val="center"/>
          </w:tcPr>
          <w:p>
            <w:pPr>
              <w:pStyle w:val="35"/>
              <w:rPr>
                <w:rFonts w:eastAsiaTheme="minorEastAsia"/>
                <w:snapToGrid w:val="0"/>
                <w:szCs w:val="21"/>
              </w:rPr>
            </w:pPr>
          </w:p>
        </w:tc>
        <w:tc>
          <w:tcPr>
            <w:tcW w:w="319" w:type="pct"/>
            <w:vMerge w:val="continue"/>
            <w:vAlign w:val="center"/>
          </w:tcPr>
          <w:p>
            <w:pPr>
              <w:pStyle w:val="35"/>
              <w:rPr>
                <w:rFonts w:eastAsiaTheme="minorEastAsia"/>
                <w:szCs w:val="21"/>
              </w:rPr>
            </w:pPr>
          </w:p>
        </w:tc>
        <w:tc>
          <w:tcPr>
            <w:tcW w:w="309" w:type="pct"/>
            <w:vMerge w:val="continue"/>
            <w:vAlign w:val="center"/>
          </w:tcPr>
          <w:p>
            <w:pPr>
              <w:pStyle w:val="35"/>
              <w:rPr>
                <w:rFonts w:eastAsiaTheme="minorEastAsia"/>
                <w:szCs w:val="21"/>
              </w:rPr>
            </w:pPr>
          </w:p>
        </w:tc>
        <w:tc>
          <w:tcPr>
            <w:tcW w:w="483" w:type="pct"/>
            <w:vAlign w:val="center"/>
          </w:tcPr>
          <w:p>
            <w:pPr>
              <w:pStyle w:val="35"/>
              <w:rPr>
                <w:rFonts w:eastAsiaTheme="minorEastAsia"/>
                <w:szCs w:val="21"/>
              </w:rPr>
            </w:pPr>
            <w:r>
              <w:rPr>
                <w:rFonts w:eastAsiaTheme="minorEastAsia"/>
                <w:szCs w:val="21"/>
              </w:rPr>
              <w:t>氮氧化物</w:t>
            </w:r>
          </w:p>
        </w:tc>
        <w:tc>
          <w:tcPr>
            <w:tcW w:w="456" w:type="pct"/>
            <w:vAlign w:val="center"/>
          </w:tcPr>
          <w:p>
            <w:pPr>
              <w:pStyle w:val="35"/>
              <w:rPr>
                <w:rFonts w:eastAsiaTheme="minorEastAsia"/>
                <w:szCs w:val="21"/>
              </w:rPr>
            </w:pPr>
            <w:r>
              <w:rPr>
                <w:rFonts w:hint="eastAsia" w:eastAsiaTheme="minorEastAsia"/>
                <w:szCs w:val="21"/>
              </w:rPr>
              <w:t>2</w:t>
            </w:r>
            <w:r>
              <w:rPr>
                <w:rFonts w:eastAsiaTheme="minorEastAsia"/>
                <w:szCs w:val="21"/>
              </w:rPr>
              <w:t>2.5</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.64</w:t>
            </w:r>
          </w:p>
        </w:tc>
        <w:tc>
          <w:tcPr>
            <w:tcW w:w="392" w:type="pct"/>
            <w:vAlign w:val="center"/>
          </w:tcPr>
          <w:p>
            <w:pPr>
              <w:pStyle w:val="35"/>
              <w:rPr>
                <w:rFonts w:eastAsiaTheme="minorEastAsia"/>
                <w:szCs w:val="21"/>
              </w:rPr>
            </w:pPr>
            <w:r>
              <w:rPr>
                <w:rFonts w:hint="eastAsia" w:eastAsiaTheme="minorEastAsia"/>
                <w:szCs w:val="21"/>
              </w:rPr>
              <w:t>5</w:t>
            </w:r>
            <w:r>
              <w:rPr>
                <w:rFonts w:eastAsiaTheme="minorEastAsia"/>
                <w:szCs w:val="21"/>
              </w:rPr>
              <w:t>.12</w:t>
            </w:r>
          </w:p>
        </w:tc>
        <w:tc>
          <w:tcPr>
            <w:tcW w:w="392" w:type="pct"/>
            <w:vMerge w:val="continue"/>
            <w:vAlign w:val="center"/>
          </w:tcPr>
          <w:p>
            <w:pPr>
              <w:pStyle w:val="35"/>
              <w:rPr>
                <w:rFonts w:eastAsiaTheme="minorEastAsia"/>
                <w:szCs w:val="21"/>
              </w:rPr>
            </w:pPr>
          </w:p>
        </w:tc>
        <w:tc>
          <w:tcPr>
            <w:tcW w:w="543" w:type="pct"/>
            <w:vAlign w:val="center"/>
          </w:tcPr>
          <w:p>
            <w:pPr>
              <w:pStyle w:val="35"/>
              <w:rPr>
                <w:rFonts w:eastAsiaTheme="minorEastAsia"/>
                <w:szCs w:val="21"/>
              </w:rPr>
            </w:pPr>
            <w:r>
              <w:rPr>
                <w:rFonts w:hint="eastAsia" w:eastAsiaTheme="minorEastAsia"/>
                <w:szCs w:val="21"/>
              </w:rPr>
              <w:t>1</w:t>
            </w:r>
            <w:r>
              <w:rPr>
                <w:rFonts w:eastAsiaTheme="minorEastAsia"/>
                <w:szCs w:val="21"/>
              </w:rPr>
              <w:t>00</w:t>
            </w:r>
          </w:p>
        </w:tc>
        <w:tc>
          <w:tcPr>
            <w:tcW w:w="393" w:type="pct"/>
          </w:tcPr>
          <w:p>
            <w:pPr>
              <w:pStyle w:val="35"/>
              <w:rPr>
                <w:rFonts w:eastAsiaTheme="minorEastAsia"/>
                <w:szCs w:val="21"/>
              </w:rPr>
            </w:pPr>
            <w:r>
              <w:rPr>
                <w:rFonts w:eastAsiaTheme="minorEastAsia"/>
                <w:szCs w:val="21"/>
              </w:rPr>
              <w:t>/</w:t>
            </w:r>
          </w:p>
        </w:tc>
        <w:tc>
          <w:tcPr>
            <w:tcW w:w="479" w:type="pct"/>
            <w:vMerge w:val="continue"/>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Align w:val="center"/>
          </w:tcPr>
          <w:p>
            <w:pPr>
              <w:pStyle w:val="35"/>
              <w:rPr>
                <w:rFonts w:eastAsiaTheme="minorEastAsia"/>
                <w:szCs w:val="21"/>
              </w:rPr>
            </w:pPr>
            <w:r>
              <w:rPr>
                <w:rFonts w:eastAsiaTheme="minorEastAsia"/>
                <w:szCs w:val="21"/>
              </w:rPr>
              <w:t>DA011</w:t>
            </w:r>
          </w:p>
        </w:tc>
        <w:tc>
          <w:tcPr>
            <w:tcW w:w="546" w:type="pct"/>
            <w:vAlign w:val="center"/>
          </w:tcPr>
          <w:p>
            <w:pPr>
              <w:pStyle w:val="35"/>
              <w:rPr>
                <w:rFonts w:eastAsiaTheme="minorEastAsia"/>
                <w:snapToGrid w:val="0"/>
                <w:szCs w:val="21"/>
              </w:rPr>
            </w:pPr>
            <w:r>
              <w:rPr>
                <w:rFonts w:hint="eastAsia" w:eastAsiaTheme="minorEastAsia"/>
                <w:snapToGrid w:val="0"/>
                <w:szCs w:val="21"/>
              </w:rPr>
              <w:t>粉煤仓泄压排放气</w:t>
            </w:r>
          </w:p>
        </w:tc>
        <w:tc>
          <w:tcPr>
            <w:tcW w:w="319" w:type="pct"/>
            <w:vAlign w:val="center"/>
          </w:tcPr>
          <w:p>
            <w:pPr>
              <w:pStyle w:val="35"/>
              <w:rPr>
                <w:rFonts w:eastAsiaTheme="minorEastAsia"/>
                <w:szCs w:val="21"/>
              </w:rPr>
            </w:pPr>
            <w:r>
              <w:rPr>
                <w:rFonts w:eastAsiaTheme="minorEastAsia"/>
                <w:szCs w:val="21"/>
              </w:rPr>
              <w:t>41533</w:t>
            </w:r>
          </w:p>
        </w:tc>
        <w:tc>
          <w:tcPr>
            <w:tcW w:w="309" w:type="pct"/>
            <w:vAlign w:val="center"/>
          </w:tcPr>
          <w:p>
            <w:pPr>
              <w:pStyle w:val="35"/>
              <w:rPr>
                <w:rFonts w:eastAsiaTheme="minorEastAsia"/>
                <w:szCs w:val="21"/>
              </w:rPr>
            </w:pPr>
            <w:r>
              <w:rPr>
                <w:rFonts w:hint="eastAsia" w:eastAsiaTheme="minorEastAsia"/>
                <w:szCs w:val="21"/>
              </w:rPr>
              <w:t>1</w:t>
            </w:r>
            <w:r>
              <w:rPr>
                <w:rFonts w:eastAsiaTheme="minorEastAsia"/>
                <w:szCs w:val="21"/>
              </w:rPr>
              <w:t>04</w:t>
            </w:r>
            <w:r>
              <w:rPr>
                <w:rFonts w:hint="eastAsia" w:eastAsiaTheme="minorEastAsia"/>
                <w:szCs w:val="21"/>
              </w:rPr>
              <w:t>/</w:t>
            </w:r>
            <w:r>
              <w:rPr>
                <w:rFonts w:eastAsiaTheme="minorEastAsia"/>
                <w:szCs w:val="21"/>
              </w:rPr>
              <w:t>0.8</w:t>
            </w:r>
          </w:p>
        </w:tc>
        <w:tc>
          <w:tcPr>
            <w:tcW w:w="483" w:type="pct"/>
            <w:vAlign w:val="center"/>
          </w:tcPr>
          <w:p>
            <w:pPr>
              <w:pStyle w:val="35"/>
              <w:rPr>
                <w:rFonts w:eastAsiaTheme="minorEastAsia"/>
                <w:szCs w:val="21"/>
              </w:rPr>
            </w:pPr>
            <w:r>
              <w:rPr>
                <w:rFonts w:eastAsiaTheme="minorEastAsia"/>
                <w:szCs w:val="21"/>
              </w:rPr>
              <w:t>粉尘</w:t>
            </w:r>
          </w:p>
        </w:tc>
        <w:tc>
          <w:tcPr>
            <w:tcW w:w="456" w:type="pct"/>
            <w:vAlign w:val="center"/>
          </w:tcPr>
          <w:p>
            <w:pPr>
              <w:pStyle w:val="35"/>
              <w:rPr>
                <w:rFonts w:eastAsiaTheme="minorEastAsia"/>
                <w:szCs w:val="21"/>
              </w:rPr>
            </w:pPr>
            <w:r>
              <w:rPr>
                <w:rFonts w:eastAsiaTheme="minorEastAsia"/>
                <w:szCs w:val="21"/>
              </w:rPr>
              <w:t>7.8</w:t>
            </w:r>
          </w:p>
        </w:tc>
        <w:tc>
          <w:tcPr>
            <w:tcW w:w="392" w:type="pct"/>
            <w:vAlign w:val="center"/>
          </w:tcPr>
          <w:p>
            <w:pPr>
              <w:pStyle w:val="35"/>
              <w:rPr>
                <w:rFonts w:eastAsiaTheme="minorEastAsia"/>
                <w:szCs w:val="21"/>
              </w:rPr>
            </w:pPr>
            <w:r>
              <w:rPr>
                <w:rFonts w:eastAsiaTheme="minorEastAsia"/>
                <w:szCs w:val="21"/>
              </w:rPr>
              <w:t>0.324</w:t>
            </w:r>
          </w:p>
        </w:tc>
        <w:tc>
          <w:tcPr>
            <w:tcW w:w="392" w:type="pct"/>
            <w:vAlign w:val="center"/>
          </w:tcPr>
          <w:p>
            <w:pPr>
              <w:pStyle w:val="35"/>
              <w:rPr>
                <w:rFonts w:eastAsiaTheme="minorEastAsia"/>
                <w:szCs w:val="21"/>
              </w:rPr>
            </w:pPr>
            <w:r>
              <w:rPr>
                <w:rFonts w:eastAsiaTheme="minorEastAsia"/>
                <w:szCs w:val="21"/>
              </w:rPr>
              <w:t>2.60</w:t>
            </w:r>
          </w:p>
        </w:tc>
        <w:tc>
          <w:tcPr>
            <w:tcW w:w="392" w:type="pc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120</w:t>
            </w:r>
          </w:p>
        </w:tc>
        <w:tc>
          <w:tcPr>
            <w:tcW w:w="393" w:type="pct"/>
            <w:vAlign w:val="center"/>
          </w:tcPr>
          <w:p>
            <w:pPr>
              <w:pStyle w:val="35"/>
              <w:rPr>
                <w:rFonts w:eastAsiaTheme="minorEastAsia"/>
                <w:szCs w:val="21"/>
              </w:rPr>
            </w:pPr>
            <w:r>
              <w:rPr>
                <w:rFonts w:eastAsiaTheme="minorEastAsia"/>
                <w:szCs w:val="21"/>
              </w:rPr>
              <w:t>255.4</w:t>
            </w:r>
          </w:p>
        </w:tc>
        <w:tc>
          <w:tcPr>
            <w:tcW w:w="479" w:type="pc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020.11监测报告</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296" w:type="pct"/>
            <w:vAlign w:val="center"/>
          </w:tcPr>
          <w:p>
            <w:pPr>
              <w:pStyle w:val="35"/>
              <w:rPr>
                <w:rFonts w:eastAsiaTheme="minorEastAsia"/>
                <w:szCs w:val="21"/>
              </w:rPr>
            </w:pPr>
            <w:r>
              <w:rPr>
                <w:rFonts w:eastAsiaTheme="minorEastAsia"/>
                <w:szCs w:val="21"/>
              </w:rPr>
              <w:t>DA012</w:t>
            </w:r>
          </w:p>
        </w:tc>
        <w:tc>
          <w:tcPr>
            <w:tcW w:w="546" w:type="pct"/>
            <w:vAlign w:val="center"/>
          </w:tcPr>
          <w:p>
            <w:pPr>
              <w:pStyle w:val="35"/>
              <w:rPr>
                <w:rFonts w:eastAsiaTheme="minorEastAsia"/>
                <w:snapToGrid w:val="0"/>
                <w:szCs w:val="21"/>
              </w:rPr>
            </w:pPr>
            <w:r>
              <w:rPr>
                <w:rFonts w:hint="eastAsia" w:eastAsiaTheme="minorEastAsia"/>
                <w:snapToGrid w:val="0"/>
                <w:szCs w:val="21"/>
              </w:rPr>
              <w:t>粉煤仓泄压排放气</w:t>
            </w:r>
          </w:p>
        </w:tc>
        <w:tc>
          <w:tcPr>
            <w:tcW w:w="319" w:type="pct"/>
            <w:vAlign w:val="center"/>
          </w:tcPr>
          <w:p>
            <w:pPr>
              <w:pStyle w:val="35"/>
              <w:rPr>
                <w:rFonts w:eastAsiaTheme="minorEastAsia"/>
                <w:szCs w:val="21"/>
              </w:rPr>
            </w:pPr>
            <w:r>
              <w:rPr>
                <w:rFonts w:hint="eastAsia" w:eastAsiaTheme="minorEastAsia"/>
                <w:szCs w:val="21"/>
              </w:rPr>
              <w:t>1</w:t>
            </w:r>
            <w:r>
              <w:rPr>
                <w:rFonts w:eastAsiaTheme="minorEastAsia"/>
                <w:szCs w:val="21"/>
              </w:rPr>
              <w:t>7000</w:t>
            </w:r>
          </w:p>
        </w:tc>
        <w:tc>
          <w:tcPr>
            <w:tcW w:w="309" w:type="pct"/>
            <w:vAlign w:val="center"/>
          </w:tcPr>
          <w:p>
            <w:pPr>
              <w:pStyle w:val="35"/>
              <w:rPr>
                <w:rFonts w:eastAsiaTheme="minorEastAsia"/>
                <w:szCs w:val="21"/>
              </w:rPr>
            </w:pPr>
            <w:r>
              <w:rPr>
                <w:rFonts w:hint="eastAsia" w:eastAsiaTheme="minorEastAsia"/>
                <w:szCs w:val="21"/>
              </w:rPr>
              <w:t>1</w:t>
            </w:r>
            <w:r>
              <w:rPr>
                <w:rFonts w:eastAsiaTheme="minorEastAsia"/>
                <w:szCs w:val="21"/>
              </w:rPr>
              <w:t>04</w:t>
            </w:r>
            <w:r>
              <w:rPr>
                <w:rFonts w:hint="eastAsia" w:eastAsiaTheme="minorEastAsia"/>
                <w:szCs w:val="21"/>
              </w:rPr>
              <w:t>/</w:t>
            </w:r>
            <w:r>
              <w:rPr>
                <w:rFonts w:eastAsiaTheme="minorEastAsia"/>
                <w:szCs w:val="21"/>
              </w:rPr>
              <w:t>0.8</w:t>
            </w:r>
          </w:p>
        </w:tc>
        <w:tc>
          <w:tcPr>
            <w:tcW w:w="483" w:type="pct"/>
            <w:vAlign w:val="center"/>
          </w:tcPr>
          <w:p>
            <w:pPr>
              <w:pStyle w:val="35"/>
              <w:rPr>
                <w:rFonts w:eastAsiaTheme="minorEastAsia"/>
                <w:szCs w:val="21"/>
              </w:rPr>
            </w:pPr>
            <w:r>
              <w:rPr>
                <w:rFonts w:eastAsiaTheme="minorEastAsia"/>
                <w:szCs w:val="21"/>
              </w:rPr>
              <w:t>粉尘</w:t>
            </w:r>
          </w:p>
        </w:tc>
        <w:tc>
          <w:tcPr>
            <w:tcW w:w="456" w:type="pct"/>
            <w:vAlign w:val="center"/>
          </w:tcPr>
          <w:p>
            <w:pPr>
              <w:pStyle w:val="35"/>
              <w:rPr>
                <w:rFonts w:eastAsiaTheme="minorEastAsia"/>
                <w:szCs w:val="21"/>
              </w:rPr>
            </w:pPr>
            <w:r>
              <w:rPr>
                <w:rFonts w:hint="eastAsia" w:eastAsiaTheme="minorEastAsia"/>
                <w:szCs w:val="21"/>
              </w:rPr>
              <w:t>6</w:t>
            </w:r>
            <w:r>
              <w:rPr>
                <w:rFonts w:eastAsiaTheme="minorEastAsia"/>
                <w:szCs w:val="21"/>
              </w:rPr>
              <w:t>.4</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.109</w:t>
            </w:r>
          </w:p>
        </w:tc>
        <w:tc>
          <w:tcPr>
            <w:tcW w:w="392" w:type="pct"/>
            <w:vAlign w:val="center"/>
          </w:tcPr>
          <w:p>
            <w:pPr>
              <w:pStyle w:val="35"/>
              <w:rPr>
                <w:rFonts w:eastAsiaTheme="minorEastAsia"/>
                <w:szCs w:val="21"/>
              </w:rPr>
            </w:pPr>
            <w:r>
              <w:rPr>
                <w:rFonts w:hint="eastAsia" w:eastAsiaTheme="minorEastAsia"/>
                <w:szCs w:val="21"/>
              </w:rPr>
              <w:t>0</w:t>
            </w:r>
            <w:r>
              <w:rPr>
                <w:rFonts w:eastAsiaTheme="minorEastAsia"/>
                <w:szCs w:val="21"/>
              </w:rPr>
              <w:t>.87</w:t>
            </w:r>
          </w:p>
        </w:tc>
        <w:tc>
          <w:tcPr>
            <w:tcW w:w="392" w:type="pct"/>
            <w:vAlign w:val="center"/>
          </w:tcPr>
          <w:p>
            <w:pPr>
              <w:pStyle w:val="35"/>
              <w:rPr>
                <w:rFonts w:eastAsiaTheme="minorEastAsia"/>
                <w:szCs w:val="21"/>
              </w:rPr>
            </w:pPr>
            <w:r>
              <w:rPr>
                <w:rFonts w:eastAsiaTheme="minorEastAsia"/>
                <w:szCs w:val="21"/>
              </w:rPr>
              <w:t>8000</w:t>
            </w:r>
          </w:p>
        </w:tc>
        <w:tc>
          <w:tcPr>
            <w:tcW w:w="543" w:type="pct"/>
            <w:vAlign w:val="center"/>
          </w:tcPr>
          <w:p>
            <w:pPr>
              <w:pStyle w:val="35"/>
              <w:rPr>
                <w:rFonts w:eastAsiaTheme="minorEastAsia"/>
                <w:szCs w:val="21"/>
              </w:rPr>
            </w:pPr>
            <w:r>
              <w:rPr>
                <w:rFonts w:eastAsiaTheme="minorEastAsia"/>
                <w:szCs w:val="21"/>
              </w:rPr>
              <w:t>120</w:t>
            </w:r>
          </w:p>
        </w:tc>
        <w:tc>
          <w:tcPr>
            <w:tcW w:w="393" w:type="pct"/>
            <w:vAlign w:val="center"/>
          </w:tcPr>
          <w:p>
            <w:pPr>
              <w:pStyle w:val="35"/>
              <w:rPr>
                <w:rFonts w:eastAsiaTheme="minorEastAsia"/>
                <w:szCs w:val="21"/>
              </w:rPr>
            </w:pPr>
            <w:r>
              <w:rPr>
                <w:rFonts w:eastAsiaTheme="minorEastAsia"/>
                <w:szCs w:val="21"/>
              </w:rPr>
              <w:t>255.4</w:t>
            </w:r>
          </w:p>
        </w:tc>
        <w:tc>
          <w:tcPr>
            <w:tcW w:w="479" w:type="pc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2</w:t>
            </w:r>
            <w:r>
              <w:rPr>
                <w:rFonts w:ascii="Times New Roman" w:hAnsi="Times New Roman" w:eastAsiaTheme="minorEastAsia"/>
                <w:szCs w:val="21"/>
              </w:rPr>
              <w:t>020.11监测报告</w:t>
            </w:r>
          </w:p>
        </w:tc>
      </w:tr>
    </w:tbl>
    <w:p>
      <w:pPr>
        <w:spacing w:line="520" w:lineRule="exact"/>
        <w:ind w:firstLine="482" w:firstLineChars="200"/>
        <w:rPr>
          <w:rFonts w:ascii="Times New Roman" w:hAnsi="Times New Roman"/>
          <w:b/>
          <w:sz w:val="24"/>
          <w:u w:val="single"/>
        </w:rPr>
        <w:sectPr>
          <w:pgSz w:w="16840" w:h="11907" w:orient="landscape"/>
          <w:pgMar w:top="1474" w:right="1474" w:bottom="1474" w:left="1474" w:header="851" w:footer="851" w:gutter="0"/>
          <w:cols w:space="720" w:num="1"/>
          <w:docGrid w:linePitch="498" w:charSpace="-5626"/>
        </w:sectPr>
      </w:pP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由上表可知，现有工程颗粒物、甲醇排放浓度、速率均可以满足《大气污染物综合排放标准》（GB16297-1996）表2二级标准排放限值；硫化氢排放速率满足</w:t>
      </w:r>
      <w:r>
        <w:rPr>
          <w:rFonts w:ascii="Times New Roman" w:hAnsi="Times New Roman" w:eastAsiaTheme="minorEastAsia"/>
          <w:sz w:val="28"/>
          <w:szCs w:val="28"/>
          <w:lang w:val="zh-CN"/>
        </w:rPr>
        <w:t>《恶臭污染物排放标准》</w:t>
      </w:r>
      <w:r>
        <w:rPr>
          <w:rFonts w:ascii="Times New Roman" w:hAnsi="Times New Roman" w:eastAsiaTheme="minorEastAsia"/>
          <w:sz w:val="28"/>
          <w:szCs w:val="28"/>
        </w:rPr>
        <w:t>（GB14554-93）表2二级标准排放限值；锅炉废气污染物排放浓度满足</w:t>
      </w:r>
      <w:r>
        <w:rPr>
          <w:rFonts w:ascii="Times New Roman" w:hAnsi="Times New Roman" w:eastAsiaTheme="minorEastAsia"/>
          <w:bCs/>
          <w:sz w:val="28"/>
          <w:szCs w:val="28"/>
        </w:rPr>
        <w:t>《燃煤电厂大气污染物排放标准》（DB41/T1424-2017）的要求</w:t>
      </w:r>
      <w:r>
        <w:rPr>
          <w:rFonts w:ascii="Times New Roman" w:hAnsi="Times New Roman" w:eastAsiaTheme="minorEastAsia"/>
          <w:sz w:val="28"/>
          <w:szCs w:val="28"/>
        </w:rPr>
        <w:t>；</w:t>
      </w:r>
      <w:r>
        <w:rPr>
          <w:rFonts w:hint="eastAsia" w:ascii="Times New Roman" w:hAnsi="Times New Roman" w:eastAsiaTheme="minorEastAsia"/>
          <w:sz w:val="28"/>
          <w:szCs w:val="28"/>
        </w:rPr>
        <w:t>热风炉废气可以满足《石油化学工业污染物排放标准》（G</w:t>
      </w:r>
      <w:r>
        <w:rPr>
          <w:rFonts w:ascii="Times New Roman" w:hAnsi="Times New Roman" w:eastAsiaTheme="minorEastAsia"/>
          <w:sz w:val="28"/>
          <w:szCs w:val="28"/>
        </w:rPr>
        <w:t>B31571</w:t>
      </w:r>
      <w:r>
        <w:rPr>
          <w:rFonts w:hint="eastAsia" w:ascii="Times New Roman" w:hAnsi="Times New Roman" w:eastAsiaTheme="minorEastAsia"/>
          <w:sz w:val="28"/>
          <w:szCs w:val="28"/>
        </w:rPr>
        <w:t>-</w:t>
      </w:r>
      <w:r>
        <w:rPr>
          <w:rFonts w:ascii="Times New Roman" w:hAnsi="Times New Roman" w:eastAsiaTheme="minorEastAsia"/>
          <w:sz w:val="28"/>
          <w:szCs w:val="28"/>
        </w:rPr>
        <w:t>2015</w:t>
      </w:r>
      <w:r>
        <w:rPr>
          <w:rFonts w:hint="eastAsia" w:ascii="Times New Roman" w:hAnsi="Times New Roman" w:eastAsiaTheme="minorEastAsia"/>
          <w:sz w:val="28"/>
          <w:szCs w:val="28"/>
        </w:rPr>
        <w:t>）的标准要求；</w:t>
      </w:r>
      <w:r>
        <w:rPr>
          <w:rFonts w:ascii="Times New Roman" w:hAnsi="Times New Roman" w:eastAsiaTheme="minorEastAsia"/>
          <w:sz w:val="28"/>
          <w:szCs w:val="28"/>
        </w:rPr>
        <w:t>低温甲醇洗放空非甲烷总烃排放浓度不能</w:t>
      </w:r>
      <w:r>
        <w:rPr>
          <w:rFonts w:hint="eastAsia" w:ascii="Times New Roman" w:hAnsi="Times New Roman" w:eastAsiaTheme="minorEastAsia"/>
          <w:sz w:val="28"/>
          <w:szCs w:val="28"/>
        </w:rPr>
        <w:t>稳定</w:t>
      </w:r>
      <w:r>
        <w:rPr>
          <w:rFonts w:ascii="Times New Roman" w:hAnsi="Times New Roman" w:eastAsiaTheme="minorEastAsia"/>
          <w:sz w:val="28"/>
          <w:szCs w:val="28"/>
        </w:rPr>
        <w:t>满足《关于全省开展工业企业挥发性有机物专项治理工作中排放建议值的通知》（豫环攻坚办〔2017〕162号）。</w:t>
      </w:r>
    </w:p>
    <w:p>
      <w:pPr>
        <w:pStyle w:val="27"/>
        <w:ind w:firstLine="697" w:firstLineChars="249"/>
        <w:rPr>
          <w:rFonts w:eastAsiaTheme="minorEastAsia"/>
          <w:szCs w:val="28"/>
        </w:rPr>
      </w:pPr>
      <w:r>
        <w:rPr>
          <w:rFonts w:hint="eastAsia" w:ascii="宋体" w:hAnsi="宋体" w:cs="宋体"/>
          <w:szCs w:val="28"/>
        </w:rPr>
        <w:t>②</w:t>
      </w:r>
      <w:r>
        <w:rPr>
          <w:rFonts w:eastAsiaTheme="minorEastAsia"/>
          <w:szCs w:val="28"/>
        </w:rPr>
        <w:t>无组织废气</w:t>
      </w:r>
    </w:p>
    <w:p>
      <w:pPr>
        <w:pStyle w:val="27"/>
        <w:ind w:firstLine="697" w:firstLineChars="249"/>
        <w:rPr>
          <w:rFonts w:eastAsiaTheme="minorEastAsia"/>
          <w:szCs w:val="28"/>
        </w:rPr>
      </w:pPr>
      <w:r>
        <w:rPr>
          <w:rFonts w:eastAsiaTheme="minorEastAsia"/>
          <w:szCs w:val="28"/>
        </w:rPr>
        <w:t>目前厂区罐区无组织甲醇经收集后采取水洗措施进行控制。</w:t>
      </w:r>
    </w:p>
    <w:p>
      <w:pPr>
        <w:pStyle w:val="27"/>
        <w:ind w:firstLine="697" w:firstLineChars="249"/>
        <w:rPr>
          <w:rFonts w:eastAsiaTheme="minorEastAsia"/>
          <w:szCs w:val="28"/>
        </w:rPr>
      </w:pPr>
      <w:r>
        <w:rPr>
          <w:rFonts w:eastAsiaTheme="minorEastAsia"/>
          <w:szCs w:val="28"/>
        </w:rPr>
        <w:t>根据大化公司2020年11月的厂区检测报告（光远检字第（E2020110302）号），厂区无组织废气检测结果见表3.1-7。</w:t>
      </w:r>
    </w:p>
    <w:p>
      <w:pPr>
        <w:pStyle w:val="32"/>
        <w:ind w:left="851" w:firstLine="0" w:firstLineChars="0"/>
      </w:pPr>
      <w:r>
        <w:t xml:space="preserve">表3.1-7              无组织废气检测结果一览表 </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17"/>
        <w:gridCol w:w="1318"/>
        <w:gridCol w:w="1318"/>
        <w:gridCol w:w="1318"/>
        <w:gridCol w:w="1318"/>
        <w:gridCol w:w="1320"/>
        <w:gridCol w:w="126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Align w:val="center"/>
          </w:tcPr>
          <w:p>
            <w:pPr>
              <w:pStyle w:val="32"/>
              <w:spacing w:line="240" w:lineRule="auto"/>
              <w:ind w:firstLine="0" w:firstLineChars="0"/>
              <w:jc w:val="center"/>
              <w:rPr>
                <w:sz w:val="21"/>
                <w:szCs w:val="21"/>
              </w:rPr>
            </w:pPr>
            <w:r>
              <w:rPr>
                <w:sz w:val="21"/>
                <w:szCs w:val="21"/>
              </w:rPr>
              <w:t>污染物</w:t>
            </w:r>
          </w:p>
        </w:tc>
        <w:tc>
          <w:tcPr>
            <w:tcW w:w="1318" w:type="dxa"/>
            <w:vAlign w:val="center"/>
          </w:tcPr>
          <w:p>
            <w:pPr>
              <w:pStyle w:val="32"/>
              <w:spacing w:line="240" w:lineRule="auto"/>
              <w:ind w:firstLine="0" w:firstLineChars="0"/>
              <w:jc w:val="center"/>
              <w:rPr>
                <w:sz w:val="21"/>
                <w:szCs w:val="21"/>
              </w:rPr>
            </w:pPr>
            <w:r>
              <w:rPr>
                <w:sz w:val="21"/>
                <w:szCs w:val="21"/>
              </w:rPr>
              <w:t>采样频次</w:t>
            </w:r>
          </w:p>
        </w:tc>
        <w:tc>
          <w:tcPr>
            <w:tcW w:w="1318" w:type="dxa"/>
            <w:vAlign w:val="center"/>
          </w:tcPr>
          <w:p>
            <w:pPr>
              <w:pStyle w:val="32"/>
              <w:spacing w:line="240" w:lineRule="auto"/>
              <w:ind w:firstLine="0" w:firstLineChars="0"/>
              <w:jc w:val="center"/>
              <w:rPr>
                <w:sz w:val="21"/>
                <w:szCs w:val="21"/>
              </w:rPr>
            </w:pPr>
            <w:r>
              <w:rPr>
                <w:sz w:val="21"/>
                <w:szCs w:val="21"/>
              </w:rPr>
              <w:t>上风向</w:t>
            </w:r>
          </w:p>
        </w:tc>
        <w:tc>
          <w:tcPr>
            <w:tcW w:w="1318" w:type="dxa"/>
            <w:vAlign w:val="center"/>
          </w:tcPr>
          <w:p>
            <w:pPr>
              <w:pStyle w:val="32"/>
              <w:spacing w:line="240" w:lineRule="auto"/>
              <w:ind w:firstLine="0" w:firstLineChars="0"/>
              <w:jc w:val="center"/>
              <w:rPr>
                <w:sz w:val="21"/>
                <w:szCs w:val="21"/>
              </w:rPr>
            </w:pPr>
            <w:r>
              <w:rPr>
                <w:sz w:val="21"/>
                <w:szCs w:val="21"/>
              </w:rPr>
              <w:t>1#下方向</w:t>
            </w:r>
          </w:p>
        </w:tc>
        <w:tc>
          <w:tcPr>
            <w:tcW w:w="1318" w:type="dxa"/>
            <w:vAlign w:val="center"/>
          </w:tcPr>
          <w:p>
            <w:pPr>
              <w:pStyle w:val="32"/>
              <w:spacing w:line="240" w:lineRule="auto"/>
              <w:ind w:firstLine="0" w:firstLineChars="0"/>
              <w:jc w:val="center"/>
              <w:rPr>
                <w:sz w:val="21"/>
                <w:szCs w:val="21"/>
              </w:rPr>
            </w:pPr>
            <w:r>
              <w:rPr>
                <w:sz w:val="21"/>
                <w:szCs w:val="21"/>
              </w:rPr>
              <w:t>2#下方向</w:t>
            </w:r>
          </w:p>
        </w:tc>
        <w:tc>
          <w:tcPr>
            <w:tcW w:w="1320" w:type="dxa"/>
            <w:vAlign w:val="center"/>
          </w:tcPr>
          <w:p>
            <w:pPr>
              <w:pStyle w:val="32"/>
              <w:spacing w:line="240" w:lineRule="auto"/>
              <w:ind w:firstLine="0" w:firstLineChars="0"/>
              <w:jc w:val="center"/>
              <w:rPr>
                <w:sz w:val="21"/>
                <w:szCs w:val="21"/>
              </w:rPr>
            </w:pPr>
            <w:r>
              <w:rPr>
                <w:sz w:val="21"/>
                <w:szCs w:val="21"/>
              </w:rPr>
              <w:t>3#下方向</w:t>
            </w:r>
          </w:p>
        </w:tc>
        <w:tc>
          <w:tcPr>
            <w:tcW w:w="1266" w:type="dxa"/>
            <w:vAlign w:val="center"/>
          </w:tcPr>
          <w:p>
            <w:pPr>
              <w:pStyle w:val="32"/>
              <w:spacing w:line="240" w:lineRule="auto"/>
              <w:ind w:firstLine="0" w:firstLineChars="0"/>
              <w:jc w:val="center"/>
              <w:rPr>
                <w:sz w:val="21"/>
                <w:szCs w:val="21"/>
              </w:rPr>
            </w:pPr>
            <w:r>
              <w:rPr>
                <w:sz w:val="21"/>
                <w:szCs w:val="21"/>
              </w:rPr>
              <w:t>标准值</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颗粒物</w:t>
            </w:r>
          </w:p>
          <w:p>
            <w:pPr>
              <w:pStyle w:val="32"/>
              <w:spacing w:line="240" w:lineRule="auto"/>
              <w:ind w:firstLine="0" w:firstLineChars="0"/>
              <w:jc w:val="center"/>
              <w:rPr>
                <w:rFonts w:eastAsiaTheme="minorEastAsia"/>
                <w:b w:val="0"/>
                <w:sz w:val="21"/>
                <w:szCs w:val="21"/>
              </w:rPr>
            </w:pPr>
            <w:r>
              <w:rPr>
                <w:rFonts w:eastAsiaTheme="minorEastAsia"/>
                <w:b w:val="0"/>
                <w:sz w:val="21"/>
                <w:szCs w:val="21"/>
              </w:rPr>
              <w:t>（mg/m</w:t>
            </w:r>
            <w:r>
              <w:rPr>
                <w:rFonts w:eastAsiaTheme="minorEastAsia"/>
                <w:b w:val="0"/>
                <w:sz w:val="21"/>
                <w:szCs w:val="21"/>
                <w:vertAlign w:val="superscript"/>
              </w:rPr>
              <w:t>3</w:t>
            </w:r>
            <w:r>
              <w:rPr>
                <w:rFonts w:eastAsiaTheme="minorEastAsia"/>
                <w:b w:val="0"/>
                <w:sz w:val="21"/>
                <w:szCs w:val="21"/>
              </w:rPr>
              <w:t>）</w:t>
            </w: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第1次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.119</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.153</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.174</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.212</w:t>
            </w:r>
          </w:p>
        </w:tc>
        <w:tc>
          <w:tcPr>
            <w:tcW w:w="1266" w:type="dxa"/>
            <w:vMerge w:val="restart"/>
            <w:vAlign w:val="center"/>
          </w:tcPr>
          <w:p>
            <w:pPr>
              <w:pStyle w:val="32"/>
              <w:spacing w:line="240" w:lineRule="auto"/>
              <w:ind w:firstLine="0" w:firstLineChars="0"/>
              <w:jc w:val="center"/>
              <w:rPr>
                <w:rFonts w:eastAsiaTheme="minorEastAsia"/>
                <w:b w:val="0"/>
                <w:sz w:val="21"/>
                <w:szCs w:val="21"/>
              </w:rPr>
            </w:pPr>
            <w:r>
              <w:rPr>
                <w:b w:val="0"/>
                <w:sz w:val="21"/>
                <w:lang w:val="zh-CN"/>
              </w:rPr>
              <w:t>1.0mg/m</w:t>
            </w:r>
            <w:r>
              <w:rPr>
                <w:b w:val="0"/>
                <w:sz w:val="21"/>
                <w:vertAlign w:val="superscript"/>
                <w:lang w:val="zh-CN"/>
              </w:rPr>
              <w:t>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第2次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.134</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.169</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.188</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.193</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第3次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.129</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.227</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.198</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.236</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第4次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.112</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.213</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.207</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0</w:t>
            </w:r>
            <w:r>
              <w:rPr>
                <w:rFonts w:eastAsiaTheme="minorEastAsia"/>
                <w:b w:val="0"/>
                <w:sz w:val="21"/>
                <w:szCs w:val="21"/>
              </w:rPr>
              <w:t>.206</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非甲烷总烃</w:t>
            </w:r>
          </w:p>
          <w:p>
            <w:pPr>
              <w:pStyle w:val="32"/>
              <w:spacing w:line="240" w:lineRule="auto"/>
              <w:ind w:firstLine="0" w:firstLineChars="0"/>
              <w:jc w:val="center"/>
              <w:rPr>
                <w:rFonts w:eastAsiaTheme="minorEastAsia"/>
                <w:sz w:val="21"/>
                <w:szCs w:val="21"/>
              </w:rPr>
            </w:pPr>
            <w:r>
              <w:rPr>
                <w:rFonts w:eastAsiaTheme="minorEastAsia"/>
                <w:b w:val="0"/>
                <w:sz w:val="21"/>
                <w:szCs w:val="21"/>
              </w:rPr>
              <w:t>（mg/m</w:t>
            </w:r>
            <w:r>
              <w:rPr>
                <w:rFonts w:eastAsiaTheme="minorEastAsia"/>
                <w:b w:val="0"/>
                <w:sz w:val="21"/>
                <w:szCs w:val="21"/>
                <w:vertAlign w:val="superscript"/>
              </w:rPr>
              <w:t>3</w:t>
            </w:r>
            <w:r>
              <w:rPr>
                <w:rFonts w:eastAsiaTheme="minorEastAsia"/>
                <w:b w:val="0"/>
                <w:sz w:val="21"/>
                <w:szCs w:val="21"/>
              </w:rPr>
              <w:t>）</w:t>
            </w: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第1次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.11</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.68</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.52</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.57</w:t>
            </w:r>
          </w:p>
        </w:tc>
        <w:tc>
          <w:tcPr>
            <w:tcW w:w="1266"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2.0</w:t>
            </w:r>
            <w:r>
              <w:rPr>
                <w:b w:val="0"/>
                <w:sz w:val="21"/>
                <w:lang w:val="zh-CN"/>
              </w:rPr>
              <w:t xml:space="preserve"> mg/m</w:t>
            </w:r>
            <w:r>
              <w:rPr>
                <w:b w:val="0"/>
                <w:sz w:val="21"/>
                <w:vertAlign w:val="superscript"/>
                <w:lang w:val="zh-CN"/>
              </w:rPr>
              <w:t>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第2次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.28</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.44</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.64</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.74</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第3次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.02</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.55</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.59</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.58</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第4次</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.14</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.61</w:t>
            </w:r>
          </w:p>
        </w:tc>
        <w:tc>
          <w:tcPr>
            <w:tcW w:w="1318"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.72</w:t>
            </w:r>
          </w:p>
        </w:tc>
        <w:tc>
          <w:tcPr>
            <w:tcW w:w="1320" w:type="dxa"/>
            <w:vAlign w:val="center"/>
          </w:tcPr>
          <w:p>
            <w:pPr>
              <w:pStyle w:val="32"/>
              <w:spacing w:line="240" w:lineRule="auto"/>
              <w:ind w:firstLine="0" w:firstLineChars="0"/>
              <w:jc w:val="center"/>
              <w:rPr>
                <w:rFonts w:eastAsiaTheme="minorEastAsia"/>
                <w:b w:val="0"/>
                <w:sz w:val="21"/>
                <w:szCs w:val="21"/>
              </w:rPr>
            </w:pPr>
            <w:r>
              <w:rPr>
                <w:rFonts w:hint="eastAsia" w:eastAsiaTheme="minorEastAsia"/>
                <w:b w:val="0"/>
                <w:sz w:val="21"/>
                <w:szCs w:val="21"/>
              </w:rPr>
              <w:t>1</w:t>
            </w:r>
            <w:r>
              <w:rPr>
                <w:rFonts w:eastAsiaTheme="minorEastAsia"/>
                <w:b w:val="0"/>
                <w:sz w:val="21"/>
                <w:szCs w:val="21"/>
              </w:rPr>
              <w:t>.73</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硫化氢</w:t>
            </w:r>
          </w:p>
          <w:p>
            <w:pPr>
              <w:pStyle w:val="32"/>
              <w:spacing w:line="240" w:lineRule="auto"/>
              <w:ind w:firstLine="0" w:firstLineChars="0"/>
              <w:jc w:val="center"/>
              <w:rPr>
                <w:rFonts w:eastAsiaTheme="minorEastAsia"/>
                <w:sz w:val="21"/>
                <w:szCs w:val="21"/>
              </w:rPr>
            </w:pPr>
            <w:r>
              <w:rPr>
                <w:rFonts w:eastAsiaTheme="minorEastAsia"/>
                <w:b w:val="0"/>
                <w:sz w:val="21"/>
                <w:szCs w:val="21"/>
              </w:rPr>
              <w:t>（mg/m</w:t>
            </w:r>
            <w:r>
              <w:rPr>
                <w:rFonts w:eastAsiaTheme="minorEastAsia"/>
                <w:b w:val="0"/>
                <w:sz w:val="21"/>
                <w:szCs w:val="21"/>
                <w:vertAlign w:val="superscript"/>
              </w:rPr>
              <w:t>3</w:t>
            </w:r>
            <w:r>
              <w:rPr>
                <w:rFonts w:eastAsiaTheme="minorEastAsia"/>
                <w:b w:val="0"/>
                <w:sz w:val="21"/>
                <w:szCs w:val="21"/>
              </w:rPr>
              <w:t>）</w:t>
            </w: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第1次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0.002</w:t>
            </w:r>
          </w:p>
        </w:tc>
        <w:tc>
          <w:tcPr>
            <w:tcW w:w="1266" w:type="dxa"/>
            <w:vMerge w:val="restart"/>
            <w:vAlign w:val="center"/>
          </w:tcPr>
          <w:p>
            <w:pPr>
              <w:pStyle w:val="32"/>
              <w:spacing w:line="240" w:lineRule="auto"/>
              <w:ind w:firstLine="0" w:firstLineChars="0"/>
              <w:jc w:val="center"/>
              <w:rPr>
                <w:rFonts w:eastAsiaTheme="minorEastAsia"/>
                <w:b w:val="0"/>
                <w:sz w:val="21"/>
                <w:szCs w:val="21"/>
              </w:rPr>
            </w:pPr>
            <w:r>
              <w:rPr>
                <w:b w:val="0"/>
                <w:sz w:val="21"/>
                <w:lang w:val="zh-CN"/>
              </w:rPr>
              <w:t>0.06 mg/m</w:t>
            </w:r>
            <w:r>
              <w:rPr>
                <w:b w:val="0"/>
                <w:sz w:val="21"/>
                <w:vertAlign w:val="superscript"/>
                <w:lang w:val="zh-CN"/>
              </w:rPr>
              <w:t>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第2次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0.001</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0.003</w:t>
            </w:r>
          </w:p>
        </w:tc>
        <w:tc>
          <w:tcPr>
            <w:tcW w:w="1320" w:type="dxa"/>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第3次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20" w:type="dxa"/>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第4次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0.002</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甲醇</w:t>
            </w:r>
          </w:p>
          <w:p>
            <w:pPr>
              <w:pStyle w:val="32"/>
              <w:spacing w:line="240" w:lineRule="auto"/>
              <w:ind w:firstLine="0" w:firstLineChars="0"/>
              <w:jc w:val="center"/>
              <w:rPr>
                <w:rFonts w:eastAsiaTheme="minorEastAsia"/>
                <w:sz w:val="21"/>
                <w:szCs w:val="21"/>
              </w:rPr>
            </w:pPr>
            <w:r>
              <w:rPr>
                <w:rFonts w:eastAsiaTheme="minorEastAsia"/>
                <w:b w:val="0"/>
                <w:sz w:val="21"/>
                <w:szCs w:val="21"/>
              </w:rPr>
              <w:t>（mg/m</w:t>
            </w:r>
            <w:r>
              <w:rPr>
                <w:rFonts w:eastAsiaTheme="minorEastAsia"/>
                <w:b w:val="0"/>
                <w:sz w:val="21"/>
                <w:szCs w:val="21"/>
                <w:vertAlign w:val="superscript"/>
              </w:rPr>
              <w:t>3</w:t>
            </w:r>
            <w:r>
              <w:rPr>
                <w:rFonts w:eastAsiaTheme="minorEastAsia"/>
                <w:b w:val="0"/>
                <w:sz w:val="21"/>
                <w:szCs w:val="21"/>
              </w:rPr>
              <w:t>）</w:t>
            </w: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第1次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320"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266" w:type="dxa"/>
            <w:vMerge w:val="restart"/>
            <w:vAlign w:val="center"/>
          </w:tcPr>
          <w:p>
            <w:pPr>
              <w:pStyle w:val="32"/>
              <w:spacing w:line="240" w:lineRule="auto"/>
              <w:ind w:firstLine="0" w:firstLineChars="0"/>
              <w:jc w:val="center"/>
              <w:rPr>
                <w:rFonts w:eastAsiaTheme="minorEastAsia"/>
                <w:b w:val="0"/>
                <w:sz w:val="21"/>
                <w:szCs w:val="21"/>
              </w:rPr>
            </w:pPr>
            <w:r>
              <w:rPr>
                <w:b w:val="0"/>
                <w:sz w:val="21"/>
                <w:lang w:val="zh-CN"/>
              </w:rPr>
              <w:t>1.0mg/m</w:t>
            </w:r>
            <w:r>
              <w:rPr>
                <w:b w:val="0"/>
                <w:sz w:val="21"/>
                <w:vertAlign w:val="superscript"/>
                <w:lang w:val="zh-CN"/>
              </w:rPr>
              <w:t>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第2次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320"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第3次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320"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第4次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ND</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320" w:type="dxa"/>
            <w:vAlign w:val="center"/>
          </w:tcPr>
          <w:p>
            <w:pPr>
              <w:jc w:val="center"/>
              <w:rPr>
                <w:rFonts w:ascii="Times New Roman" w:hAnsi="Times New Roman" w:eastAsiaTheme="minorEastAsia"/>
                <w:szCs w:val="21"/>
              </w:rPr>
            </w:pPr>
            <w:r>
              <w:rPr>
                <w:rFonts w:ascii="Times New Roman" w:hAnsi="Times New Roman" w:eastAsiaTheme="minorEastAsia"/>
                <w:szCs w:val="21"/>
              </w:rPr>
              <w:t>ND</w:t>
            </w:r>
          </w:p>
        </w:tc>
        <w:tc>
          <w:tcPr>
            <w:tcW w:w="1266" w:type="dxa"/>
            <w:vMerge w:val="continue"/>
            <w:vAlign w:val="center"/>
          </w:tcPr>
          <w:p>
            <w:pPr>
              <w:pStyle w:val="32"/>
              <w:spacing w:line="240" w:lineRule="auto"/>
              <w:ind w:firstLine="0" w:firstLineChars="0"/>
              <w:jc w:val="center"/>
              <w:rPr>
                <w:rFonts w:eastAsiaTheme="minorEastAsia"/>
                <w:b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臭气浓度</w:t>
            </w:r>
          </w:p>
          <w:p>
            <w:pPr>
              <w:pStyle w:val="32"/>
              <w:spacing w:line="240" w:lineRule="auto"/>
              <w:ind w:firstLine="0" w:firstLineChars="0"/>
              <w:jc w:val="center"/>
              <w:rPr>
                <w:rFonts w:eastAsiaTheme="minorEastAsia"/>
                <w:sz w:val="21"/>
                <w:szCs w:val="21"/>
              </w:rPr>
            </w:pPr>
            <w:r>
              <w:rPr>
                <w:rFonts w:eastAsiaTheme="minorEastAsia"/>
                <w:b w:val="0"/>
                <w:sz w:val="21"/>
                <w:szCs w:val="21"/>
              </w:rPr>
              <w:t>无量纲</w:t>
            </w: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第1次</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13</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266" w:type="dxa"/>
            <w:vMerge w:val="restart"/>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第2次</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&lt;10</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12</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12</w:t>
            </w:r>
          </w:p>
        </w:tc>
        <w:tc>
          <w:tcPr>
            <w:tcW w:w="1266" w:type="dxa"/>
            <w:vMerge w:val="continue"/>
            <w:vAlign w:val="center"/>
          </w:tcPr>
          <w:p>
            <w:pPr>
              <w:pStyle w:val="32"/>
              <w:spacing w:line="240" w:lineRule="auto"/>
              <w:ind w:firstLine="0" w:firstLineChars="0"/>
              <w:jc w:val="center"/>
              <w:rPr>
                <w:rFonts w:eastAsiaTheme="minorEastAsia"/>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第3次</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&lt;10</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&lt;10</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14</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266" w:type="dxa"/>
            <w:vMerge w:val="continue"/>
            <w:vAlign w:val="center"/>
          </w:tcPr>
          <w:p>
            <w:pPr>
              <w:pStyle w:val="32"/>
              <w:spacing w:line="240" w:lineRule="auto"/>
              <w:ind w:firstLine="0" w:firstLineChars="0"/>
              <w:jc w:val="center"/>
              <w:rPr>
                <w:rFonts w:eastAsiaTheme="minorEastAsia"/>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317" w:type="dxa"/>
            <w:vMerge w:val="continue"/>
            <w:vAlign w:val="center"/>
          </w:tcPr>
          <w:p>
            <w:pPr>
              <w:pStyle w:val="32"/>
              <w:spacing w:line="240" w:lineRule="auto"/>
              <w:ind w:firstLine="0" w:firstLineChars="0"/>
              <w:jc w:val="center"/>
              <w:rPr>
                <w:rFonts w:eastAsiaTheme="minorEastAsia"/>
                <w:sz w:val="21"/>
                <w:szCs w:val="21"/>
              </w:rPr>
            </w:pPr>
          </w:p>
        </w:tc>
        <w:tc>
          <w:tcPr>
            <w:tcW w:w="1318" w:type="dxa"/>
            <w:vAlign w:val="center"/>
          </w:tcPr>
          <w:p>
            <w:pPr>
              <w:pStyle w:val="32"/>
              <w:spacing w:line="240" w:lineRule="auto"/>
              <w:ind w:firstLine="0" w:firstLineChars="0"/>
              <w:jc w:val="center"/>
              <w:rPr>
                <w:rFonts w:eastAsiaTheme="minorEastAsia"/>
                <w:sz w:val="21"/>
                <w:szCs w:val="21"/>
              </w:rPr>
            </w:pPr>
            <w:r>
              <w:rPr>
                <w:rFonts w:eastAsiaTheme="minorEastAsia"/>
                <w:b w:val="0"/>
                <w:sz w:val="21"/>
                <w:szCs w:val="21"/>
              </w:rPr>
              <w:t>第4次</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&lt;10</w:t>
            </w:r>
          </w:p>
        </w:tc>
        <w:tc>
          <w:tcPr>
            <w:tcW w:w="1318" w:type="dxa"/>
            <w:vAlign w:val="center"/>
          </w:tcPr>
          <w:p>
            <w:pPr>
              <w:jc w:val="center"/>
              <w:rPr>
                <w:rFonts w:ascii="Times New Roman" w:hAnsi="Times New Roman" w:eastAsiaTheme="minorEastAsia"/>
                <w:szCs w:val="21"/>
              </w:rPr>
            </w:pPr>
            <w:r>
              <w:rPr>
                <w:rFonts w:ascii="Times New Roman" w:hAnsi="Times New Roman" w:eastAsiaTheme="minorEastAsia"/>
                <w:szCs w:val="21"/>
              </w:rPr>
              <w:t>11</w:t>
            </w:r>
          </w:p>
        </w:tc>
        <w:tc>
          <w:tcPr>
            <w:tcW w:w="1318"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320" w:type="dxa"/>
            <w:vAlign w:val="center"/>
          </w:tcPr>
          <w:p>
            <w:pPr>
              <w:pStyle w:val="32"/>
              <w:spacing w:line="240" w:lineRule="auto"/>
              <w:ind w:firstLine="0" w:firstLineChars="0"/>
              <w:jc w:val="center"/>
              <w:rPr>
                <w:rFonts w:eastAsiaTheme="minorEastAsia"/>
                <w:b w:val="0"/>
                <w:sz w:val="21"/>
                <w:szCs w:val="21"/>
              </w:rPr>
            </w:pPr>
            <w:r>
              <w:rPr>
                <w:rFonts w:eastAsiaTheme="minorEastAsia"/>
                <w:b w:val="0"/>
                <w:sz w:val="21"/>
                <w:szCs w:val="21"/>
              </w:rPr>
              <w:t>&lt;10</w:t>
            </w:r>
          </w:p>
        </w:tc>
        <w:tc>
          <w:tcPr>
            <w:tcW w:w="1266" w:type="dxa"/>
            <w:vMerge w:val="continue"/>
            <w:vAlign w:val="center"/>
          </w:tcPr>
          <w:p>
            <w:pPr>
              <w:pStyle w:val="32"/>
              <w:spacing w:line="240" w:lineRule="auto"/>
              <w:ind w:firstLine="0" w:firstLineChars="0"/>
              <w:jc w:val="center"/>
              <w:rPr>
                <w:rFonts w:eastAsiaTheme="minorEastAsia"/>
                <w:sz w:val="21"/>
                <w:szCs w:val="21"/>
              </w:rPr>
            </w:pPr>
          </w:p>
        </w:tc>
      </w:tr>
    </w:tbl>
    <w:p>
      <w:pPr>
        <w:pStyle w:val="27"/>
        <w:ind w:firstLine="560"/>
        <w:rPr>
          <w:szCs w:val="28"/>
        </w:rPr>
      </w:pPr>
      <w:r>
        <w:rPr>
          <w:szCs w:val="28"/>
        </w:rPr>
        <w:t>由</w:t>
      </w:r>
      <w:r>
        <w:rPr>
          <w:rFonts w:eastAsiaTheme="minorEastAsia"/>
          <w:szCs w:val="28"/>
        </w:rPr>
        <w:t>表3.1-7</w:t>
      </w:r>
      <w:r>
        <w:rPr>
          <w:szCs w:val="28"/>
        </w:rPr>
        <w:t>可知，厂界无组织甲醇未检出，颗粒物浓度可以满足《大气污染物综合排放标准》（GB16297-1996）限值</w:t>
      </w:r>
      <w:r>
        <w:rPr>
          <w:spacing w:val="2"/>
          <w:szCs w:val="28"/>
          <w:lang w:val="zh-CN" w:eastAsia="zh-CN"/>
        </w:rPr>
        <w:t>要求</w:t>
      </w:r>
      <w:r>
        <w:rPr>
          <w:spacing w:val="2"/>
          <w:szCs w:val="28"/>
          <w:lang w:val="zh-CN"/>
        </w:rPr>
        <w:t>；硫化氢、臭气浓度可以满足</w:t>
      </w:r>
      <w:r>
        <w:rPr>
          <w:szCs w:val="28"/>
        </w:rPr>
        <w:t>《恶臭污染物排放标准》（GB14554-93）限值</w:t>
      </w:r>
      <w:r>
        <w:rPr>
          <w:spacing w:val="2"/>
          <w:szCs w:val="28"/>
          <w:lang w:val="zh-CN" w:eastAsia="zh-CN"/>
        </w:rPr>
        <w:t>要求</w:t>
      </w:r>
      <w:r>
        <w:rPr>
          <w:spacing w:val="2"/>
          <w:szCs w:val="28"/>
          <w:lang w:val="zh-CN"/>
        </w:rPr>
        <w:t>；</w:t>
      </w:r>
      <w:r>
        <w:rPr>
          <w:szCs w:val="28"/>
        </w:rPr>
        <w:t>非甲烷总烃可以满足</w:t>
      </w:r>
      <w:r>
        <w:rPr>
          <w:rFonts w:eastAsiaTheme="minorEastAsia"/>
          <w:kern w:val="0"/>
          <w:szCs w:val="28"/>
        </w:rPr>
        <w:t>《关于全省开展工业企业挥发性有机物专项治理工作中排放建议值的通知》（豫环攻坚办〔2017〕162号）中</w:t>
      </w:r>
      <w:r>
        <w:rPr>
          <w:rFonts w:eastAsiaTheme="minorEastAsia"/>
          <w:szCs w:val="28"/>
        </w:rPr>
        <w:t>企业边界排放建议值2.0 mg/m</w:t>
      </w:r>
      <w:r>
        <w:rPr>
          <w:rFonts w:eastAsiaTheme="minorEastAsia"/>
          <w:szCs w:val="28"/>
          <w:vertAlign w:val="superscript"/>
        </w:rPr>
        <w:t>3</w:t>
      </w:r>
      <w:r>
        <w:rPr>
          <w:spacing w:val="2"/>
          <w:szCs w:val="28"/>
          <w:lang w:val="zh-CN" w:eastAsia="zh-CN"/>
        </w:rPr>
        <w:t>要求</w:t>
      </w:r>
      <w:r>
        <w:rPr>
          <w:spacing w:val="2"/>
          <w:szCs w:val="28"/>
          <w:lang w:val="zh-CN"/>
        </w:rPr>
        <w:t>。</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（2）废水</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30万t/a甲醇项目原配套建设的污水处理站为100m</w:t>
      </w:r>
      <w:r>
        <w:rPr>
          <w:rFonts w:ascii="Times New Roman" w:hAnsi="Times New Roman" w:eastAsiaTheme="minorEastAsia"/>
          <w:sz w:val="28"/>
          <w:szCs w:val="28"/>
          <w:vertAlign w:val="superscript"/>
        </w:rPr>
        <w:t>3</w:t>
      </w:r>
      <w:r>
        <w:rPr>
          <w:rFonts w:ascii="Times New Roman" w:hAnsi="Times New Roman" w:eastAsiaTheme="minorEastAsia"/>
          <w:sz w:val="28"/>
          <w:szCs w:val="28"/>
        </w:rPr>
        <w:t>/h，主体工艺为破氰预处理+SBR处理工艺。中原大化污水处理装置提标扩能改造项目考虑将河南能源化工集团濮阳乙二醇污水排入现有的生化装置处理，但当乙二醇污水水量≥6m</w:t>
      </w:r>
      <w:r>
        <w:rPr>
          <w:rFonts w:ascii="Times New Roman" w:hAnsi="Times New Roman" w:eastAsiaTheme="minorEastAsia"/>
          <w:sz w:val="28"/>
          <w:szCs w:val="28"/>
          <w:vertAlign w:val="superscript"/>
        </w:rPr>
        <w:t>3</w:t>
      </w:r>
      <w:r>
        <w:rPr>
          <w:rFonts w:ascii="Times New Roman" w:hAnsi="Times New Roman" w:eastAsiaTheme="minorEastAsia"/>
          <w:sz w:val="28"/>
          <w:szCs w:val="28"/>
        </w:rPr>
        <w:t>/d时，最终出水可能难以达到排放指标要求。由于乙二醇污水浓度较高，新增高浓度污水预处理装置进行预处理，进水水量为20m</w:t>
      </w:r>
      <w:r>
        <w:rPr>
          <w:rFonts w:ascii="Times New Roman" w:hAnsi="Times New Roman" w:eastAsiaTheme="minorEastAsia"/>
          <w:sz w:val="28"/>
          <w:szCs w:val="28"/>
          <w:vertAlign w:val="superscript"/>
        </w:rPr>
        <w:t>3</w:t>
      </w:r>
      <w:r>
        <w:rPr>
          <w:rFonts w:ascii="Times New Roman" w:hAnsi="Times New Roman" w:eastAsiaTheme="minorEastAsia"/>
          <w:sz w:val="28"/>
          <w:szCs w:val="28"/>
        </w:rPr>
        <w:t>/h，经过预处理达标后排放进入现有生化装置，并将原有系统与新建扩容系统（新增污水处理能力200m³/h）整合为一个处理系统，改造后整体工艺采用IC+HBF+二级AO+砂滤+超滤+反渗透处理中水回用系统，达到60%以上污水回用率，每小时设计回用污水180m³，设计规模整合为300m</w:t>
      </w:r>
      <w:r>
        <w:rPr>
          <w:rFonts w:ascii="Times New Roman" w:hAnsi="Times New Roman" w:eastAsiaTheme="minorEastAsia"/>
          <w:sz w:val="28"/>
          <w:szCs w:val="28"/>
          <w:vertAlign w:val="superscript"/>
        </w:rPr>
        <w:t>3</w:t>
      </w:r>
      <w:r>
        <w:rPr>
          <w:rFonts w:ascii="Times New Roman" w:hAnsi="Times New Roman" w:eastAsiaTheme="minorEastAsia"/>
          <w:sz w:val="28"/>
          <w:szCs w:val="28"/>
        </w:rPr>
        <w:t>/h。整个系统主要由物化处理部分、生化处理部分、中水回用部分、污泥处理部分组成。</w:t>
      </w:r>
    </w:p>
    <w:p>
      <w:pPr>
        <w:pStyle w:val="27"/>
        <w:ind w:firstLine="697" w:firstLineChars="249"/>
        <w:rPr>
          <w:rFonts w:eastAsiaTheme="minorEastAsia"/>
          <w:szCs w:val="28"/>
        </w:rPr>
      </w:pPr>
      <w:r>
        <w:rPr>
          <w:rFonts w:eastAsiaTheme="minorEastAsia"/>
          <w:szCs w:val="28"/>
        </w:rPr>
        <w:t>根据大化公司2020年11月的厂区检测报告（光远检字第（E2020110302）号），厂区污水总排口检测结果见表3.1-8。</w:t>
      </w:r>
    </w:p>
    <w:p>
      <w:pPr>
        <w:spacing w:line="520" w:lineRule="exact"/>
        <w:ind w:firstLine="482" w:firstLineChars="200"/>
        <w:rPr>
          <w:rFonts w:ascii="Times New Roman" w:hAnsi="Times New Roman" w:eastAsiaTheme="minorEastAsia"/>
          <w:sz w:val="28"/>
          <w:szCs w:val="28"/>
        </w:rPr>
      </w:pPr>
      <w:r>
        <w:rPr>
          <w:rFonts w:ascii="Times New Roman" w:hAnsi="Times New Roman" w:eastAsia="黑体"/>
          <w:b/>
          <w:sz w:val="24"/>
        </w:rPr>
        <w:t>表3.1-8          厂区废水总排口污染物排放情况一览表</w:t>
      </w:r>
      <w:r>
        <w:rPr>
          <w:rFonts w:ascii="Times New Roman" w:hAnsi="Times New Roman" w:eastAsiaTheme="minorEastAsia"/>
          <w:sz w:val="28"/>
          <w:szCs w:val="28"/>
        </w:rPr>
        <w:t xml:space="preserve">    </w:t>
      </w:r>
      <w:r>
        <w:rPr>
          <w:rFonts w:ascii="Times New Roman" w:hAnsi="Times New Roman"/>
          <w:b/>
          <w:sz w:val="18"/>
          <w:szCs w:val="18"/>
        </w:rPr>
        <w:t>单位：mg/L（pH除外）</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051"/>
        <w:gridCol w:w="705"/>
        <w:gridCol w:w="709"/>
        <w:gridCol w:w="709"/>
        <w:gridCol w:w="567"/>
        <w:gridCol w:w="708"/>
        <w:gridCol w:w="709"/>
        <w:gridCol w:w="567"/>
        <w:gridCol w:w="709"/>
        <w:gridCol w:w="709"/>
        <w:gridCol w:w="567"/>
        <w:gridCol w:w="62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6" w:hRule="atLeast"/>
        </w:trPr>
        <w:tc>
          <w:tcPr>
            <w:tcW w:w="682"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点位</w:t>
            </w:r>
          </w:p>
        </w:tc>
        <w:tc>
          <w:tcPr>
            <w:tcW w:w="1051"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监测时间</w:t>
            </w:r>
          </w:p>
        </w:tc>
        <w:tc>
          <w:tcPr>
            <w:tcW w:w="705"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pH</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COD</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BOD</w:t>
            </w:r>
            <w:r>
              <w:rPr>
                <w:rFonts w:ascii="Times New Roman" w:hAnsi="Times New Roman" w:eastAsiaTheme="minorEastAsia"/>
                <w:szCs w:val="21"/>
                <w:vertAlign w:val="subscript"/>
              </w:rPr>
              <w:t>5</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SS</w:t>
            </w:r>
          </w:p>
        </w:tc>
        <w:tc>
          <w:tcPr>
            <w:tcW w:w="708" w:type="dxa"/>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氨氮</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总氮</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挥发酚</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氰化物</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氟化物</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石油类</w:t>
            </w:r>
          </w:p>
        </w:tc>
        <w:tc>
          <w:tcPr>
            <w:tcW w:w="623"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硫化物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0" w:hRule="atLeast"/>
        </w:trPr>
        <w:tc>
          <w:tcPr>
            <w:tcW w:w="682" w:type="dxa"/>
            <w:tcMar>
              <w:left w:w="28" w:type="dxa"/>
              <w:right w:w="28" w:type="dxa"/>
            </w:tcMar>
            <w:vAlign w:val="center"/>
          </w:tcPr>
          <w:p>
            <w:pPr>
              <w:spacing w:line="340" w:lineRule="exact"/>
              <w:jc w:val="center"/>
              <w:rPr>
                <w:rFonts w:ascii="Times New Roman" w:hAnsi="Times New Roman" w:eastAsiaTheme="minorEastAsia"/>
                <w:szCs w:val="21"/>
              </w:rPr>
            </w:pPr>
            <w:r>
              <w:rPr>
                <w:rFonts w:ascii="Times New Roman" w:hAnsi="Times New Roman" w:eastAsiaTheme="minorEastAsia"/>
                <w:szCs w:val="21"/>
              </w:rPr>
              <w:t>总排口</w:t>
            </w:r>
          </w:p>
        </w:tc>
        <w:tc>
          <w:tcPr>
            <w:tcW w:w="1051"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2020.11.5</w:t>
            </w:r>
          </w:p>
        </w:tc>
        <w:tc>
          <w:tcPr>
            <w:tcW w:w="705"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7.12</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57</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20</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11</w:t>
            </w:r>
          </w:p>
        </w:tc>
        <w:tc>
          <w:tcPr>
            <w:tcW w:w="708" w:type="dxa"/>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0.386</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9.19</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未检出</w:t>
            </w:r>
          </w:p>
        </w:tc>
        <w:tc>
          <w:tcPr>
            <w:tcW w:w="709" w:type="dxa"/>
            <w:tcMar>
              <w:left w:w="28" w:type="dxa"/>
              <w:right w:w="28" w:type="dxa"/>
            </w:tcMar>
            <w:vAlign w:val="center"/>
          </w:tcPr>
          <w:p>
            <w:pPr>
              <w:rPr>
                <w:rFonts w:ascii="Times New Roman" w:hAnsi="Times New Roman"/>
              </w:rPr>
            </w:pPr>
            <w:r>
              <w:rPr>
                <w:rFonts w:ascii="Times New Roman" w:hAnsi="Times New Roman" w:eastAsiaTheme="minorEastAsia"/>
                <w:szCs w:val="21"/>
              </w:rPr>
              <w:t>未检出</w:t>
            </w:r>
          </w:p>
        </w:tc>
        <w:tc>
          <w:tcPr>
            <w:tcW w:w="709" w:type="dxa"/>
            <w:tcMar>
              <w:left w:w="28" w:type="dxa"/>
              <w:right w:w="28" w:type="dxa"/>
            </w:tcMar>
            <w:vAlign w:val="center"/>
          </w:tcPr>
          <w:p>
            <w:pPr>
              <w:jc w:val="center"/>
              <w:rPr>
                <w:rFonts w:ascii="Times New Roman" w:hAnsi="Times New Roman"/>
              </w:rPr>
            </w:pPr>
            <w:r>
              <w:rPr>
                <w:rFonts w:hint="eastAsia" w:ascii="Times New Roman" w:hAnsi="Times New Roman" w:eastAsiaTheme="minorEastAsia"/>
                <w:szCs w:val="21"/>
              </w:rPr>
              <w:t>1</w:t>
            </w:r>
            <w:r>
              <w:rPr>
                <w:rFonts w:ascii="Times New Roman" w:hAnsi="Times New Roman" w:eastAsiaTheme="minorEastAsia"/>
                <w:szCs w:val="21"/>
              </w:rPr>
              <w:t>.28</w:t>
            </w:r>
          </w:p>
        </w:tc>
        <w:tc>
          <w:tcPr>
            <w:tcW w:w="567" w:type="dxa"/>
            <w:tcMar>
              <w:left w:w="28" w:type="dxa"/>
              <w:right w:w="28" w:type="dxa"/>
            </w:tcMar>
            <w:vAlign w:val="center"/>
          </w:tcPr>
          <w:p>
            <w:pPr>
              <w:rPr>
                <w:rFonts w:ascii="Times New Roman" w:hAnsi="Times New Roman"/>
              </w:rPr>
            </w:pPr>
            <w:r>
              <w:rPr>
                <w:rFonts w:ascii="Times New Roman" w:hAnsi="Times New Roman" w:eastAsiaTheme="minorEastAsia"/>
                <w:szCs w:val="21"/>
              </w:rPr>
              <w:t>未检出</w:t>
            </w:r>
          </w:p>
        </w:tc>
        <w:tc>
          <w:tcPr>
            <w:tcW w:w="623" w:type="dxa"/>
            <w:tcMar>
              <w:left w:w="28" w:type="dxa"/>
              <w:right w:w="28" w:type="dxa"/>
            </w:tcMar>
            <w:vAlign w:val="center"/>
          </w:tcPr>
          <w:p>
            <w:pPr>
              <w:rPr>
                <w:rFonts w:ascii="Times New Roman" w:hAnsi="Times New Roman"/>
              </w:rPr>
            </w:pPr>
            <w:r>
              <w:rPr>
                <w:rFonts w:ascii="Times New Roman" w:hAnsi="Times New Roman" w:eastAsiaTheme="minorEastAsia"/>
                <w:szCs w:val="21"/>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9" w:hRule="atLeast"/>
        </w:trPr>
        <w:tc>
          <w:tcPr>
            <w:tcW w:w="1733" w:type="dxa"/>
            <w:gridSpan w:val="2"/>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GB8978-1996</w:t>
            </w:r>
          </w:p>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表4二级标准</w:t>
            </w:r>
          </w:p>
        </w:tc>
        <w:tc>
          <w:tcPr>
            <w:tcW w:w="705"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6~9</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150</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30</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150</w:t>
            </w:r>
          </w:p>
        </w:tc>
        <w:tc>
          <w:tcPr>
            <w:tcW w:w="708" w:type="dxa"/>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25</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50</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0.5</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0.5</w:t>
            </w:r>
          </w:p>
        </w:tc>
        <w:tc>
          <w:tcPr>
            <w:tcW w:w="709"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10</w:t>
            </w:r>
          </w:p>
        </w:tc>
        <w:tc>
          <w:tcPr>
            <w:tcW w:w="567"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10</w:t>
            </w:r>
          </w:p>
        </w:tc>
        <w:tc>
          <w:tcPr>
            <w:tcW w:w="623" w:type="dxa"/>
            <w:tcMar>
              <w:left w:w="28" w:type="dxa"/>
              <w:right w:w="28" w:type="dxa"/>
            </w:tcMar>
            <w:vAlign w:val="center"/>
          </w:tcPr>
          <w:p>
            <w:pPr>
              <w:adjustRightInd w:val="0"/>
              <w:snapToGrid w:val="0"/>
              <w:spacing w:line="340" w:lineRule="exact"/>
              <w:jc w:val="center"/>
              <w:rPr>
                <w:rFonts w:ascii="Times New Roman" w:hAnsi="Times New Roman" w:eastAsiaTheme="minorEastAsia"/>
                <w:szCs w:val="21"/>
              </w:rPr>
            </w:pPr>
            <w:r>
              <w:rPr>
                <w:rFonts w:ascii="Times New Roman" w:hAnsi="Times New Roman" w:eastAsiaTheme="minorEastAsia"/>
                <w:szCs w:val="21"/>
              </w:rPr>
              <w:t>1.0</w:t>
            </w:r>
          </w:p>
        </w:tc>
      </w:tr>
    </w:tbl>
    <w:p>
      <w:pPr>
        <w:pStyle w:val="27"/>
        <w:ind w:firstLine="697" w:firstLineChars="249"/>
        <w:rPr>
          <w:rFonts w:eastAsiaTheme="minorEastAsia"/>
          <w:szCs w:val="28"/>
        </w:rPr>
      </w:pPr>
      <w:r>
        <w:rPr>
          <w:rFonts w:eastAsiaTheme="minorEastAsia"/>
          <w:szCs w:val="28"/>
        </w:rPr>
        <w:t>厂区污水总排口设置在线监测装置，在线监测结果见表3.1-9。</w:t>
      </w:r>
    </w:p>
    <w:p>
      <w:pPr>
        <w:spacing w:line="520" w:lineRule="exact"/>
        <w:ind w:firstLine="482" w:firstLineChars="200"/>
        <w:rPr>
          <w:rFonts w:ascii="Times New Roman" w:hAnsi="Times New Roman" w:eastAsia="黑体"/>
          <w:b/>
          <w:sz w:val="24"/>
        </w:rPr>
      </w:pPr>
    </w:p>
    <w:p>
      <w:pPr>
        <w:spacing w:line="520" w:lineRule="exact"/>
        <w:ind w:firstLine="482" w:firstLineChars="200"/>
        <w:rPr>
          <w:rFonts w:ascii="Times New Roman" w:hAnsi="Times New Roman" w:eastAsia="黑体"/>
          <w:b/>
          <w:sz w:val="24"/>
        </w:rPr>
      </w:pPr>
    </w:p>
    <w:p>
      <w:pPr>
        <w:spacing w:line="520" w:lineRule="exact"/>
        <w:ind w:firstLine="482" w:firstLineChars="200"/>
        <w:rPr>
          <w:rFonts w:ascii="Times New Roman" w:hAnsi="Times New Roman" w:eastAsiaTheme="minorEastAsia"/>
          <w:sz w:val="28"/>
          <w:szCs w:val="28"/>
        </w:rPr>
      </w:pPr>
      <w:r>
        <w:rPr>
          <w:rFonts w:ascii="Times New Roman" w:hAnsi="Times New Roman" w:eastAsia="黑体"/>
          <w:b/>
          <w:sz w:val="24"/>
        </w:rPr>
        <w:t>表3.1-9          厂区废水总排口在线监测结果一览表</w:t>
      </w:r>
      <w:r>
        <w:rPr>
          <w:rFonts w:ascii="Times New Roman" w:hAnsi="Times New Roman" w:eastAsiaTheme="minorEastAsia"/>
          <w:sz w:val="28"/>
          <w:szCs w:val="28"/>
        </w:rPr>
        <w:t xml:space="preserve">     </w:t>
      </w:r>
      <w:r>
        <w:rPr>
          <w:rFonts w:ascii="Times New Roman" w:hAnsi="Times New Roman" w:eastAsia="黑体"/>
          <w:b/>
          <w:szCs w:val="21"/>
        </w:rPr>
        <w:t>单位：mg/L</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83"/>
        <w:gridCol w:w="1161"/>
        <w:gridCol w:w="1233"/>
        <w:gridCol w:w="1370"/>
        <w:gridCol w:w="1396"/>
        <w:gridCol w:w="1453"/>
        <w:gridCol w:w="12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3" w:hRule="atLeast"/>
          <w:jc w:val="center"/>
        </w:trPr>
        <w:tc>
          <w:tcPr>
            <w:tcW w:w="1183" w:type="dxa"/>
            <w:vMerge w:val="restart"/>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项目</w:t>
            </w:r>
          </w:p>
          <w:p>
            <w:pPr>
              <w:widowControl/>
              <w:spacing w:line="360" w:lineRule="exact"/>
              <w:jc w:val="center"/>
              <w:rPr>
                <w:rFonts w:ascii="Times New Roman" w:hAnsi="Times New Roman"/>
                <w:kern w:val="0"/>
                <w:szCs w:val="21"/>
              </w:rPr>
            </w:pPr>
            <w:r>
              <w:rPr>
                <w:rFonts w:ascii="Times New Roman" w:hAnsi="Times New Roman"/>
                <w:kern w:val="0"/>
                <w:szCs w:val="21"/>
              </w:rPr>
              <w:t>时间</w:t>
            </w:r>
          </w:p>
        </w:tc>
        <w:tc>
          <w:tcPr>
            <w:tcW w:w="2394" w:type="dxa"/>
            <w:gridSpan w:val="2"/>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流量</w:t>
            </w:r>
          </w:p>
        </w:tc>
        <w:tc>
          <w:tcPr>
            <w:tcW w:w="2766" w:type="dxa"/>
            <w:gridSpan w:val="2"/>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COD</w:t>
            </w:r>
          </w:p>
        </w:tc>
        <w:tc>
          <w:tcPr>
            <w:tcW w:w="2672" w:type="dxa"/>
            <w:gridSpan w:val="2"/>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氨氮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3" w:hRule="atLeast"/>
          <w:jc w:val="center"/>
        </w:trPr>
        <w:tc>
          <w:tcPr>
            <w:tcW w:w="1183" w:type="dxa"/>
            <w:vMerge w:val="continue"/>
            <w:vAlign w:val="center"/>
          </w:tcPr>
          <w:p>
            <w:pPr>
              <w:widowControl/>
              <w:spacing w:line="360" w:lineRule="exact"/>
              <w:jc w:val="center"/>
              <w:rPr>
                <w:rFonts w:ascii="Times New Roman" w:hAnsi="Times New Roman"/>
                <w:kern w:val="0"/>
                <w:szCs w:val="21"/>
              </w:rPr>
            </w:pPr>
          </w:p>
        </w:tc>
        <w:tc>
          <w:tcPr>
            <w:tcW w:w="1161"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平均值(l/s)</w:t>
            </w:r>
          </w:p>
        </w:tc>
        <w:tc>
          <w:tcPr>
            <w:tcW w:w="1233"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排放量(T)</w:t>
            </w:r>
          </w:p>
        </w:tc>
        <w:tc>
          <w:tcPr>
            <w:tcW w:w="1370"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平均值(mg/l)</w:t>
            </w:r>
          </w:p>
        </w:tc>
        <w:tc>
          <w:tcPr>
            <w:tcW w:w="1396"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排放量(kg)</w:t>
            </w:r>
          </w:p>
        </w:tc>
        <w:tc>
          <w:tcPr>
            <w:tcW w:w="1453"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平均值(mg/l)</w:t>
            </w:r>
          </w:p>
        </w:tc>
        <w:tc>
          <w:tcPr>
            <w:tcW w:w="1219" w:type="dxa"/>
            <w:shd w:val="clear" w:color="auto" w:fill="auto"/>
            <w:noWrap/>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排放量(kg)</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3" w:hRule="atLeast"/>
          <w:jc w:val="center"/>
        </w:trPr>
        <w:tc>
          <w:tcPr>
            <w:tcW w:w="1183" w:type="dxa"/>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2020.11</w:t>
            </w:r>
          </w:p>
        </w:tc>
        <w:tc>
          <w:tcPr>
            <w:tcW w:w="1161" w:type="dxa"/>
            <w:shd w:val="clear" w:color="auto" w:fill="auto"/>
            <w:noWrap/>
            <w:vAlign w:val="center"/>
          </w:tcPr>
          <w:p>
            <w:pPr>
              <w:jc w:val="center"/>
              <w:rPr>
                <w:rFonts w:ascii="Times New Roman" w:hAnsi="Times New Roman"/>
                <w:szCs w:val="21"/>
              </w:rPr>
            </w:pPr>
            <w:r>
              <w:rPr>
                <w:rFonts w:ascii="Times New Roman" w:hAnsi="Times New Roman"/>
                <w:kern w:val="0"/>
                <w:szCs w:val="21"/>
              </w:rPr>
              <w:t>84.83</w:t>
            </w:r>
          </w:p>
        </w:tc>
        <w:tc>
          <w:tcPr>
            <w:tcW w:w="1233" w:type="dxa"/>
            <w:shd w:val="clear" w:color="auto" w:fill="auto"/>
            <w:noWrap/>
            <w:vAlign w:val="center"/>
          </w:tcPr>
          <w:p>
            <w:pPr>
              <w:jc w:val="center"/>
              <w:rPr>
                <w:rFonts w:ascii="Times New Roman" w:hAnsi="Times New Roman"/>
                <w:szCs w:val="21"/>
              </w:rPr>
            </w:pPr>
            <w:r>
              <w:rPr>
                <w:rFonts w:ascii="Times New Roman" w:hAnsi="Times New Roman"/>
                <w:kern w:val="0"/>
                <w:szCs w:val="21"/>
              </w:rPr>
              <w:t>7231.32</w:t>
            </w:r>
          </w:p>
        </w:tc>
        <w:tc>
          <w:tcPr>
            <w:tcW w:w="1370" w:type="dxa"/>
            <w:shd w:val="clear" w:color="auto" w:fill="auto"/>
            <w:noWrap/>
            <w:vAlign w:val="center"/>
          </w:tcPr>
          <w:p>
            <w:pPr>
              <w:jc w:val="center"/>
              <w:rPr>
                <w:rFonts w:ascii="Times New Roman" w:hAnsi="Times New Roman"/>
                <w:szCs w:val="21"/>
              </w:rPr>
            </w:pPr>
            <w:r>
              <w:rPr>
                <w:rFonts w:ascii="Times New Roman" w:hAnsi="Times New Roman"/>
                <w:kern w:val="0"/>
                <w:szCs w:val="21"/>
              </w:rPr>
              <w:t>16.47</w:t>
            </w:r>
          </w:p>
        </w:tc>
        <w:tc>
          <w:tcPr>
            <w:tcW w:w="1396" w:type="dxa"/>
            <w:shd w:val="clear" w:color="auto" w:fill="auto"/>
            <w:noWrap/>
            <w:vAlign w:val="center"/>
          </w:tcPr>
          <w:p>
            <w:pPr>
              <w:jc w:val="center"/>
              <w:rPr>
                <w:rFonts w:ascii="Times New Roman" w:hAnsi="Times New Roman"/>
                <w:szCs w:val="21"/>
              </w:rPr>
            </w:pPr>
            <w:r>
              <w:rPr>
                <w:rFonts w:ascii="Times New Roman" w:hAnsi="Times New Roman"/>
                <w:kern w:val="0"/>
                <w:szCs w:val="21"/>
              </w:rPr>
              <w:t>119.17</w:t>
            </w:r>
          </w:p>
        </w:tc>
        <w:tc>
          <w:tcPr>
            <w:tcW w:w="1453" w:type="dxa"/>
            <w:shd w:val="clear" w:color="auto" w:fill="auto"/>
            <w:noWrap/>
            <w:vAlign w:val="center"/>
          </w:tcPr>
          <w:p>
            <w:pPr>
              <w:jc w:val="center"/>
              <w:rPr>
                <w:rFonts w:ascii="Times New Roman" w:hAnsi="Times New Roman"/>
                <w:szCs w:val="21"/>
              </w:rPr>
            </w:pPr>
            <w:r>
              <w:rPr>
                <w:rFonts w:ascii="Times New Roman" w:hAnsi="Times New Roman"/>
                <w:kern w:val="0"/>
                <w:szCs w:val="21"/>
              </w:rPr>
              <w:t>0.21</w:t>
            </w:r>
          </w:p>
        </w:tc>
        <w:tc>
          <w:tcPr>
            <w:tcW w:w="1219" w:type="dxa"/>
            <w:shd w:val="clear" w:color="auto" w:fill="auto"/>
            <w:noWrap/>
            <w:vAlign w:val="center"/>
          </w:tcPr>
          <w:p>
            <w:pPr>
              <w:jc w:val="center"/>
              <w:rPr>
                <w:rFonts w:ascii="Times New Roman" w:hAnsi="Times New Roman"/>
                <w:szCs w:val="21"/>
              </w:rPr>
            </w:pPr>
            <w:r>
              <w:rPr>
                <w:rFonts w:ascii="Times New Roman" w:hAnsi="Times New Roman"/>
                <w:kern w:val="0"/>
                <w:szCs w:val="21"/>
              </w:rPr>
              <w:t>1.52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3" w:hRule="atLeast"/>
          <w:jc w:val="center"/>
        </w:trPr>
        <w:tc>
          <w:tcPr>
            <w:tcW w:w="1183" w:type="dxa"/>
            <w:vAlign w:val="center"/>
          </w:tcPr>
          <w:p>
            <w:pPr>
              <w:widowControl/>
              <w:spacing w:line="360" w:lineRule="exact"/>
              <w:jc w:val="center"/>
              <w:rPr>
                <w:rFonts w:ascii="Times New Roman" w:hAnsi="Times New Roman"/>
                <w:kern w:val="0"/>
                <w:szCs w:val="21"/>
              </w:rPr>
            </w:pPr>
            <w:r>
              <w:rPr>
                <w:rFonts w:ascii="Times New Roman" w:hAnsi="Times New Roman"/>
                <w:kern w:val="0"/>
                <w:szCs w:val="21"/>
              </w:rPr>
              <w:t>2020.12</w:t>
            </w:r>
          </w:p>
        </w:tc>
        <w:tc>
          <w:tcPr>
            <w:tcW w:w="1161"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83.51</w:t>
            </w:r>
          </w:p>
        </w:tc>
        <w:tc>
          <w:tcPr>
            <w:tcW w:w="1233"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7136.61</w:t>
            </w:r>
          </w:p>
        </w:tc>
        <w:tc>
          <w:tcPr>
            <w:tcW w:w="1370"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17.34</w:t>
            </w:r>
          </w:p>
        </w:tc>
        <w:tc>
          <w:tcPr>
            <w:tcW w:w="1396"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126.21</w:t>
            </w:r>
          </w:p>
        </w:tc>
        <w:tc>
          <w:tcPr>
            <w:tcW w:w="1453"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0.34</w:t>
            </w:r>
          </w:p>
        </w:tc>
        <w:tc>
          <w:tcPr>
            <w:tcW w:w="1219" w:type="dxa"/>
            <w:shd w:val="clear" w:color="auto" w:fill="auto"/>
            <w:noWrap/>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2.32</w:t>
            </w:r>
          </w:p>
        </w:tc>
      </w:tr>
    </w:tbl>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通过表3.1-8~表3.1-9可知，项目废水污染物经污水处理站处理后，总排放口污染物排放浓度可满足《污水综合排放标准》（GB8978-1996）表4二级标准限值要求。</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（3）噪声</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厂界噪声情况采用2019年10</w:t>
      </w:r>
      <w:r>
        <w:rPr>
          <w:rFonts w:hint="eastAsia" w:ascii="Times New Roman" w:hAnsi="Times New Roman" w:eastAsiaTheme="minorEastAsia"/>
          <w:sz w:val="28"/>
          <w:szCs w:val="28"/>
        </w:rPr>
        <w:t>月份1</w:t>
      </w:r>
      <w:r>
        <w:rPr>
          <w:rFonts w:ascii="Times New Roman" w:hAnsi="Times New Roman" w:eastAsiaTheme="minorEastAsia"/>
          <w:sz w:val="28"/>
          <w:szCs w:val="28"/>
          <w:lang w:val="zh-CN"/>
        </w:rPr>
        <w:t>0万吨/年二氧化碳液化项目</w:t>
      </w:r>
      <w:r>
        <w:rPr>
          <w:rFonts w:hint="eastAsia" w:ascii="Times New Roman" w:hAnsi="Times New Roman" w:eastAsiaTheme="minorEastAsia"/>
          <w:sz w:val="28"/>
          <w:szCs w:val="28"/>
          <w:lang w:val="zh-CN"/>
        </w:rPr>
        <w:t>验收时厂界监测数据，</w:t>
      </w:r>
      <w:r>
        <w:rPr>
          <w:rFonts w:ascii="Times New Roman" w:hAnsi="Times New Roman" w:eastAsiaTheme="minorEastAsia"/>
          <w:sz w:val="28"/>
          <w:szCs w:val="28"/>
        </w:rPr>
        <w:t>之后厂区噪声污染源未发生大的变化，厂界噪声监测情况见表3.1-10。</w:t>
      </w:r>
    </w:p>
    <w:p>
      <w:pPr>
        <w:spacing w:line="520" w:lineRule="exact"/>
        <w:ind w:firstLine="723" w:firstLineChars="300"/>
        <w:rPr>
          <w:rFonts w:ascii="Times New Roman" w:hAnsi="Times New Roman" w:eastAsiaTheme="minorEastAsia"/>
          <w:szCs w:val="21"/>
        </w:rPr>
      </w:pPr>
      <w:r>
        <w:rPr>
          <w:rFonts w:ascii="Times New Roman" w:hAnsi="Times New Roman" w:eastAsia="黑体"/>
          <w:b/>
          <w:sz w:val="24"/>
        </w:rPr>
        <w:t xml:space="preserve">表3.1-10            厂界噪声监测结果一览表 </w:t>
      </w:r>
      <w:r>
        <w:rPr>
          <w:rFonts w:ascii="Times New Roman" w:hAnsi="Times New Roman" w:eastAsiaTheme="minorEastAsia"/>
          <w:sz w:val="28"/>
          <w:szCs w:val="28"/>
        </w:rPr>
        <w:t xml:space="preserve">         </w:t>
      </w:r>
      <w:r>
        <w:rPr>
          <w:rFonts w:ascii="Times New Roman" w:hAnsi="Times New Roman" w:eastAsiaTheme="minorEastAsia"/>
          <w:b/>
          <w:szCs w:val="21"/>
        </w:rPr>
        <w:t xml:space="preserve"> </w:t>
      </w:r>
      <w:r>
        <w:rPr>
          <w:rFonts w:ascii="Times New Roman" w:hAnsi="Times New Roman" w:eastAsia="黑体"/>
          <w:b/>
          <w:szCs w:val="21"/>
        </w:rPr>
        <w:t>单位：dB(A)</w:t>
      </w:r>
    </w:p>
    <w:tbl>
      <w:tblPr>
        <w:tblStyle w:val="21"/>
        <w:tblpPr w:leftFromText="180" w:rightFromText="180" w:vertAnchor="text" w:horzAnchor="margin" w:tblpXSpec="center" w:tblpY="50"/>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4"/>
        <w:gridCol w:w="1817"/>
        <w:gridCol w:w="1818"/>
        <w:gridCol w:w="1818"/>
        <w:gridCol w:w="181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监测项目</w:t>
            </w:r>
          </w:p>
        </w:tc>
        <w:tc>
          <w:tcPr>
            <w:tcW w:w="3635" w:type="dxa"/>
            <w:gridSpan w:val="2"/>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昼间等效声级</w:t>
            </w:r>
          </w:p>
        </w:tc>
        <w:tc>
          <w:tcPr>
            <w:tcW w:w="3636" w:type="dxa"/>
            <w:gridSpan w:val="2"/>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夜间等效声级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监测时间</w:t>
            </w:r>
          </w:p>
        </w:tc>
        <w:tc>
          <w:tcPr>
            <w:tcW w:w="1817" w:type="dxa"/>
            <w:vAlign w:val="center"/>
          </w:tcPr>
          <w:p>
            <w:pPr>
              <w:jc w:val="center"/>
              <w:rPr>
                <w:rFonts w:ascii="Times New Roman" w:hAnsi="Times New Roman" w:eastAsiaTheme="minorEastAsia"/>
                <w:szCs w:val="21"/>
              </w:rPr>
            </w:pPr>
            <w:r>
              <w:rPr>
                <w:rFonts w:ascii="Times New Roman" w:hAnsi="Times New Roman" w:eastAsiaTheme="minorEastAsia"/>
                <w:szCs w:val="21"/>
              </w:rPr>
              <w:t>2019.10.22</w:t>
            </w:r>
          </w:p>
        </w:tc>
        <w:tc>
          <w:tcPr>
            <w:tcW w:w="1818" w:type="dxa"/>
            <w:vAlign w:val="center"/>
          </w:tcPr>
          <w:p>
            <w:pPr>
              <w:jc w:val="center"/>
              <w:rPr>
                <w:rFonts w:ascii="Times New Roman" w:hAnsi="Times New Roman" w:eastAsiaTheme="minorEastAsia"/>
                <w:szCs w:val="21"/>
              </w:rPr>
            </w:pPr>
            <w:r>
              <w:rPr>
                <w:rFonts w:ascii="Times New Roman" w:hAnsi="Times New Roman" w:eastAsiaTheme="minorEastAsia"/>
                <w:szCs w:val="21"/>
              </w:rPr>
              <w:t>2019.10.23</w:t>
            </w:r>
          </w:p>
        </w:tc>
        <w:tc>
          <w:tcPr>
            <w:tcW w:w="1818" w:type="dxa"/>
            <w:vAlign w:val="center"/>
          </w:tcPr>
          <w:p>
            <w:pPr>
              <w:jc w:val="center"/>
              <w:rPr>
                <w:rFonts w:ascii="Times New Roman" w:hAnsi="Times New Roman" w:eastAsiaTheme="minorEastAsia"/>
                <w:szCs w:val="21"/>
              </w:rPr>
            </w:pPr>
            <w:r>
              <w:rPr>
                <w:rFonts w:ascii="Times New Roman" w:hAnsi="Times New Roman" w:eastAsiaTheme="minorEastAsia"/>
                <w:szCs w:val="21"/>
              </w:rPr>
              <w:t>2019.10.22</w:t>
            </w:r>
          </w:p>
        </w:tc>
        <w:tc>
          <w:tcPr>
            <w:tcW w:w="1818" w:type="dxa"/>
            <w:vAlign w:val="center"/>
          </w:tcPr>
          <w:p>
            <w:pPr>
              <w:jc w:val="center"/>
              <w:rPr>
                <w:rFonts w:ascii="Times New Roman" w:hAnsi="Times New Roman" w:eastAsiaTheme="minorEastAsia"/>
                <w:szCs w:val="21"/>
              </w:rPr>
            </w:pPr>
            <w:r>
              <w:rPr>
                <w:rFonts w:ascii="Times New Roman" w:hAnsi="Times New Roman" w:eastAsiaTheme="minorEastAsia"/>
                <w:szCs w:val="21"/>
              </w:rPr>
              <w:t>2019.10.23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东厂界</w:t>
            </w:r>
          </w:p>
        </w:tc>
        <w:tc>
          <w:tcPr>
            <w:tcW w:w="1817"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6.4</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5.7</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9.2</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8.3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西厂界</w:t>
            </w:r>
          </w:p>
        </w:tc>
        <w:tc>
          <w:tcPr>
            <w:tcW w:w="1817"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4.8</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4.0</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7.5</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8.1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南厂界</w:t>
            </w:r>
          </w:p>
        </w:tc>
        <w:tc>
          <w:tcPr>
            <w:tcW w:w="1817"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2.1</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1.8</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8.4</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8.1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北厂界</w:t>
            </w:r>
          </w:p>
        </w:tc>
        <w:tc>
          <w:tcPr>
            <w:tcW w:w="1817"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3.4</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5</w:t>
            </w:r>
            <w:r>
              <w:rPr>
                <w:rFonts w:ascii="Times New Roman" w:hAnsi="Times New Roman" w:eastAsiaTheme="minorEastAsia"/>
                <w:szCs w:val="21"/>
              </w:rPr>
              <w:t>2.7</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3.9</w:t>
            </w:r>
          </w:p>
        </w:tc>
        <w:tc>
          <w:tcPr>
            <w:tcW w:w="1818"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4</w:t>
            </w:r>
            <w:r>
              <w:rPr>
                <w:rFonts w:ascii="Times New Roman" w:hAnsi="Times New Roman" w:eastAsiaTheme="minorEastAsia"/>
                <w:szCs w:val="21"/>
              </w:rPr>
              <w:t>8.7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904" w:type="dxa"/>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 xml:space="preserve">GB12348-2008 </w:t>
            </w:r>
          </w:p>
          <w:p>
            <w:pPr>
              <w:snapToGrid w:val="0"/>
              <w:jc w:val="center"/>
              <w:rPr>
                <w:rFonts w:ascii="Times New Roman" w:hAnsi="Times New Roman" w:eastAsiaTheme="minorEastAsia"/>
                <w:szCs w:val="21"/>
              </w:rPr>
            </w:pPr>
            <w:r>
              <w:rPr>
                <w:rFonts w:ascii="Times New Roman" w:hAnsi="Times New Roman" w:eastAsiaTheme="minorEastAsia"/>
                <w:szCs w:val="21"/>
              </w:rPr>
              <w:t>3类标准限值</w:t>
            </w:r>
          </w:p>
        </w:tc>
        <w:tc>
          <w:tcPr>
            <w:tcW w:w="3635" w:type="dxa"/>
            <w:gridSpan w:val="2"/>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65</w:t>
            </w:r>
          </w:p>
        </w:tc>
        <w:tc>
          <w:tcPr>
            <w:tcW w:w="3636" w:type="dxa"/>
            <w:gridSpan w:val="2"/>
            <w:vAlign w:val="center"/>
          </w:tcPr>
          <w:p>
            <w:pPr>
              <w:snapToGrid w:val="0"/>
              <w:jc w:val="center"/>
              <w:rPr>
                <w:rFonts w:ascii="Times New Roman" w:hAnsi="Times New Roman" w:eastAsiaTheme="minorEastAsia"/>
                <w:szCs w:val="21"/>
              </w:rPr>
            </w:pPr>
            <w:r>
              <w:rPr>
                <w:rFonts w:ascii="Times New Roman" w:hAnsi="Times New Roman" w:eastAsiaTheme="minorEastAsia"/>
                <w:szCs w:val="21"/>
              </w:rPr>
              <w:t>55</w:t>
            </w:r>
          </w:p>
        </w:tc>
      </w:tr>
    </w:tbl>
    <w:p>
      <w:pPr>
        <w:spacing w:line="520" w:lineRule="exact"/>
        <w:ind w:firstLine="480"/>
        <w:rPr>
          <w:rFonts w:ascii="Times New Roman" w:hAnsi="Times New Roman"/>
          <w:sz w:val="28"/>
          <w:szCs w:val="28"/>
        </w:rPr>
      </w:pPr>
      <w:r>
        <w:rPr>
          <w:rFonts w:ascii="Times New Roman" w:hAnsi="Times New Roman"/>
          <w:sz w:val="28"/>
          <w:szCs w:val="28"/>
        </w:rPr>
        <w:t>通过上表可知，中原大化公司东、西、南、北厂界昼夜间噪声测定值均符合《工业企业厂界环境噪声排放标准》（GB12348-2008）3类标准限值要求。</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（4）固体废弃物</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项目固体废物主要包括一般固废：煤制粉废渣、煤气化飞灰、煤气化废渣、污水处理污泥等；危险固废：废催化剂、杂醇油、含氰污泥等。各种固体废物的产生及处理见表3.1-11。</w:t>
      </w:r>
    </w:p>
    <w:p>
      <w:pPr>
        <w:spacing w:line="480" w:lineRule="exact"/>
        <w:ind w:firstLine="482" w:firstLineChars="200"/>
        <w:rPr>
          <w:rFonts w:ascii="Times New Roman" w:hAnsi="Times New Roman" w:eastAsia="黑体"/>
          <w:b/>
          <w:sz w:val="24"/>
        </w:rPr>
      </w:pPr>
    </w:p>
    <w:p>
      <w:pPr>
        <w:spacing w:line="480" w:lineRule="exact"/>
        <w:ind w:firstLine="482" w:firstLineChars="200"/>
        <w:rPr>
          <w:rFonts w:ascii="Times New Roman" w:hAnsi="Times New Roman" w:eastAsia="黑体"/>
          <w:b/>
          <w:sz w:val="24"/>
        </w:rPr>
      </w:pPr>
    </w:p>
    <w:p>
      <w:pPr>
        <w:spacing w:line="480" w:lineRule="exact"/>
        <w:ind w:firstLine="482" w:firstLineChars="200"/>
        <w:rPr>
          <w:rFonts w:ascii="Times New Roman" w:hAnsi="Times New Roman" w:eastAsia="黑体"/>
          <w:b/>
          <w:sz w:val="24"/>
        </w:rPr>
      </w:pPr>
      <w:r>
        <w:rPr>
          <w:rFonts w:ascii="Times New Roman" w:hAnsi="Times New Roman" w:eastAsia="黑体"/>
          <w:b/>
          <w:sz w:val="24"/>
        </w:rPr>
        <w:t>表3.1-11     30万t/a甲醇项目固废产污环节及处置措施情况一览表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1473"/>
        <w:gridCol w:w="1304"/>
        <w:gridCol w:w="1304"/>
        <w:gridCol w:w="2182"/>
        <w:gridCol w:w="213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
                <w:szCs w:val="21"/>
              </w:rPr>
            </w:pPr>
            <w:r>
              <w:rPr>
                <w:rFonts w:ascii="Times New Roman" w:hAnsi="Times New Roman"/>
                <w:b/>
                <w:szCs w:val="21"/>
              </w:rPr>
              <w:t>序号</w:t>
            </w:r>
          </w:p>
        </w:tc>
        <w:tc>
          <w:tcPr>
            <w:tcW w:w="817" w:type="pct"/>
            <w:tcMar>
              <w:left w:w="28" w:type="dxa"/>
              <w:right w:w="28" w:type="dxa"/>
            </w:tcMar>
            <w:vAlign w:val="center"/>
          </w:tcPr>
          <w:p>
            <w:pPr>
              <w:jc w:val="center"/>
              <w:rPr>
                <w:rFonts w:ascii="Times New Roman" w:hAnsi="Times New Roman"/>
                <w:b/>
                <w:szCs w:val="21"/>
              </w:rPr>
            </w:pPr>
            <w:r>
              <w:rPr>
                <w:rFonts w:ascii="Times New Roman" w:hAnsi="Times New Roman"/>
                <w:b/>
                <w:szCs w:val="21"/>
              </w:rPr>
              <w:t>来源</w:t>
            </w:r>
          </w:p>
        </w:tc>
        <w:tc>
          <w:tcPr>
            <w:tcW w:w="723" w:type="pct"/>
            <w:vAlign w:val="center"/>
          </w:tcPr>
          <w:p>
            <w:pPr>
              <w:jc w:val="center"/>
              <w:rPr>
                <w:rFonts w:ascii="Times New Roman" w:hAnsi="Times New Roman"/>
                <w:b/>
                <w:szCs w:val="21"/>
              </w:rPr>
            </w:pPr>
            <w:r>
              <w:rPr>
                <w:rFonts w:ascii="Times New Roman" w:hAnsi="Times New Roman"/>
                <w:b/>
                <w:szCs w:val="21"/>
              </w:rPr>
              <w:t>名称</w:t>
            </w:r>
          </w:p>
        </w:tc>
        <w:tc>
          <w:tcPr>
            <w:tcW w:w="723" w:type="pct"/>
            <w:tcMar>
              <w:left w:w="28" w:type="dxa"/>
              <w:right w:w="28" w:type="dxa"/>
            </w:tcMar>
            <w:vAlign w:val="center"/>
          </w:tcPr>
          <w:p>
            <w:pPr>
              <w:jc w:val="center"/>
              <w:rPr>
                <w:rFonts w:ascii="Times New Roman" w:hAnsi="Times New Roman"/>
                <w:b/>
                <w:szCs w:val="21"/>
              </w:rPr>
            </w:pPr>
            <w:r>
              <w:rPr>
                <w:rFonts w:ascii="Times New Roman" w:hAnsi="Times New Roman"/>
                <w:b/>
                <w:szCs w:val="21"/>
              </w:rPr>
              <w:t>产生量（t/a）</w:t>
            </w:r>
          </w:p>
        </w:tc>
        <w:tc>
          <w:tcPr>
            <w:tcW w:w="1210" w:type="pct"/>
            <w:tcMar>
              <w:left w:w="28" w:type="dxa"/>
              <w:right w:w="28" w:type="dxa"/>
            </w:tcMar>
            <w:vAlign w:val="center"/>
          </w:tcPr>
          <w:p>
            <w:pPr>
              <w:pStyle w:val="39"/>
              <w:spacing w:line="240" w:lineRule="auto"/>
              <w:rPr>
                <w:rFonts w:ascii="Times New Roman" w:eastAsia="宋体"/>
                <w:b/>
                <w:sz w:val="21"/>
                <w:szCs w:val="21"/>
              </w:rPr>
            </w:pPr>
            <w:r>
              <w:rPr>
                <w:rFonts w:ascii="Times New Roman" w:eastAsia="宋体"/>
                <w:b/>
                <w:sz w:val="21"/>
                <w:szCs w:val="21"/>
              </w:rPr>
              <w:t>主要组成</w:t>
            </w:r>
          </w:p>
        </w:tc>
        <w:tc>
          <w:tcPr>
            <w:tcW w:w="1183" w:type="pct"/>
            <w:tcMar>
              <w:left w:w="28" w:type="dxa"/>
              <w:right w:w="28" w:type="dxa"/>
            </w:tcMar>
            <w:vAlign w:val="center"/>
          </w:tcPr>
          <w:p>
            <w:pPr>
              <w:jc w:val="center"/>
              <w:rPr>
                <w:rFonts w:ascii="Times New Roman" w:hAnsi="Times New Roman"/>
                <w:b/>
                <w:szCs w:val="21"/>
              </w:rPr>
            </w:pPr>
            <w:r>
              <w:rPr>
                <w:rFonts w:ascii="Times New Roman" w:hAnsi="Times New Roman"/>
                <w:b/>
                <w:szCs w:val="21"/>
              </w:rPr>
              <w:t>处理处置措施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w:t>
            </w:r>
          </w:p>
        </w:tc>
        <w:tc>
          <w:tcPr>
            <w:tcW w:w="817"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备料系统</w:t>
            </w:r>
          </w:p>
        </w:tc>
        <w:tc>
          <w:tcPr>
            <w:tcW w:w="723" w:type="pct"/>
            <w:vAlign w:val="center"/>
          </w:tcPr>
          <w:p>
            <w:pPr>
              <w:jc w:val="center"/>
              <w:rPr>
                <w:rFonts w:ascii="Times New Roman" w:hAnsi="Times New Roman"/>
                <w:bCs/>
                <w:szCs w:val="21"/>
              </w:rPr>
            </w:pPr>
            <w:r>
              <w:rPr>
                <w:rFonts w:ascii="Times New Roman" w:hAnsi="Times New Roman"/>
                <w:bCs/>
                <w:szCs w:val="21"/>
              </w:rPr>
              <w:t>煤制粉废渣</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1584</w:t>
            </w:r>
          </w:p>
        </w:tc>
        <w:tc>
          <w:tcPr>
            <w:tcW w:w="1210" w:type="pct"/>
            <w:tcMar>
              <w:left w:w="28" w:type="dxa"/>
              <w:right w:w="28" w:type="dxa"/>
            </w:tcMar>
            <w:vAlign w:val="center"/>
          </w:tcPr>
          <w:p>
            <w:pPr>
              <w:pStyle w:val="39"/>
              <w:spacing w:line="240" w:lineRule="auto"/>
              <w:jc w:val="center"/>
              <w:rPr>
                <w:rFonts w:ascii="Times New Roman" w:eastAsia="宋体"/>
                <w:bCs/>
                <w:sz w:val="21"/>
                <w:szCs w:val="21"/>
              </w:rPr>
            </w:pPr>
            <w:r>
              <w:rPr>
                <w:rFonts w:ascii="Times New Roman" w:eastAsia="宋体"/>
                <w:bCs/>
                <w:sz w:val="21"/>
                <w:szCs w:val="21"/>
              </w:rPr>
              <w:t>煤粉</w:t>
            </w:r>
          </w:p>
        </w:tc>
        <w:tc>
          <w:tcPr>
            <w:tcW w:w="118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一般固废，委托利用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2</w:t>
            </w:r>
          </w:p>
        </w:tc>
        <w:tc>
          <w:tcPr>
            <w:tcW w:w="817" w:type="pct"/>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干煤粉气流床气化工艺</w:t>
            </w:r>
          </w:p>
        </w:tc>
        <w:tc>
          <w:tcPr>
            <w:tcW w:w="723" w:type="pct"/>
            <w:vAlign w:val="center"/>
          </w:tcPr>
          <w:p>
            <w:pPr>
              <w:jc w:val="center"/>
              <w:rPr>
                <w:rFonts w:ascii="Times New Roman" w:hAnsi="Times New Roman"/>
                <w:bCs/>
                <w:szCs w:val="21"/>
              </w:rPr>
            </w:pPr>
            <w:r>
              <w:rPr>
                <w:rFonts w:ascii="Times New Roman" w:hAnsi="Times New Roman"/>
                <w:bCs/>
                <w:szCs w:val="21"/>
              </w:rPr>
              <w:t>煤气化炉渣</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54000</w:t>
            </w:r>
          </w:p>
        </w:tc>
        <w:tc>
          <w:tcPr>
            <w:tcW w:w="1210" w:type="pct"/>
            <w:tcMar>
              <w:left w:w="28" w:type="dxa"/>
              <w:right w:w="28" w:type="dxa"/>
            </w:tcMar>
            <w:vAlign w:val="center"/>
          </w:tcPr>
          <w:p>
            <w:pPr>
              <w:pStyle w:val="39"/>
              <w:spacing w:line="240" w:lineRule="auto"/>
              <w:ind w:firstLine="0"/>
              <w:rPr>
                <w:rFonts w:ascii="Times New Roman" w:eastAsia="宋体"/>
                <w:bCs/>
                <w:sz w:val="21"/>
                <w:szCs w:val="21"/>
              </w:rPr>
            </w:pPr>
            <w:r>
              <w:rPr>
                <w:rFonts w:ascii="Times New Roman" w:eastAsia="宋体"/>
                <w:bCs/>
                <w:sz w:val="21"/>
                <w:szCs w:val="21"/>
              </w:rPr>
              <w:t>SiO</w:t>
            </w:r>
            <w:r>
              <w:rPr>
                <w:rFonts w:ascii="Times New Roman" w:eastAsia="宋体"/>
                <w:bCs/>
                <w:sz w:val="21"/>
                <w:szCs w:val="21"/>
                <w:vertAlign w:val="subscript"/>
              </w:rPr>
              <w:t>3</w:t>
            </w:r>
            <w:r>
              <w:rPr>
                <w:rFonts w:ascii="Times New Roman" w:eastAsia="宋体"/>
                <w:bCs/>
                <w:sz w:val="21"/>
                <w:szCs w:val="21"/>
              </w:rPr>
              <w:t>、CaO、Fe</w:t>
            </w:r>
            <w:r>
              <w:rPr>
                <w:rFonts w:ascii="Times New Roman" w:eastAsia="宋体"/>
                <w:bCs/>
                <w:sz w:val="21"/>
                <w:szCs w:val="21"/>
                <w:vertAlign w:val="subscript"/>
              </w:rPr>
              <w:t>2</w:t>
            </w:r>
            <w:r>
              <w:rPr>
                <w:rFonts w:ascii="Times New Roman" w:eastAsia="宋体"/>
                <w:bCs/>
                <w:sz w:val="21"/>
                <w:szCs w:val="21"/>
              </w:rPr>
              <w:t>O</w:t>
            </w:r>
            <w:r>
              <w:rPr>
                <w:rFonts w:ascii="Times New Roman" w:eastAsia="宋体"/>
                <w:bCs/>
                <w:sz w:val="21"/>
                <w:szCs w:val="21"/>
                <w:vertAlign w:val="subscript"/>
              </w:rPr>
              <w:t>3</w:t>
            </w:r>
            <w:r>
              <w:rPr>
                <w:rFonts w:ascii="Times New Roman" w:eastAsia="宋体"/>
                <w:bCs/>
                <w:sz w:val="21"/>
                <w:szCs w:val="21"/>
              </w:rPr>
              <w:t>、C等</w:t>
            </w:r>
          </w:p>
        </w:tc>
        <w:tc>
          <w:tcPr>
            <w:tcW w:w="118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一般固废，委托利用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3</w:t>
            </w:r>
          </w:p>
        </w:tc>
        <w:tc>
          <w:tcPr>
            <w:tcW w:w="817" w:type="pct"/>
            <w:vMerge w:val="continue"/>
            <w:tcMar>
              <w:left w:w="28" w:type="dxa"/>
              <w:right w:w="28" w:type="dxa"/>
            </w:tcMar>
            <w:vAlign w:val="center"/>
          </w:tcPr>
          <w:p>
            <w:pPr>
              <w:jc w:val="center"/>
              <w:rPr>
                <w:rFonts w:ascii="Times New Roman" w:hAnsi="Times New Roman"/>
                <w:bCs/>
                <w:szCs w:val="21"/>
              </w:rPr>
            </w:pPr>
          </w:p>
        </w:tc>
        <w:tc>
          <w:tcPr>
            <w:tcW w:w="723" w:type="pct"/>
            <w:vAlign w:val="center"/>
          </w:tcPr>
          <w:p>
            <w:pPr>
              <w:jc w:val="center"/>
              <w:rPr>
                <w:rFonts w:ascii="Times New Roman" w:hAnsi="Times New Roman"/>
                <w:bCs/>
                <w:szCs w:val="21"/>
              </w:rPr>
            </w:pPr>
            <w:r>
              <w:rPr>
                <w:rFonts w:ascii="Times New Roman" w:hAnsi="Times New Roman"/>
                <w:bCs/>
                <w:szCs w:val="21"/>
              </w:rPr>
              <w:t>煤气化飞灰</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154000</w:t>
            </w:r>
          </w:p>
        </w:tc>
        <w:tc>
          <w:tcPr>
            <w:tcW w:w="1210" w:type="pct"/>
            <w:tcMar>
              <w:left w:w="28" w:type="dxa"/>
              <w:right w:w="28" w:type="dxa"/>
            </w:tcMar>
            <w:vAlign w:val="center"/>
          </w:tcPr>
          <w:p>
            <w:pPr>
              <w:pStyle w:val="39"/>
              <w:spacing w:line="240" w:lineRule="auto"/>
              <w:ind w:firstLine="0"/>
              <w:rPr>
                <w:rFonts w:ascii="Times New Roman" w:eastAsia="宋体"/>
                <w:bCs/>
                <w:sz w:val="21"/>
                <w:szCs w:val="21"/>
              </w:rPr>
            </w:pPr>
            <w:r>
              <w:rPr>
                <w:rFonts w:ascii="Times New Roman" w:eastAsia="宋体"/>
                <w:bCs/>
                <w:sz w:val="21"/>
                <w:szCs w:val="21"/>
              </w:rPr>
              <w:t>SiO</w:t>
            </w:r>
            <w:r>
              <w:rPr>
                <w:rFonts w:ascii="Times New Roman" w:eastAsia="宋体"/>
                <w:bCs/>
                <w:sz w:val="21"/>
                <w:szCs w:val="21"/>
                <w:vertAlign w:val="subscript"/>
              </w:rPr>
              <w:t>3</w:t>
            </w:r>
            <w:r>
              <w:rPr>
                <w:rFonts w:ascii="Times New Roman" w:eastAsia="宋体"/>
                <w:bCs/>
                <w:sz w:val="21"/>
                <w:szCs w:val="21"/>
              </w:rPr>
              <w:t>、CaO、Fe</w:t>
            </w:r>
            <w:r>
              <w:rPr>
                <w:rFonts w:ascii="Times New Roman" w:eastAsia="宋体"/>
                <w:bCs/>
                <w:sz w:val="21"/>
                <w:szCs w:val="21"/>
                <w:vertAlign w:val="subscript"/>
              </w:rPr>
              <w:t>2</w:t>
            </w:r>
            <w:r>
              <w:rPr>
                <w:rFonts w:ascii="Times New Roman" w:eastAsia="宋体"/>
                <w:bCs/>
                <w:sz w:val="21"/>
                <w:szCs w:val="21"/>
              </w:rPr>
              <w:t>O</w:t>
            </w:r>
            <w:r>
              <w:rPr>
                <w:rFonts w:ascii="Times New Roman" w:eastAsia="宋体"/>
                <w:bCs/>
                <w:sz w:val="21"/>
                <w:szCs w:val="21"/>
                <w:vertAlign w:val="subscript"/>
              </w:rPr>
              <w:t>3</w:t>
            </w:r>
            <w:r>
              <w:rPr>
                <w:rFonts w:ascii="Times New Roman" w:eastAsia="宋体"/>
                <w:bCs/>
                <w:sz w:val="21"/>
                <w:szCs w:val="21"/>
              </w:rPr>
              <w:t>、C等</w:t>
            </w:r>
          </w:p>
        </w:tc>
        <w:tc>
          <w:tcPr>
            <w:tcW w:w="118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一般固废，委托利用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4</w:t>
            </w:r>
          </w:p>
        </w:tc>
        <w:tc>
          <w:tcPr>
            <w:tcW w:w="817" w:type="pct"/>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污水处理站</w:t>
            </w:r>
          </w:p>
        </w:tc>
        <w:tc>
          <w:tcPr>
            <w:tcW w:w="723" w:type="pct"/>
            <w:vAlign w:val="center"/>
          </w:tcPr>
          <w:p>
            <w:pPr>
              <w:jc w:val="center"/>
              <w:rPr>
                <w:rFonts w:ascii="Times New Roman" w:hAnsi="Times New Roman"/>
                <w:bCs/>
                <w:szCs w:val="21"/>
              </w:rPr>
            </w:pPr>
            <w:r>
              <w:rPr>
                <w:rFonts w:ascii="Times New Roman" w:hAnsi="Times New Roman"/>
                <w:bCs/>
                <w:szCs w:val="21"/>
              </w:rPr>
              <w:t>生化污泥</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800</w:t>
            </w:r>
          </w:p>
        </w:tc>
        <w:tc>
          <w:tcPr>
            <w:tcW w:w="1210" w:type="pct"/>
            <w:tcMar>
              <w:left w:w="28" w:type="dxa"/>
              <w:right w:w="28" w:type="dxa"/>
            </w:tcMar>
            <w:vAlign w:val="center"/>
          </w:tcPr>
          <w:p>
            <w:pPr>
              <w:pStyle w:val="39"/>
              <w:spacing w:line="240" w:lineRule="auto"/>
              <w:rPr>
                <w:rFonts w:ascii="Times New Roman" w:eastAsia="宋体"/>
                <w:bCs/>
                <w:sz w:val="21"/>
                <w:szCs w:val="21"/>
              </w:rPr>
            </w:pPr>
            <w:r>
              <w:rPr>
                <w:rFonts w:ascii="Times New Roman" w:eastAsia="宋体"/>
                <w:bCs/>
                <w:sz w:val="21"/>
                <w:szCs w:val="21"/>
              </w:rPr>
              <w:t>含水85%</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一般固废，自行利用（送锅炉焚烧）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5</w:t>
            </w:r>
          </w:p>
        </w:tc>
        <w:tc>
          <w:tcPr>
            <w:tcW w:w="817" w:type="pct"/>
            <w:vMerge w:val="continue"/>
            <w:tcMar>
              <w:left w:w="28" w:type="dxa"/>
              <w:right w:w="28" w:type="dxa"/>
            </w:tcMar>
            <w:vAlign w:val="center"/>
          </w:tcPr>
          <w:p>
            <w:pPr>
              <w:jc w:val="center"/>
              <w:rPr>
                <w:rFonts w:ascii="Times New Roman" w:hAnsi="Times New Roman"/>
                <w:bCs/>
                <w:szCs w:val="21"/>
              </w:rPr>
            </w:pPr>
          </w:p>
        </w:tc>
        <w:tc>
          <w:tcPr>
            <w:tcW w:w="723" w:type="pct"/>
            <w:vAlign w:val="center"/>
          </w:tcPr>
          <w:p>
            <w:pPr>
              <w:jc w:val="center"/>
              <w:rPr>
                <w:rFonts w:ascii="Times New Roman" w:hAnsi="Times New Roman"/>
                <w:bCs/>
                <w:szCs w:val="21"/>
              </w:rPr>
            </w:pPr>
            <w:r>
              <w:rPr>
                <w:rFonts w:ascii="Times New Roman" w:hAnsi="Times New Roman"/>
                <w:bCs/>
                <w:szCs w:val="21"/>
              </w:rPr>
              <w:t>含氰污泥</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112</w:t>
            </w:r>
          </w:p>
        </w:tc>
        <w:tc>
          <w:tcPr>
            <w:tcW w:w="1210" w:type="pct"/>
            <w:tcMar>
              <w:left w:w="28" w:type="dxa"/>
              <w:right w:w="28" w:type="dxa"/>
            </w:tcMar>
            <w:vAlign w:val="center"/>
          </w:tcPr>
          <w:p>
            <w:pPr>
              <w:pStyle w:val="39"/>
              <w:spacing w:line="240" w:lineRule="auto"/>
              <w:ind w:firstLine="0"/>
              <w:jc w:val="center"/>
              <w:rPr>
                <w:rFonts w:ascii="Times New Roman" w:eastAsia="宋体"/>
                <w:bCs/>
                <w:sz w:val="21"/>
                <w:szCs w:val="21"/>
              </w:rPr>
            </w:pPr>
            <w:r>
              <w:rPr>
                <w:rFonts w:ascii="Times New Roman" w:eastAsia="宋体"/>
                <w:bCs/>
                <w:sz w:val="21"/>
                <w:szCs w:val="21"/>
              </w:rPr>
              <w:t>含氰络合物及Cu</w:t>
            </w:r>
            <w:r>
              <w:rPr>
                <w:rFonts w:ascii="Times New Roman" w:eastAsia="宋体"/>
                <w:bCs/>
                <w:sz w:val="21"/>
                <w:szCs w:val="21"/>
                <w:vertAlign w:val="superscript"/>
              </w:rPr>
              <w:t>2+</w:t>
            </w:r>
            <w:r>
              <w:rPr>
                <w:rFonts w:ascii="Times New Roman" w:eastAsia="宋体"/>
                <w:bCs/>
                <w:sz w:val="21"/>
                <w:szCs w:val="21"/>
              </w:rPr>
              <w:t>等</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危险废物，设置危险废物临时贮存场所，送锅炉焚烧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6</w:t>
            </w:r>
          </w:p>
        </w:tc>
        <w:tc>
          <w:tcPr>
            <w:tcW w:w="817"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CO变换</w:t>
            </w:r>
          </w:p>
        </w:tc>
        <w:tc>
          <w:tcPr>
            <w:tcW w:w="723" w:type="pct"/>
            <w:vAlign w:val="center"/>
          </w:tcPr>
          <w:p>
            <w:pPr>
              <w:jc w:val="center"/>
              <w:rPr>
                <w:rFonts w:ascii="Times New Roman" w:hAnsi="Times New Roman"/>
                <w:bCs/>
                <w:szCs w:val="21"/>
              </w:rPr>
            </w:pPr>
            <w:r>
              <w:rPr>
                <w:rFonts w:ascii="Times New Roman" w:hAnsi="Times New Roman"/>
                <w:bCs/>
                <w:szCs w:val="21"/>
              </w:rPr>
              <w:t>废催化剂</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14</w:t>
            </w:r>
          </w:p>
        </w:tc>
        <w:tc>
          <w:tcPr>
            <w:tcW w:w="1210" w:type="pct"/>
            <w:tcMar>
              <w:left w:w="28" w:type="dxa"/>
              <w:right w:w="28" w:type="dxa"/>
            </w:tcMar>
            <w:vAlign w:val="center"/>
          </w:tcPr>
          <w:p>
            <w:pPr>
              <w:pStyle w:val="39"/>
              <w:spacing w:line="240" w:lineRule="auto"/>
              <w:rPr>
                <w:rFonts w:ascii="Times New Roman" w:eastAsia="宋体"/>
                <w:bCs/>
                <w:sz w:val="21"/>
                <w:szCs w:val="21"/>
              </w:rPr>
            </w:pPr>
          </w:p>
        </w:tc>
        <w:tc>
          <w:tcPr>
            <w:tcW w:w="118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危险固废，4年更换一次，送送</w:t>
            </w:r>
            <w:r>
              <w:rPr>
                <w:rFonts w:hint="eastAsia" w:ascii="宋体" w:cs="宋体"/>
                <w:kern w:val="0"/>
                <w:szCs w:val="21"/>
              </w:rPr>
              <w:t>尉氏县再创金属实业有限公司处置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7</w:t>
            </w:r>
          </w:p>
        </w:tc>
        <w:tc>
          <w:tcPr>
            <w:tcW w:w="817"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甲醇合成</w:t>
            </w:r>
          </w:p>
        </w:tc>
        <w:tc>
          <w:tcPr>
            <w:tcW w:w="723" w:type="pct"/>
            <w:vAlign w:val="center"/>
          </w:tcPr>
          <w:p>
            <w:pPr>
              <w:jc w:val="center"/>
              <w:rPr>
                <w:rFonts w:ascii="Times New Roman" w:hAnsi="Times New Roman"/>
                <w:bCs/>
                <w:szCs w:val="21"/>
              </w:rPr>
            </w:pPr>
            <w:r>
              <w:rPr>
                <w:rFonts w:ascii="Times New Roman" w:hAnsi="Times New Roman"/>
                <w:bCs/>
                <w:szCs w:val="21"/>
              </w:rPr>
              <w:t>废催化剂</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42.5</w:t>
            </w:r>
          </w:p>
        </w:tc>
        <w:tc>
          <w:tcPr>
            <w:tcW w:w="1210" w:type="pct"/>
            <w:tcMar>
              <w:left w:w="28" w:type="dxa"/>
              <w:right w:w="28" w:type="dxa"/>
            </w:tcMar>
            <w:vAlign w:val="center"/>
          </w:tcPr>
          <w:p>
            <w:pPr>
              <w:pStyle w:val="39"/>
              <w:spacing w:line="240" w:lineRule="auto"/>
              <w:ind w:firstLine="0"/>
              <w:jc w:val="center"/>
              <w:rPr>
                <w:rFonts w:ascii="Times New Roman" w:eastAsia="宋体"/>
                <w:bCs/>
                <w:sz w:val="21"/>
                <w:szCs w:val="21"/>
              </w:rPr>
            </w:pPr>
            <w:r>
              <w:rPr>
                <w:rFonts w:ascii="Times New Roman" w:eastAsia="宋体"/>
                <w:bCs/>
                <w:sz w:val="21"/>
                <w:szCs w:val="21"/>
              </w:rPr>
              <w:t>CuO、ZnO、Al</w:t>
            </w:r>
            <w:r>
              <w:rPr>
                <w:rFonts w:ascii="Times New Roman" w:eastAsia="宋体"/>
                <w:bCs/>
                <w:sz w:val="21"/>
                <w:szCs w:val="21"/>
                <w:vertAlign w:val="subscript"/>
              </w:rPr>
              <w:t>2</w:t>
            </w:r>
            <w:r>
              <w:rPr>
                <w:rFonts w:ascii="Times New Roman" w:eastAsia="宋体"/>
                <w:bCs/>
                <w:sz w:val="21"/>
                <w:szCs w:val="21"/>
              </w:rPr>
              <w:t>O</w:t>
            </w:r>
            <w:r>
              <w:rPr>
                <w:rFonts w:ascii="Times New Roman" w:eastAsia="宋体"/>
                <w:bCs/>
                <w:sz w:val="21"/>
                <w:szCs w:val="21"/>
                <w:vertAlign w:val="subscript"/>
              </w:rPr>
              <w:t>3</w:t>
            </w:r>
            <w:r>
              <w:rPr>
                <w:rFonts w:ascii="Times New Roman" w:eastAsia="宋体"/>
                <w:bCs/>
                <w:sz w:val="21"/>
                <w:szCs w:val="21"/>
              </w:rPr>
              <w:t>等</w:t>
            </w:r>
          </w:p>
        </w:tc>
        <w:tc>
          <w:tcPr>
            <w:tcW w:w="118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危险固废，2年更换一次，送送</w:t>
            </w:r>
            <w:r>
              <w:rPr>
                <w:rFonts w:hint="eastAsia" w:ascii="宋体" w:cs="宋体"/>
                <w:kern w:val="0"/>
                <w:szCs w:val="21"/>
              </w:rPr>
              <w:t>尉氏县再创金属实业有限公司处置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8</w:t>
            </w:r>
          </w:p>
        </w:tc>
        <w:tc>
          <w:tcPr>
            <w:tcW w:w="817" w:type="pct"/>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空分</w:t>
            </w:r>
          </w:p>
        </w:tc>
        <w:tc>
          <w:tcPr>
            <w:tcW w:w="723" w:type="pct"/>
            <w:vAlign w:val="center"/>
          </w:tcPr>
          <w:p>
            <w:pPr>
              <w:jc w:val="center"/>
              <w:rPr>
                <w:rFonts w:ascii="Times New Roman" w:hAnsi="Times New Roman"/>
                <w:bCs/>
                <w:szCs w:val="21"/>
              </w:rPr>
            </w:pPr>
            <w:r>
              <w:rPr>
                <w:rFonts w:ascii="Times New Roman" w:hAnsi="Times New Roman"/>
                <w:bCs/>
                <w:szCs w:val="21"/>
              </w:rPr>
              <w:t>废分子筛</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3.75</w:t>
            </w:r>
          </w:p>
        </w:tc>
        <w:tc>
          <w:tcPr>
            <w:tcW w:w="1210" w:type="pct"/>
            <w:tcMar>
              <w:left w:w="28" w:type="dxa"/>
              <w:right w:w="28" w:type="dxa"/>
            </w:tcMar>
            <w:vAlign w:val="center"/>
          </w:tcPr>
          <w:p>
            <w:pPr>
              <w:pStyle w:val="39"/>
              <w:spacing w:line="240" w:lineRule="auto"/>
              <w:rPr>
                <w:rFonts w:ascii="Times New Roman" w:eastAsia="宋体"/>
                <w:bCs/>
                <w:sz w:val="21"/>
                <w:szCs w:val="21"/>
              </w:rPr>
            </w:pPr>
            <w:r>
              <w:rPr>
                <w:rFonts w:ascii="Times New Roman" w:eastAsia="宋体"/>
                <w:bCs/>
                <w:sz w:val="21"/>
                <w:szCs w:val="21"/>
              </w:rPr>
              <w:t>分子筛</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一般固废，10年更换一次，委托处置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9</w:t>
            </w:r>
          </w:p>
        </w:tc>
        <w:tc>
          <w:tcPr>
            <w:tcW w:w="817" w:type="pct"/>
            <w:vMerge w:val="continue"/>
            <w:tcMar>
              <w:left w:w="28" w:type="dxa"/>
              <w:right w:w="28" w:type="dxa"/>
            </w:tcMar>
            <w:vAlign w:val="center"/>
          </w:tcPr>
          <w:p>
            <w:pPr>
              <w:jc w:val="center"/>
              <w:rPr>
                <w:rFonts w:ascii="Times New Roman" w:hAnsi="Times New Roman"/>
                <w:bCs/>
                <w:szCs w:val="21"/>
              </w:rPr>
            </w:pPr>
          </w:p>
        </w:tc>
        <w:tc>
          <w:tcPr>
            <w:tcW w:w="723" w:type="pct"/>
            <w:vAlign w:val="center"/>
          </w:tcPr>
          <w:p>
            <w:pPr>
              <w:jc w:val="center"/>
              <w:rPr>
                <w:rFonts w:ascii="Times New Roman" w:hAnsi="Times New Roman"/>
                <w:bCs/>
                <w:szCs w:val="21"/>
              </w:rPr>
            </w:pPr>
            <w:r>
              <w:rPr>
                <w:rFonts w:ascii="Times New Roman" w:hAnsi="Times New Roman"/>
                <w:bCs/>
                <w:szCs w:val="21"/>
              </w:rPr>
              <w:t>废铝胶</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3.75</w:t>
            </w:r>
          </w:p>
        </w:tc>
        <w:tc>
          <w:tcPr>
            <w:tcW w:w="1210" w:type="pct"/>
            <w:tcMar>
              <w:left w:w="28" w:type="dxa"/>
              <w:right w:w="28" w:type="dxa"/>
            </w:tcMar>
            <w:vAlign w:val="center"/>
          </w:tcPr>
          <w:p>
            <w:pPr>
              <w:pStyle w:val="39"/>
              <w:spacing w:line="240" w:lineRule="auto"/>
              <w:rPr>
                <w:rFonts w:ascii="Times New Roman" w:eastAsia="宋体"/>
                <w:bCs/>
                <w:sz w:val="21"/>
                <w:szCs w:val="21"/>
              </w:rPr>
            </w:pPr>
            <w:r>
              <w:rPr>
                <w:rFonts w:ascii="Times New Roman" w:eastAsia="宋体"/>
                <w:bCs/>
                <w:sz w:val="21"/>
                <w:szCs w:val="21"/>
              </w:rPr>
              <w:t>Al</w:t>
            </w:r>
            <w:r>
              <w:rPr>
                <w:rFonts w:ascii="Times New Roman" w:eastAsia="宋体"/>
                <w:bCs/>
                <w:sz w:val="21"/>
                <w:szCs w:val="21"/>
                <w:vertAlign w:val="subscript"/>
              </w:rPr>
              <w:t>2</w:t>
            </w:r>
            <w:r>
              <w:rPr>
                <w:rFonts w:ascii="Times New Roman" w:eastAsia="宋体"/>
                <w:bCs/>
                <w:sz w:val="21"/>
                <w:szCs w:val="21"/>
              </w:rPr>
              <w:t>O等</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一般固废，10年更换一次，委托处置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10</w:t>
            </w:r>
          </w:p>
        </w:tc>
        <w:tc>
          <w:tcPr>
            <w:tcW w:w="817" w:type="pct"/>
            <w:vMerge w:val="continue"/>
            <w:tcMar>
              <w:left w:w="28" w:type="dxa"/>
              <w:right w:w="28" w:type="dxa"/>
            </w:tcMar>
            <w:vAlign w:val="center"/>
          </w:tcPr>
          <w:p>
            <w:pPr>
              <w:jc w:val="center"/>
              <w:rPr>
                <w:rFonts w:ascii="Times New Roman" w:hAnsi="Times New Roman"/>
                <w:bCs/>
                <w:szCs w:val="21"/>
              </w:rPr>
            </w:pPr>
          </w:p>
        </w:tc>
        <w:tc>
          <w:tcPr>
            <w:tcW w:w="723" w:type="pct"/>
            <w:vAlign w:val="center"/>
          </w:tcPr>
          <w:p>
            <w:pPr>
              <w:jc w:val="center"/>
              <w:rPr>
                <w:rFonts w:ascii="Times New Roman" w:hAnsi="Times New Roman"/>
                <w:bCs/>
                <w:szCs w:val="21"/>
              </w:rPr>
            </w:pPr>
            <w:r>
              <w:rPr>
                <w:rFonts w:ascii="Times New Roman" w:hAnsi="Times New Roman"/>
                <w:bCs/>
                <w:szCs w:val="21"/>
              </w:rPr>
              <w:t>珠光砂</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150</w:t>
            </w:r>
          </w:p>
        </w:tc>
        <w:tc>
          <w:tcPr>
            <w:tcW w:w="1210" w:type="pct"/>
            <w:tcMar>
              <w:left w:w="28" w:type="dxa"/>
              <w:right w:w="28" w:type="dxa"/>
            </w:tcMar>
            <w:vAlign w:val="center"/>
          </w:tcPr>
          <w:p>
            <w:pPr>
              <w:pStyle w:val="39"/>
              <w:spacing w:line="240" w:lineRule="auto"/>
              <w:rPr>
                <w:rFonts w:ascii="Times New Roman" w:eastAsia="宋体"/>
                <w:bCs/>
                <w:sz w:val="21"/>
                <w:szCs w:val="21"/>
              </w:rPr>
            </w:pPr>
            <w:r>
              <w:rPr>
                <w:rFonts w:ascii="Times New Roman" w:eastAsia="宋体"/>
                <w:bCs/>
                <w:sz w:val="21"/>
                <w:szCs w:val="21"/>
              </w:rPr>
              <w:t>SiO</w:t>
            </w:r>
            <w:r>
              <w:rPr>
                <w:rFonts w:ascii="Times New Roman" w:eastAsia="宋体"/>
                <w:bCs/>
                <w:sz w:val="21"/>
                <w:szCs w:val="21"/>
                <w:vertAlign w:val="subscript"/>
              </w:rPr>
              <w:t>2</w:t>
            </w:r>
            <w:r>
              <w:rPr>
                <w:rFonts w:ascii="Times New Roman" w:eastAsia="宋体"/>
                <w:bCs/>
                <w:sz w:val="21"/>
                <w:szCs w:val="21"/>
              </w:rPr>
              <w:t>等</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一般固废，20年更换一次，委托处置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11</w:t>
            </w:r>
          </w:p>
        </w:tc>
        <w:tc>
          <w:tcPr>
            <w:tcW w:w="817"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酸性气体脱除</w:t>
            </w:r>
          </w:p>
        </w:tc>
        <w:tc>
          <w:tcPr>
            <w:tcW w:w="723" w:type="pct"/>
            <w:vAlign w:val="center"/>
          </w:tcPr>
          <w:p>
            <w:pPr>
              <w:jc w:val="center"/>
              <w:rPr>
                <w:rFonts w:ascii="Times New Roman" w:hAnsi="Times New Roman"/>
                <w:bCs/>
                <w:szCs w:val="21"/>
              </w:rPr>
            </w:pPr>
            <w:r>
              <w:rPr>
                <w:rFonts w:ascii="Times New Roman" w:hAnsi="Times New Roman"/>
                <w:bCs/>
                <w:szCs w:val="21"/>
              </w:rPr>
              <w:t>硫回收废催化剂</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6.7</w:t>
            </w:r>
          </w:p>
        </w:tc>
        <w:tc>
          <w:tcPr>
            <w:tcW w:w="1210" w:type="pct"/>
            <w:tcMar>
              <w:left w:w="28" w:type="dxa"/>
              <w:right w:w="28" w:type="dxa"/>
            </w:tcMar>
            <w:vAlign w:val="center"/>
          </w:tcPr>
          <w:p>
            <w:pPr>
              <w:pStyle w:val="39"/>
              <w:spacing w:line="240" w:lineRule="auto"/>
              <w:ind w:firstLine="0"/>
              <w:jc w:val="center"/>
              <w:rPr>
                <w:rFonts w:ascii="Times New Roman" w:eastAsia="宋体"/>
                <w:bCs/>
                <w:sz w:val="21"/>
                <w:szCs w:val="21"/>
              </w:rPr>
            </w:pPr>
            <w:r>
              <w:rPr>
                <w:rFonts w:ascii="Times New Roman" w:eastAsia="宋体"/>
                <w:bCs/>
                <w:sz w:val="21"/>
                <w:szCs w:val="21"/>
              </w:rPr>
              <w:t>Al</w:t>
            </w:r>
            <w:r>
              <w:rPr>
                <w:rFonts w:ascii="Times New Roman" w:eastAsia="宋体"/>
                <w:bCs/>
                <w:sz w:val="21"/>
                <w:szCs w:val="21"/>
                <w:vertAlign w:val="subscript"/>
              </w:rPr>
              <w:t>2</w:t>
            </w:r>
            <w:r>
              <w:rPr>
                <w:rFonts w:ascii="Times New Roman" w:eastAsia="宋体"/>
                <w:bCs/>
                <w:sz w:val="21"/>
                <w:szCs w:val="21"/>
              </w:rPr>
              <w:t>O</w:t>
            </w:r>
            <w:r>
              <w:rPr>
                <w:rFonts w:ascii="Times New Roman" w:eastAsia="宋体"/>
                <w:bCs/>
                <w:sz w:val="21"/>
                <w:szCs w:val="21"/>
                <w:vertAlign w:val="subscript"/>
              </w:rPr>
              <w:t>3</w:t>
            </w:r>
            <w:r>
              <w:rPr>
                <w:rFonts w:ascii="Times New Roman" w:eastAsia="宋体"/>
                <w:bCs/>
                <w:sz w:val="21"/>
                <w:szCs w:val="21"/>
              </w:rPr>
              <w:t>、TiO</w:t>
            </w:r>
            <w:r>
              <w:rPr>
                <w:rFonts w:ascii="Times New Roman" w:eastAsia="宋体"/>
                <w:bCs/>
                <w:sz w:val="21"/>
                <w:szCs w:val="21"/>
                <w:vertAlign w:val="subscript"/>
              </w:rPr>
              <w:t>2</w:t>
            </w:r>
            <w:r>
              <w:rPr>
                <w:rFonts w:ascii="Times New Roman" w:eastAsia="宋体"/>
                <w:bCs/>
                <w:sz w:val="21"/>
                <w:szCs w:val="21"/>
              </w:rPr>
              <w:t>等</w:t>
            </w:r>
          </w:p>
        </w:tc>
        <w:tc>
          <w:tcPr>
            <w:tcW w:w="1183" w:type="pct"/>
            <w:tcMar>
              <w:left w:w="28" w:type="dxa"/>
              <w:right w:w="28" w:type="dxa"/>
            </w:tcMar>
            <w:vAlign w:val="center"/>
          </w:tcPr>
          <w:p>
            <w:pPr>
              <w:autoSpaceDE w:val="0"/>
              <w:autoSpaceDN w:val="0"/>
              <w:adjustRightInd w:val="0"/>
              <w:jc w:val="left"/>
              <w:rPr>
                <w:rFonts w:ascii="宋体" w:cs="宋体"/>
                <w:kern w:val="0"/>
                <w:szCs w:val="21"/>
              </w:rPr>
            </w:pPr>
            <w:r>
              <w:rPr>
                <w:rFonts w:ascii="Times New Roman" w:hAnsi="Times New Roman"/>
                <w:bCs/>
                <w:szCs w:val="21"/>
              </w:rPr>
              <w:t>危险固废，3年更换一次，送</w:t>
            </w:r>
            <w:r>
              <w:rPr>
                <w:rFonts w:hint="eastAsia" w:ascii="宋体" w:cs="宋体"/>
                <w:kern w:val="0"/>
                <w:szCs w:val="21"/>
              </w:rPr>
              <w:t>尉氏县再创金属实业有限公司处置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4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12</w:t>
            </w:r>
          </w:p>
        </w:tc>
        <w:tc>
          <w:tcPr>
            <w:tcW w:w="817"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精馏单元</w:t>
            </w:r>
          </w:p>
        </w:tc>
        <w:tc>
          <w:tcPr>
            <w:tcW w:w="723" w:type="pct"/>
            <w:vAlign w:val="center"/>
          </w:tcPr>
          <w:p>
            <w:pPr>
              <w:jc w:val="center"/>
              <w:rPr>
                <w:rFonts w:ascii="Times New Roman" w:hAnsi="Times New Roman"/>
                <w:bCs/>
                <w:szCs w:val="21"/>
              </w:rPr>
            </w:pPr>
            <w:r>
              <w:rPr>
                <w:rFonts w:ascii="Times New Roman" w:hAnsi="Times New Roman"/>
                <w:bCs/>
                <w:szCs w:val="21"/>
              </w:rPr>
              <w:t>杂醇油</w:t>
            </w:r>
          </w:p>
        </w:tc>
        <w:tc>
          <w:tcPr>
            <w:tcW w:w="723" w:type="pct"/>
            <w:tcMar>
              <w:left w:w="28" w:type="dxa"/>
              <w:right w:w="28" w:type="dxa"/>
            </w:tcMar>
            <w:vAlign w:val="center"/>
          </w:tcPr>
          <w:p>
            <w:pPr>
              <w:jc w:val="center"/>
              <w:rPr>
                <w:rFonts w:ascii="Times New Roman" w:hAnsi="Times New Roman"/>
                <w:bCs/>
                <w:szCs w:val="21"/>
              </w:rPr>
            </w:pPr>
            <w:r>
              <w:rPr>
                <w:rFonts w:ascii="Times New Roman" w:hAnsi="Times New Roman"/>
                <w:bCs/>
                <w:szCs w:val="21"/>
              </w:rPr>
              <w:t>10</w:t>
            </w:r>
          </w:p>
        </w:tc>
        <w:tc>
          <w:tcPr>
            <w:tcW w:w="1210" w:type="pct"/>
            <w:tcMar>
              <w:left w:w="28" w:type="dxa"/>
              <w:right w:w="28" w:type="dxa"/>
            </w:tcMar>
            <w:vAlign w:val="center"/>
          </w:tcPr>
          <w:p>
            <w:pPr>
              <w:pStyle w:val="39"/>
              <w:spacing w:line="240" w:lineRule="auto"/>
              <w:ind w:firstLine="0"/>
              <w:jc w:val="center"/>
              <w:rPr>
                <w:rFonts w:ascii="Times New Roman" w:eastAsia="宋体"/>
                <w:bCs/>
                <w:sz w:val="21"/>
                <w:szCs w:val="21"/>
              </w:rPr>
            </w:pPr>
            <w:r>
              <w:rPr>
                <w:rFonts w:ascii="Times New Roman" w:eastAsia="宋体"/>
                <w:bCs/>
                <w:sz w:val="21"/>
                <w:szCs w:val="21"/>
              </w:rPr>
              <w:t>醇、酮、醛、酸等</w:t>
            </w:r>
          </w:p>
        </w:tc>
        <w:tc>
          <w:tcPr>
            <w:tcW w:w="1183" w:type="pct"/>
            <w:tcMar>
              <w:left w:w="28" w:type="dxa"/>
              <w:right w:w="28" w:type="dxa"/>
            </w:tcMar>
            <w:vAlign w:val="center"/>
          </w:tcPr>
          <w:p>
            <w:pPr>
              <w:jc w:val="left"/>
              <w:rPr>
                <w:rFonts w:ascii="Times New Roman" w:hAnsi="Times New Roman"/>
                <w:bCs/>
                <w:szCs w:val="21"/>
              </w:rPr>
            </w:pPr>
            <w:r>
              <w:rPr>
                <w:rFonts w:ascii="Times New Roman" w:hAnsi="Times New Roman"/>
                <w:bCs/>
                <w:szCs w:val="21"/>
              </w:rPr>
              <w:t>一般固废，自行利用（送锅炉焚烧）</w:t>
            </w:r>
          </w:p>
        </w:tc>
      </w:tr>
    </w:tbl>
    <w:p>
      <w:pPr>
        <w:ind w:firstLine="420" w:firstLineChars="200"/>
        <w:rPr>
          <w:rFonts w:ascii="Times New Roman" w:hAnsi="Times New Roman" w:eastAsiaTheme="minorEastAsia"/>
          <w:szCs w:val="21"/>
        </w:rPr>
      </w:pPr>
      <w:r>
        <w:rPr>
          <w:rFonts w:ascii="Times New Roman" w:hAnsi="Times New Roman" w:eastAsiaTheme="minorEastAsia"/>
          <w:szCs w:val="21"/>
        </w:rPr>
        <w:t>备注：固废产生数据来源于</w:t>
      </w:r>
      <w:r>
        <w:rPr>
          <w:rFonts w:hint="eastAsia" w:ascii="Times New Roman" w:hAnsi="Times New Roman" w:eastAsiaTheme="minorEastAsia"/>
          <w:szCs w:val="21"/>
        </w:rPr>
        <w:t>2</w:t>
      </w:r>
      <w:r>
        <w:rPr>
          <w:rFonts w:ascii="Times New Roman" w:hAnsi="Times New Roman" w:eastAsiaTheme="minorEastAsia"/>
          <w:szCs w:val="21"/>
        </w:rPr>
        <w:t>020.9</w:t>
      </w:r>
      <w:r>
        <w:rPr>
          <w:rFonts w:hint="eastAsia" w:ascii="Times New Roman" w:hAnsi="Times New Roman" w:eastAsiaTheme="minorEastAsia"/>
          <w:szCs w:val="21"/>
        </w:rPr>
        <w:t>企业排污许可文件</w:t>
      </w:r>
    </w:p>
    <w:p>
      <w:pPr>
        <w:spacing w:line="520" w:lineRule="exact"/>
        <w:ind w:firstLine="560" w:firstLineChars="200"/>
        <w:rPr>
          <w:rFonts w:ascii="Times New Roman" w:hAnsi="Times New Roman" w:eastAsiaTheme="minorEastAsia"/>
          <w:sz w:val="28"/>
          <w:szCs w:val="28"/>
        </w:rPr>
      </w:pPr>
      <w:bookmarkStart w:id="52" w:name="_Toc270867084"/>
      <w:bookmarkStart w:id="53" w:name="_Toc270585268"/>
      <w:r>
        <w:rPr>
          <w:rFonts w:ascii="Times New Roman" w:hAnsi="Times New Roman" w:eastAsiaTheme="minorEastAsia"/>
          <w:sz w:val="28"/>
          <w:szCs w:val="28"/>
        </w:rPr>
        <w:t>工程临时事故灰渣场位于厂址南约3.5km的赤田寨村，面积16000m</w:t>
      </w:r>
      <w:r>
        <w:rPr>
          <w:rFonts w:ascii="Times New Roman" w:hAnsi="Times New Roman" w:eastAsiaTheme="minorEastAsia"/>
          <w:sz w:val="28"/>
          <w:szCs w:val="28"/>
          <w:vertAlign w:val="superscript"/>
        </w:rPr>
        <w:t>2</w:t>
      </w:r>
      <w:r>
        <w:rPr>
          <w:rFonts w:ascii="Times New Roman" w:hAnsi="Times New Roman" w:eastAsiaTheme="minorEastAsia"/>
          <w:sz w:val="28"/>
          <w:szCs w:val="28"/>
        </w:rPr>
        <w:t>，事故灰场有围堰、有防渗、防溢流措施，并有事故灰场标示牌。</w:t>
      </w:r>
      <w:bookmarkStart w:id="54" w:name="_Hlk38524054"/>
      <w:r>
        <w:rPr>
          <w:rFonts w:ascii="Times New Roman" w:hAnsi="Times New Roman" w:eastAsiaTheme="minorEastAsia"/>
          <w:sz w:val="28"/>
          <w:szCs w:val="28"/>
        </w:rPr>
        <w:t>厂区内危险废物贮存仓库面积20m</w:t>
      </w:r>
      <w:r>
        <w:rPr>
          <w:rFonts w:ascii="Times New Roman" w:hAnsi="Times New Roman" w:eastAsiaTheme="minorEastAsia"/>
          <w:sz w:val="28"/>
          <w:szCs w:val="28"/>
          <w:vertAlign w:val="superscript"/>
        </w:rPr>
        <w:t>2</w:t>
      </w:r>
      <w:r>
        <w:rPr>
          <w:rFonts w:ascii="Times New Roman" w:hAnsi="Times New Roman" w:eastAsiaTheme="minorEastAsia"/>
          <w:sz w:val="28"/>
          <w:szCs w:val="28"/>
        </w:rPr>
        <w:t>，</w:t>
      </w:r>
      <w:bookmarkEnd w:id="54"/>
      <w:r>
        <w:rPr>
          <w:rFonts w:ascii="Times New Roman" w:hAnsi="Times New Roman" w:eastAsiaTheme="minorEastAsia"/>
          <w:sz w:val="28"/>
          <w:szCs w:val="28"/>
        </w:rPr>
        <w:t>有防雨、防晒、防风、防渗措施，并设有危险废物标志牌。</w:t>
      </w:r>
    </w:p>
    <w:bookmarkEnd w:id="52"/>
    <w:bookmarkEnd w:id="53"/>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（5）污染物排放量统计</w:t>
      </w:r>
    </w:p>
    <w:p>
      <w:pPr>
        <w:pStyle w:val="27"/>
        <w:ind w:firstLine="560"/>
      </w:pPr>
      <w:r>
        <w:t>采用项目</w:t>
      </w:r>
      <w:r>
        <w:rPr>
          <w:rFonts w:hint="eastAsia"/>
        </w:rPr>
        <w:t>污染源数据核算</w:t>
      </w:r>
      <w:r>
        <w:t>排污总量来说明</w:t>
      </w:r>
      <w:r>
        <w:rPr>
          <w:snapToGrid w:val="0"/>
          <w:szCs w:val="28"/>
        </w:rPr>
        <w:t>30万t/a甲醇项目</w:t>
      </w:r>
      <w:r>
        <w:t>的总量排放情况，具体情况见表3.1-12。</w:t>
      </w:r>
    </w:p>
    <w:p>
      <w:pPr>
        <w:spacing w:line="480" w:lineRule="exact"/>
        <w:ind w:firstLine="482" w:firstLineChars="200"/>
        <w:rPr>
          <w:rFonts w:ascii="Times New Roman" w:hAnsi="Times New Roman" w:eastAsia="黑体"/>
          <w:b/>
          <w:sz w:val="24"/>
        </w:rPr>
      </w:pPr>
      <w:r>
        <w:rPr>
          <w:rFonts w:ascii="Times New Roman" w:hAnsi="Times New Roman" w:eastAsia="黑体"/>
          <w:b/>
          <w:sz w:val="24"/>
        </w:rPr>
        <w:t>表3.1-12       30万t/a甲醇项目主要污染物总量控制统计一览表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868"/>
        <w:gridCol w:w="2725"/>
        <w:gridCol w:w="242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b/>
                <w:szCs w:val="21"/>
              </w:rPr>
            </w:pPr>
            <w:r>
              <w:rPr>
                <w:rFonts w:ascii="Times New Roman" w:hAnsi="Times New Roman" w:eastAsiaTheme="minorEastAsia"/>
                <w:b/>
                <w:szCs w:val="21"/>
              </w:rPr>
              <w:t>项目</w:t>
            </w:r>
          </w:p>
        </w:tc>
        <w:tc>
          <w:tcPr>
            <w:tcW w:w="1685" w:type="dxa"/>
            <w:vAlign w:val="center"/>
          </w:tcPr>
          <w:p>
            <w:pPr>
              <w:adjustRightInd w:val="0"/>
              <w:snapToGrid w:val="0"/>
              <w:jc w:val="center"/>
              <w:rPr>
                <w:rFonts w:ascii="Times New Roman" w:hAnsi="Times New Roman" w:eastAsiaTheme="minorEastAsia"/>
                <w:b/>
                <w:szCs w:val="21"/>
              </w:rPr>
            </w:pPr>
            <w:r>
              <w:rPr>
                <w:rFonts w:ascii="Times New Roman" w:hAnsi="Times New Roman" w:eastAsiaTheme="minorEastAsia"/>
                <w:b/>
                <w:szCs w:val="21"/>
              </w:rPr>
              <w:t>污染物排放量</w:t>
            </w:r>
          </w:p>
        </w:tc>
        <w:tc>
          <w:tcPr>
            <w:tcW w:w="1498" w:type="dxa"/>
            <w:vAlign w:val="center"/>
          </w:tcPr>
          <w:p>
            <w:pPr>
              <w:adjustRightInd w:val="0"/>
              <w:snapToGrid w:val="0"/>
              <w:jc w:val="center"/>
              <w:rPr>
                <w:rFonts w:ascii="Times New Roman" w:hAnsi="Times New Roman" w:eastAsiaTheme="minorEastAsia"/>
                <w:b/>
                <w:szCs w:val="21"/>
              </w:rPr>
            </w:pPr>
            <w:r>
              <w:rPr>
                <w:rFonts w:ascii="Times New Roman" w:hAnsi="Times New Roman" w:eastAsiaTheme="minorEastAsia"/>
                <w:b/>
                <w:szCs w:val="21"/>
              </w:rPr>
              <w:t>总量控制指标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szCs w:val="21"/>
              </w:rPr>
            </w:pPr>
            <w:r>
              <w:rPr>
                <w:rFonts w:hint="eastAsia" w:ascii="Times New Roman" w:hAnsi="Times New Roman" w:eastAsiaTheme="minorEastAsia"/>
                <w:szCs w:val="21"/>
              </w:rPr>
              <w:t>颗粒物</w:t>
            </w:r>
            <w:r>
              <w:rPr>
                <w:rFonts w:ascii="Times New Roman" w:hAnsi="Times New Roman" w:eastAsiaTheme="minorEastAsia"/>
                <w:szCs w:val="21"/>
              </w:rPr>
              <w:t>（t/a）</w:t>
            </w:r>
          </w:p>
        </w:tc>
        <w:tc>
          <w:tcPr>
            <w:tcW w:w="1685"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bCs/>
                <w:szCs w:val="21"/>
              </w:rPr>
              <w:t>42.73</w:t>
            </w:r>
          </w:p>
        </w:tc>
        <w:tc>
          <w:tcPr>
            <w:tcW w:w="1498"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114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SO</w:t>
            </w:r>
            <w:r>
              <w:rPr>
                <w:rFonts w:ascii="Times New Roman" w:hAnsi="Times New Roman" w:eastAsiaTheme="minorEastAsia"/>
                <w:szCs w:val="21"/>
                <w:vertAlign w:val="subscript"/>
              </w:rPr>
              <w:t>2</w:t>
            </w:r>
            <w:r>
              <w:rPr>
                <w:rFonts w:ascii="Times New Roman" w:hAnsi="Times New Roman" w:eastAsiaTheme="minorEastAsia"/>
                <w:szCs w:val="21"/>
              </w:rPr>
              <w:t>（t/a）</w:t>
            </w:r>
          </w:p>
        </w:tc>
        <w:tc>
          <w:tcPr>
            <w:tcW w:w="1685"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2.72</w:t>
            </w:r>
          </w:p>
        </w:tc>
        <w:tc>
          <w:tcPr>
            <w:tcW w:w="1498"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273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NO</w:t>
            </w:r>
            <w:r>
              <w:rPr>
                <w:rFonts w:ascii="Times New Roman" w:hAnsi="Times New Roman" w:eastAsiaTheme="minorEastAsia"/>
                <w:szCs w:val="21"/>
                <w:vertAlign w:val="subscript"/>
              </w:rPr>
              <w:t>x</w:t>
            </w:r>
            <w:r>
              <w:rPr>
                <w:rFonts w:ascii="Times New Roman" w:hAnsi="Times New Roman" w:eastAsiaTheme="minorEastAsia"/>
                <w:szCs w:val="21"/>
              </w:rPr>
              <w:t>（t/a）</w:t>
            </w:r>
          </w:p>
        </w:tc>
        <w:tc>
          <w:tcPr>
            <w:tcW w:w="1685"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bCs/>
                <w:szCs w:val="21"/>
              </w:rPr>
              <w:t>104.04</w:t>
            </w:r>
          </w:p>
        </w:tc>
        <w:tc>
          <w:tcPr>
            <w:tcW w:w="1498"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575.936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COD（t/a）</w:t>
            </w:r>
          </w:p>
        </w:tc>
        <w:tc>
          <w:tcPr>
            <w:tcW w:w="1685"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138.2</w:t>
            </w:r>
          </w:p>
        </w:tc>
        <w:tc>
          <w:tcPr>
            <w:tcW w:w="1498"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143.5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392"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氨氮（t/a）</w:t>
            </w:r>
          </w:p>
        </w:tc>
        <w:tc>
          <w:tcPr>
            <w:tcW w:w="1685"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0.94</w:t>
            </w:r>
          </w:p>
        </w:tc>
        <w:tc>
          <w:tcPr>
            <w:tcW w:w="1498" w:type="dxa"/>
            <w:vAlign w:val="center"/>
          </w:tcPr>
          <w:p>
            <w:pPr>
              <w:adjustRightInd w:val="0"/>
              <w:snapToGrid w:val="0"/>
              <w:jc w:val="center"/>
              <w:rPr>
                <w:rFonts w:ascii="Times New Roman" w:hAnsi="Times New Roman" w:eastAsiaTheme="minorEastAsia"/>
                <w:szCs w:val="21"/>
              </w:rPr>
            </w:pPr>
            <w:r>
              <w:rPr>
                <w:rFonts w:ascii="Times New Roman" w:hAnsi="Times New Roman" w:eastAsiaTheme="minorEastAsia"/>
                <w:szCs w:val="21"/>
              </w:rPr>
              <w:t>28.7</w:t>
            </w:r>
          </w:p>
        </w:tc>
      </w:tr>
    </w:tbl>
    <w:p>
      <w:pPr>
        <w:snapToGrid w:val="0"/>
        <w:rPr>
          <w:rFonts w:ascii="Times New Roman" w:hAnsi="Times New Roman" w:eastAsiaTheme="minorEastAsia"/>
          <w:szCs w:val="21"/>
        </w:rPr>
      </w:pPr>
      <w:r>
        <w:rPr>
          <w:rFonts w:ascii="Times New Roman" w:hAnsi="Times New Roman" w:eastAsiaTheme="minorEastAsia"/>
          <w:szCs w:val="21"/>
        </w:rPr>
        <w:t>注：</w:t>
      </w:r>
      <w:r>
        <w:rPr>
          <w:rFonts w:hint="eastAsia" w:ascii="Times New Roman" w:hAnsi="Times New Roman" w:eastAsiaTheme="minorEastAsia"/>
          <w:szCs w:val="21"/>
        </w:rPr>
        <w:t>①</w:t>
      </w:r>
      <w:r>
        <w:rPr>
          <w:rFonts w:ascii="Times New Roman" w:hAnsi="Times New Roman" w:eastAsiaTheme="minorEastAsia"/>
          <w:szCs w:val="21"/>
        </w:rPr>
        <w:t xml:space="preserve"> 表中废水量、化学需氧量、氨氮、烟尘、粉尘、二氧化硫总量控制指标源自排污许可文件（证书编号：91410000173950899F002V）</w:t>
      </w:r>
      <w:r>
        <w:rPr>
          <w:rFonts w:hint="eastAsia" w:ascii="Times New Roman" w:hAnsi="Times New Roman" w:eastAsiaTheme="minorEastAsia"/>
          <w:szCs w:val="21"/>
        </w:rPr>
        <w:t>；②</w:t>
      </w:r>
      <w:r>
        <w:rPr>
          <w:rFonts w:ascii="Times New Roman" w:hAnsi="Times New Roman" w:eastAsiaTheme="minorEastAsia"/>
          <w:szCs w:val="21"/>
        </w:rPr>
        <w:t>年生产时间按8000h计。</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3.1.3  1000吨甲基丙烯酸甲酯（MMA）合成中试开发项目</w:t>
      </w:r>
    </w:p>
    <w:p>
      <w:pPr>
        <w:pStyle w:val="33"/>
        <w:adjustRightInd w:val="0"/>
        <w:snapToGrid w:val="0"/>
      </w:pPr>
      <w:r>
        <w:t>3.1.3.1  项目概况</w:t>
      </w:r>
    </w:p>
    <w:p>
      <w:pPr>
        <w:spacing w:line="520" w:lineRule="exact"/>
        <w:ind w:firstLine="580" w:firstLineChars="200"/>
        <w:rPr>
          <w:rFonts w:ascii="Times New Roman" w:hAnsi="Times New Roman"/>
          <w:sz w:val="28"/>
          <w:szCs w:val="28"/>
        </w:rPr>
      </w:pPr>
      <w:r>
        <w:rPr>
          <w:rFonts w:ascii="Times New Roman" w:hAnsi="Times New Roman" w:eastAsiaTheme="minorEastAsia"/>
          <w:spacing w:val="5"/>
          <w:sz w:val="28"/>
          <w:szCs w:val="28"/>
        </w:rPr>
        <w:t>中原大化1000吨甲基丙烯酸甲酯（MMA）合成中试开发项目主要建设一套年产1000吨MMA生产装置及辅助用房（配电室、控制室、分析实验室）等，其</w:t>
      </w:r>
      <w:r>
        <w:rPr>
          <w:rFonts w:ascii="Times New Roman" w:hAnsi="Times New Roman"/>
          <w:sz w:val="28"/>
          <w:szCs w:val="28"/>
        </w:rPr>
        <w:t>动力供应、废气处理、污水处理等环保设施依托</w:t>
      </w:r>
      <w:r>
        <w:rPr>
          <w:rFonts w:ascii="Times New Roman" w:hAnsi="Times New Roman" w:eastAsiaTheme="minorEastAsia"/>
          <w:spacing w:val="5"/>
          <w:sz w:val="28"/>
          <w:szCs w:val="28"/>
        </w:rPr>
        <w:t>年产30万吨甲醇项目</w:t>
      </w:r>
      <w:r>
        <w:rPr>
          <w:rFonts w:ascii="Times New Roman" w:hAnsi="Times New Roman"/>
          <w:sz w:val="28"/>
          <w:szCs w:val="28"/>
        </w:rPr>
        <w:t>。</w:t>
      </w:r>
    </w:p>
    <w:p>
      <w:pPr>
        <w:spacing w:line="520" w:lineRule="exact"/>
        <w:ind w:firstLine="560" w:firstLineChars="200"/>
        <w:rPr>
          <w:rFonts w:ascii="Times New Roman" w:hAnsi="Times New Roman"/>
          <w:sz w:val="28"/>
          <w:szCs w:val="28"/>
        </w:rPr>
      </w:pPr>
      <w:r>
        <w:rPr>
          <w:rFonts w:hint="eastAsia" w:ascii="Times New Roman" w:hAnsi="Times New Roman"/>
          <w:sz w:val="28"/>
          <w:szCs w:val="28"/>
        </w:rPr>
        <w:t>该项目已建成并完成中试实验内容，目前设备、设施处于闲置状态。</w:t>
      </w:r>
    </w:p>
    <w:p>
      <w:pPr>
        <w:spacing w:line="520" w:lineRule="exact"/>
        <w:ind w:firstLine="580" w:firstLineChars="200"/>
        <w:rPr>
          <w:rFonts w:ascii="Times New Roman" w:hAnsi="Times New Roman" w:eastAsiaTheme="minorEastAsia"/>
          <w:spacing w:val="5"/>
          <w:sz w:val="28"/>
          <w:szCs w:val="28"/>
        </w:rPr>
      </w:pPr>
      <w:r>
        <w:rPr>
          <w:rFonts w:ascii="Times New Roman" w:hAnsi="Times New Roman" w:eastAsiaTheme="minorEastAsia"/>
          <w:spacing w:val="5"/>
          <w:sz w:val="28"/>
          <w:szCs w:val="28"/>
        </w:rPr>
        <w:t>项目基本情况见表3.1-13，原辅料及动力消耗情况见表3.1-14。</w:t>
      </w:r>
    </w:p>
    <w:p>
      <w:pPr>
        <w:pStyle w:val="32"/>
        <w:ind w:left="851" w:firstLine="0" w:firstLineChars="0"/>
      </w:pPr>
      <w:r>
        <w:t>表3.1-13      1000 MMA合成中试开发项目基本情况一览表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76"/>
        <w:gridCol w:w="1675"/>
        <w:gridCol w:w="6524"/>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序 号</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名   称</w:t>
            </w:r>
          </w:p>
        </w:tc>
        <w:tc>
          <w:tcPr>
            <w:tcW w:w="3555"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简    要    内    容</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1</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建设性质</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napToGrid w:val="0"/>
                <w:szCs w:val="21"/>
              </w:rPr>
              <w:t>扩建</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2</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所属行业</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napToGrid w:val="0"/>
                <w:szCs w:val="21"/>
              </w:rPr>
              <w:t>C261基础化学原料制造、M732</w:t>
            </w:r>
            <w:r>
              <w:rPr>
                <w:rFonts w:ascii="Times New Roman" w:hAnsi="Times New Roman" w:eastAsiaTheme="minorEastAsia"/>
                <w:kern w:val="0"/>
                <w:szCs w:val="21"/>
              </w:rPr>
              <w:t>工程和技术研究和试验发展</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6"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3</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总投资</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zCs w:val="21"/>
              </w:rPr>
              <w:t>4265</w:t>
            </w:r>
            <w:r>
              <w:rPr>
                <w:rFonts w:ascii="Times New Roman" w:hAnsi="Times New Roman" w:eastAsiaTheme="minorEastAsia"/>
                <w:snapToGrid w:val="0"/>
                <w:szCs w:val="21"/>
              </w:rPr>
              <w:t>万元</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4</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建设地点</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zCs w:val="21"/>
              </w:rPr>
              <w:t>濮阳经济技术产业集聚区（中原大化煤化工厂区内）</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5</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占地面积</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napToGrid w:val="0"/>
                <w:szCs w:val="21"/>
              </w:rPr>
              <w:t>10000m</w:t>
            </w:r>
            <w:r>
              <w:rPr>
                <w:rFonts w:ascii="Times New Roman" w:hAnsi="Times New Roman" w:eastAsiaTheme="minorEastAsia"/>
                <w:snapToGrid w:val="0"/>
                <w:szCs w:val="21"/>
                <w:vertAlign w:val="superscript"/>
              </w:rPr>
              <w:t>2</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2" w:hRule="atLeast"/>
        </w:trPr>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6</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生产能力</w:t>
            </w:r>
          </w:p>
        </w:tc>
        <w:tc>
          <w:tcPr>
            <w:tcW w:w="3555" w:type="pct"/>
            <w:vAlign w:val="center"/>
          </w:tcPr>
          <w:p>
            <w:pPr>
              <w:spacing w:line="320" w:lineRule="exact"/>
              <w:rPr>
                <w:rFonts w:ascii="Times New Roman" w:hAnsi="Times New Roman" w:eastAsiaTheme="minorEastAsia"/>
                <w:spacing w:val="10"/>
                <w:szCs w:val="21"/>
              </w:rPr>
            </w:pPr>
            <w:r>
              <w:rPr>
                <w:rFonts w:ascii="Times New Roman" w:hAnsi="Times New Roman" w:eastAsiaTheme="minorEastAsia"/>
                <w:szCs w:val="21"/>
              </w:rPr>
              <w:t>年产甲基丙烯酸甲酯1000吨</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7</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项目组成</w:t>
            </w:r>
          </w:p>
        </w:tc>
        <w:tc>
          <w:tcPr>
            <w:tcW w:w="3555" w:type="pct"/>
            <w:vAlign w:val="center"/>
          </w:tcPr>
          <w:p>
            <w:pPr>
              <w:spacing w:line="320" w:lineRule="exact"/>
              <w:rPr>
                <w:rFonts w:ascii="Times New Roman" w:hAnsi="Times New Roman" w:eastAsiaTheme="minorEastAsia"/>
                <w:szCs w:val="21"/>
              </w:rPr>
            </w:pPr>
            <w:r>
              <w:rPr>
                <w:rFonts w:ascii="Times New Roman" w:hAnsi="Times New Roman" w:eastAsiaTheme="minorEastAsia"/>
                <w:szCs w:val="21"/>
              </w:rPr>
              <w:t>生产装置一套、辅助用房（配电室、控制室、分析实验室）等</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8</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劳动定员</w:t>
            </w:r>
          </w:p>
        </w:tc>
        <w:tc>
          <w:tcPr>
            <w:tcW w:w="3555" w:type="pct"/>
            <w:vAlign w:val="center"/>
          </w:tcPr>
          <w:p>
            <w:pPr>
              <w:spacing w:line="320" w:lineRule="exact"/>
              <w:rPr>
                <w:rFonts w:ascii="Times New Roman" w:hAnsi="Times New Roman" w:eastAsiaTheme="minorEastAsia"/>
                <w:spacing w:val="10"/>
                <w:szCs w:val="21"/>
              </w:rPr>
            </w:pPr>
            <w:r>
              <w:rPr>
                <w:rFonts w:ascii="Times New Roman" w:hAnsi="Times New Roman" w:eastAsiaTheme="minorEastAsia"/>
                <w:szCs w:val="21"/>
              </w:rPr>
              <w:t>劳动定员21人，操作人员18人，其他人员3人</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2"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9</w:t>
            </w:r>
          </w:p>
        </w:tc>
        <w:tc>
          <w:tcPr>
            <w:tcW w:w="913" w:type="pct"/>
            <w:vAlign w:val="center"/>
          </w:tcPr>
          <w:p>
            <w:pPr>
              <w:tabs>
                <w:tab w:val="right" w:pos="8730"/>
              </w:tabs>
              <w:spacing w:line="320" w:lineRule="exact"/>
              <w:jc w:val="center"/>
              <w:rPr>
                <w:rFonts w:ascii="Times New Roman" w:hAnsi="Times New Roman" w:eastAsiaTheme="minorEastAsia"/>
                <w:snapToGrid w:val="0"/>
                <w:szCs w:val="21"/>
              </w:rPr>
            </w:pPr>
            <w:r>
              <w:rPr>
                <w:rFonts w:ascii="Times New Roman" w:hAnsi="Times New Roman" w:eastAsiaTheme="minorEastAsia"/>
                <w:snapToGrid w:val="0"/>
                <w:szCs w:val="21"/>
              </w:rPr>
              <w:t>工作制度</w:t>
            </w:r>
          </w:p>
        </w:tc>
        <w:tc>
          <w:tcPr>
            <w:tcW w:w="3555" w:type="pct"/>
            <w:vAlign w:val="center"/>
          </w:tcPr>
          <w:p>
            <w:pPr>
              <w:tabs>
                <w:tab w:val="right" w:pos="8730"/>
              </w:tabs>
              <w:spacing w:line="320" w:lineRule="exact"/>
              <w:rPr>
                <w:rFonts w:ascii="Times New Roman" w:hAnsi="Times New Roman" w:eastAsiaTheme="minorEastAsia"/>
                <w:snapToGrid w:val="0"/>
                <w:szCs w:val="21"/>
              </w:rPr>
            </w:pPr>
            <w:r>
              <w:rPr>
                <w:rFonts w:ascii="Times New Roman" w:hAnsi="Times New Roman" w:eastAsiaTheme="minorEastAsia"/>
                <w:snapToGrid w:val="0"/>
                <w:szCs w:val="21"/>
              </w:rPr>
              <w:t>年工作日300天，</w:t>
            </w:r>
            <w:r>
              <w:rPr>
                <w:rFonts w:ascii="Times New Roman" w:hAnsi="Times New Roman" w:eastAsiaTheme="minorEastAsia"/>
                <w:szCs w:val="21"/>
              </w:rPr>
              <w:t>每天工作24小时，实行三班制，每班工作8小时，全年工作时间</w:t>
            </w:r>
            <w:r>
              <w:rPr>
                <w:rFonts w:ascii="Times New Roman" w:hAnsi="Times New Roman" w:eastAsiaTheme="minorEastAsia"/>
                <w:snapToGrid w:val="0"/>
                <w:szCs w:val="21"/>
              </w:rPr>
              <w:t>评价按7200 h/a计</w:t>
            </w:r>
          </w:p>
        </w:tc>
      </w:tr>
    </w:tbl>
    <w:p>
      <w:pPr>
        <w:pStyle w:val="32"/>
        <w:ind w:left="851" w:firstLine="0" w:firstLineChars="0"/>
        <w:rPr>
          <w:rFonts w:eastAsiaTheme="minorEastAsia"/>
          <w:b w:val="0"/>
          <w:bCs/>
        </w:rPr>
      </w:pPr>
      <w:r>
        <w:t>表3.1-14     1000 MMA合成中试开发项目主要原辅材料及动力消耗</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38"/>
        <w:gridCol w:w="2518"/>
        <w:gridCol w:w="2222"/>
        <w:gridCol w:w="1666"/>
        <w:gridCol w:w="1831"/>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b/>
                <w:szCs w:val="21"/>
              </w:rPr>
            </w:pPr>
            <w:r>
              <w:rPr>
                <w:rFonts w:ascii="Times New Roman" w:hAnsi="Times New Roman" w:eastAsiaTheme="minorEastAsia"/>
                <w:b/>
                <w:szCs w:val="21"/>
              </w:rPr>
              <w:t>序号</w:t>
            </w:r>
          </w:p>
        </w:tc>
        <w:tc>
          <w:tcPr>
            <w:tcW w:w="1372" w:type="pct"/>
            <w:shd w:val="clear" w:color="auto" w:fill="auto"/>
            <w:vAlign w:val="center"/>
          </w:tcPr>
          <w:p>
            <w:pPr>
              <w:spacing w:line="264" w:lineRule="auto"/>
              <w:jc w:val="center"/>
              <w:rPr>
                <w:rFonts w:ascii="Times New Roman" w:hAnsi="Times New Roman" w:eastAsiaTheme="minorEastAsia"/>
                <w:b/>
                <w:szCs w:val="21"/>
              </w:rPr>
            </w:pPr>
            <w:r>
              <w:rPr>
                <w:rFonts w:ascii="Times New Roman" w:hAnsi="Times New Roman" w:eastAsiaTheme="minorEastAsia"/>
                <w:b/>
                <w:szCs w:val="21"/>
              </w:rPr>
              <w:t>名称</w:t>
            </w:r>
          </w:p>
        </w:tc>
        <w:tc>
          <w:tcPr>
            <w:tcW w:w="1211" w:type="pct"/>
            <w:shd w:val="clear" w:color="auto" w:fill="auto"/>
            <w:vAlign w:val="center"/>
          </w:tcPr>
          <w:p>
            <w:pPr>
              <w:spacing w:line="264" w:lineRule="auto"/>
              <w:jc w:val="center"/>
              <w:rPr>
                <w:rFonts w:ascii="Times New Roman" w:hAnsi="Times New Roman" w:eastAsiaTheme="minorEastAsia"/>
                <w:b/>
                <w:szCs w:val="21"/>
              </w:rPr>
            </w:pPr>
            <w:r>
              <w:rPr>
                <w:rFonts w:ascii="Times New Roman" w:hAnsi="Times New Roman" w:eastAsiaTheme="minorEastAsia"/>
                <w:b/>
                <w:szCs w:val="21"/>
              </w:rPr>
              <w:t>单耗kg/t产品</w:t>
            </w:r>
          </w:p>
        </w:tc>
        <w:tc>
          <w:tcPr>
            <w:tcW w:w="908" w:type="pct"/>
            <w:shd w:val="clear" w:color="auto" w:fill="auto"/>
            <w:vAlign w:val="center"/>
          </w:tcPr>
          <w:p>
            <w:pPr>
              <w:spacing w:line="264" w:lineRule="auto"/>
              <w:jc w:val="center"/>
              <w:rPr>
                <w:rFonts w:ascii="Times New Roman" w:hAnsi="Times New Roman" w:eastAsiaTheme="minorEastAsia"/>
                <w:b/>
                <w:szCs w:val="21"/>
              </w:rPr>
            </w:pPr>
            <w:r>
              <w:rPr>
                <w:rFonts w:ascii="Times New Roman" w:hAnsi="Times New Roman" w:eastAsiaTheme="minorEastAsia"/>
                <w:b/>
                <w:szCs w:val="21"/>
              </w:rPr>
              <w:t>年耗t/a</w:t>
            </w:r>
          </w:p>
        </w:tc>
        <w:tc>
          <w:tcPr>
            <w:tcW w:w="998" w:type="pct"/>
            <w:shd w:val="clear" w:color="auto" w:fill="auto"/>
          </w:tcPr>
          <w:p>
            <w:pPr>
              <w:spacing w:line="264" w:lineRule="auto"/>
              <w:jc w:val="center"/>
              <w:rPr>
                <w:rFonts w:ascii="Times New Roman" w:hAnsi="Times New Roman" w:eastAsiaTheme="minorEastAsia"/>
                <w:b/>
                <w:szCs w:val="21"/>
              </w:rPr>
            </w:pPr>
            <w:r>
              <w:rPr>
                <w:rFonts w:ascii="Times New Roman" w:hAnsi="Times New Roman" w:eastAsiaTheme="minorEastAsia"/>
                <w:b/>
                <w:szCs w:val="21"/>
              </w:rPr>
              <w:t>备注</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乙烯</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407.434</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407.434</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2</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一氧化碳</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378.166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378.166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氢气</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30.226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30.226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4</w:t>
            </w:r>
          </w:p>
        </w:tc>
        <w:tc>
          <w:tcPr>
            <w:tcW w:w="1372" w:type="pct"/>
            <w:shd w:val="clear" w:color="auto" w:fill="auto"/>
            <w:vAlign w:val="center"/>
          </w:tcPr>
          <w:p>
            <w:pPr>
              <w:tabs>
                <w:tab w:val="left" w:pos="675"/>
              </w:tabs>
              <w:spacing w:line="264" w:lineRule="auto"/>
              <w:jc w:val="center"/>
              <w:rPr>
                <w:rFonts w:ascii="Times New Roman" w:hAnsi="Times New Roman" w:eastAsiaTheme="minorEastAsia"/>
                <w:szCs w:val="21"/>
              </w:rPr>
            </w:pPr>
            <w:r>
              <w:rPr>
                <w:rFonts w:ascii="Times New Roman" w:hAnsi="Times New Roman" w:eastAsiaTheme="minorEastAsia"/>
                <w:szCs w:val="21"/>
              </w:rPr>
              <w:t>甲醛（37%）</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1114.135</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1114.135</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5</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甲醇</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322.416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322.416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6</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甲苯</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4.35</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4.35</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循环量0.06t/h</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7</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正己烷(萃取剂)</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循环量0.15t/h</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8</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氢甲酰化催化剂及配体</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0.322</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322.23kg/a</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固体</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9</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羟醛缩合反应催化剂</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13.06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13.06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液体</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10</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醛氧化反应催化剂</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1.56</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1.56</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柱状</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11</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酯化反应催化剂</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0.22</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220 kg/a</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树脂小球</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12</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水蒸汽</w:t>
            </w:r>
          </w:p>
        </w:tc>
        <w:tc>
          <w:tcPr>
            <w:tcW w:w="12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834</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834</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13</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脱盐水</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360</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360</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14</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一次水</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21135</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21135</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15</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循环水</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992.16m</w:t>
            </w:r>
            <w:r>
              <w:rPr>
                <w:rFonts w:ascii="Times New Roman" w:hAnsi="Times New Roman" w:eastAsiaTheme="minorEastAsia"/>
                <w:szCs w:val="21"/>
                <w:vertAlign w:val="superscript"/>
              </w:rPr>
              <w:t>3</w:t>
            </w:r>
            <w:r>
              <w:rPr>
                <w:rFonts w:ascii="Times New Roman" w:hAnsi="Times New Roman" w:eastAsiaTheme="minorEastAsia"/>
                <w:szCs w:val="21"/>
              </w:rPr>
              <w:t>/t</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992160</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16</w:t>
            </w:r>
          </w:p>
        </w:tc>
        <w:tc>
          <w:tcPr>
            <w:tcW w:w="1372"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氮气</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2880</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2880000</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17</w:t>
            </w:r>
          </w:p>
        </w:tc>
        <w:tc>
          <w:tcPr>
            <w:tcW w:w="1372" w:type="pct"/>
            <w:shd w:val="clear" w:color="auto" w:fill="auto"/>
            <w:vAlign w:val="center"/>
          </w:tcPr>
          <w:p>
            <w:pPr>
              <w:tabs>
                <w:tab w:val="left" w:pos="675"/>
              </w:tabs>
              <w:spacing w:line="264" w:lineRule="auto"/>
              <w:jc w:val="center"/>
              <w:rPr>
                <w:rFonts w:ascii="Times New Roman" w:hAnsi="Times New Roman" w:eastAsiaTheme="minorEastAsia"/>
                <w:szCs w:val="21"/>
              </w:rPr>
            </w:pPr>
            <w:r>
              <w:rPr>
                <w:rFonts w:ascii="Times New Roman" w:hAnsi="Times New Roman" w:eastAsiaTheme="minorEastAsia"/>
                <w:szCs w:val="21"/>
              </w:rPr>
              <w:t>低压蒸汽</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7320</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7320</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511"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18</w:t>
            </w:r>
          </w:p>
        </w:tc>
        <w:tc>
          <w:tcPr>
            <w:tcW w:w="1372" w:type="pct"/>
            <w:shd w:val="clear" w:color="auto" w:fill="auto"/>
            <w:vAlign w:val="center"/>
          </w:tcPr>
          <w:p>
            <w:pPr>
              <w:tabs>
                <w:tab w:val="left" w:pos="675"/>
              </w:tabs>
              <w:spacing w:line="264" w:lineRule="auto"/>
              <w:jc w:val="center"/>
              <w:rPr>
                <w:rFonts w:ascii="Times New Roman" w:hAnsi="Times New Roman" w:eastAsiaTheme="minorEastAsia"/>
                <w:szCs w:val="21"/>
              </w:rPr>
            </w:pPr>
            <w:r>
              <w:rPr>
                <w:rFonts w:ascii="Times New Roman" w:hAnsi="Times New Roman" w:eastAsiaTheme="minorEastAsia"/>
                <w:szCs w:val="21"/>
              </w:rPr>
              <w:t>电</w:t>
            </w:r>
          </w:p>
        </w:tc>
        <w:tc>
          <w:tcPr>
            <w:tcW w:w="1211" w:type="pct"/>
            <w:shd w:val="clear" w:color="auto" w:fill="auto"/>
            <w:vAlign w:val="center"/>
          </w:tcPr>
          <w:p>
            <w:pPr>
              <w:tabs>
                <w:tab w:val="left" w:pos="885"/>
                <w:tab w:val="center" w:pos="1039"/>
              </w:tabs>
              <w:spacing w:line="264" w:lineRule="auto"/>
              <w:jc w:val="center"/>
              <w:rPr>
                <w:rFonts w:ascii="Times New Roman" w:hAnsi="Times New Roman" w:eastAsiaTheme="minorEastAsia"/>
                <w:szCs w:val="21"/>
              </w:rPr>
            </w:pPr>
            <w:r>
              <w:rPr>
                <w:rFonts w:ascii="Times New Roman" w:hAnsi="Times New Roman" w:eastAsiaTheme="minorEastAsia"/>
                <w:szCs w:val="21"/>
              </w:rPr>
              <w:t>144kwh</w:t>
            </w:r>
          </w:p>
        </w:tc>
        <w:tc>
          <w:tcPr>
            <w:tcW w:w="908" w:type="pct"/>
            <w:shd w:val="clear" w:color="auto" w:fill="auto"/>
            <w:vAlign w:val="center"/>
          </w:tcPr>
          <w:p>
            <w:pPr>
              <w:spacing w:line="264" w:lineRule="auto"/>
              <w:jc w:val="center"/>
              <w:rPr>
                <w:rFonts w:ascii="Times New Roman" w:hAnsi="Times New Roman" w:eastAsiaTheme="minorEastAsia"/>
                <w:szCs w:val="21"/>
              </w:rPr>
            </w:pPr>
            <w:r>
              <w:rPr>
                <w:rFonts w:ascii="Times New Roman" w:hAnsi="Times New Roman" w:eastAsiaTheme="minorEastAsia"/>
                <w:szCs w:val="21"/>
              </w:rPr>
              <w:t>144000kwh</w:t>
            </w:r>
          </w:p>
        </w:tc>
        <w:tc>
          <w:tcPr>
            <w:tcW w:w="998" w:type="pct"/>
            <w:shd w:val="clear" w:color="auto" w:fill="auto"/>
          </w:tcPr>
          <w:p>
            <w:pPr>
              <w:spacing w:line="264" w:lineRule="auto"/>
              <w:jc w:val="center"/>
              <w:rPr>
                <w:rFonts w:ascii="Times New Roman" w:hAnsi="Times New Roman" w:eastAsiaTheme="minorEastAsia"/>
                <w:szCs w:val="21"/>
              </w:rPr>
            </w:pPr>
            <w:r>
              <w:rPr>
                <w:rFonts w:ascii="Times New Roman" w:hAnsi="Times New Roman" w:eastAsiaTheme="minorEastAsia"/>
                <w:szCs w:val="21"/>
              </w:rPr>
              <w:t>/</w:t>
            </w:r>
          </w:p>
        </w:tc>
      </w:tr>
    </w:tbl>
    <w:p>
      <w:pPr>
        <w:pStyle w:val="33"/>
        <w:adjustRightInd w:val="0"/>
        <w:snapToGrid w:val="0"/>
      </w:pPr>
      <w:r>
        <w:t>3.1.3.2  生产工艺</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为河南煤化集团研究院和中国科学院过程工程研究所共同完成的煤基合成气法生产甲基丙烯酸甲酯（MMA）清洁工艺中试试验开发项目，并取得了氢甲酰化反应、阻聚剂等相关发明专利。该生产工艺主要包括4个生产单元：氢甲酰化反应制丙醛、羟醛缩合反应制甲基丙烯醛、醛氧化反应制甲基丙烯酸、酯化反应单元制甲基丙烯酸甲酯。</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（1）氢甲酰化反应制丙醛</w:t>
      </w:r>
    </w:p>
    <w:p>
      <w:pPr>
        <w:spacing w:line="520" w:lineRule="exact"/>
        <w:ind w:firstLine="560"/>
        <w:rPr>
          <w:rFonts w:ascii="Times New Roman" w:hAnsi="Times New Roman"/>
          <w:sz w:val="28"/>
          <w:szCs w:val="28"/>
        </w:rPr>
      </w:pPr>
      <w:r>
        <w:rPr>
          <w:rFonts w:ascii="Times New Roman" w:hAnsi="Times New Roman"/>
          <w:sz w:val="28"/>
          <w:szCs w:val="28"/>
        </w:rPr>
        <w:t>原料乙烯和氢气、一氧化碳，三股物料按比例控制，与循环回的未反应的原料气混合，经预热后进入氢甲酰化反应器，在催化剂作用下发生反应生成丙醛。</w:t>
      </w:r>
    </w:p>
    <w:p>
      <w:pPr>
        <w:spacing w:line="240" w:lineRule="atLeast"/>
        <w:jc w:val="center"/>
        <w:rPr>
          <w:rFonts w:ascii="Times New Roman" w:hAnsi="Times New Roman"/>
        </w:rPr>
      </w:pPr>
      <w:r>
        <w:rPr>
          <w:rFonts w:ascii="Times New Roman" w:hAnsi="Times New Roman"/>
        </w:rPr>
        <w:object>
          <v:shape id="_x0000_i1027" o:spt="75" type="#_x0000_t75" style="height:104.8pt;width:464.1pt;" o:ole="t" filled="f" o:preferrelative="t" stroked="f" coordsize="21600,21600">
            <v:path/>
            <v:fill on="f" focussize="0,0"/>
            <v:stroke on="f" joinstyle="miter"/>
            <v:imagedata r:id="rId33" o:title=""/>
            <o:lock v:ext="edit" aspectratio="t"/>
            <w10:wrap type="none"/>
            <w10:anchorlock/>
          </v:shape>
          <o:OLEObject Type="Embed" ProgID="Visio.Drawing.11" ShapeID="_x0000_i1027" DrawAspect="Content" ObjectID="_1468075728" r:id="rId32">
            <o:LockedField>false</o:LockedField>
          </o:OLEObject>
        </w:object>
      </w:r>
    </w:p>
    <w:p>
      <w:pPr>
        <w:spacing w:line="240" w:lineRule="atLeast"/>
        <w:jc w:val="center"/>
        <w:rPr>
          <w:rFonts w:ascii="Times New Roman" w:hAnsi="Times New Roman" w:eastAsia="黑体"/>
          <w:b/>
          <w:sz w:val="24"/>
          <w:szCs w:val="24"/>
        </w:rPr>
      </w:pPr>
      <w:r>
        <w:rPr>
          <w:rFonts w:ascii="Times New Roman" w:hAnsi="Times New Roman" w:eastAsia="黑体"/>
          <w:b/>
          <w:sz w:val="24"/>
          <w:szCs w:val="24"/>
        </w:rPr>
        <w:t>图3.1-2     氢甲酰化反应制丙醛工艺流程及产污环节示意图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（2）羟醛缩合反应制甲基丙烯醛</w:t>
      </w:r>
    </w:p>
    <w:p>
      <w:pPr>
        <w:spacing w:line="520" w:lineRule="exact"/>
        <w:ind w:firstLine="560" w:firstLineChars="200"/>
        <w:rPr>
          <w:rFonts w:ascii="Times New Roman" w:hAnsi="Times New Roman"/>
          <w:sz w:val="28"/>
          <w:szCs w:val="28"/>
        </w:rPr>
      </w:pPr>
      <w:r>
        <w:rPr>
          <w:rFonts w:ascii="Times New Roman" w:hAnsi="Times New Roman" w:eastAsiaTheme="minorEastAsia"/>
          <w:sz w:val="28"/>
          <w:szCs w:val="28"/>
        </w:rPr>
        <w:t>来自丙醛储罐的丙醛与甲醛水溶液按比例进入羟醛缩合反应器，在温度40</w:t>
      </w:r>
      <w:r>
        <w:rPr>
          <w:rFonts w:ascii="Times New Roman" w:hAnsi="Times New Roman"/>
          <w:sz w:val="28"/>
          <w:szCs w:val="28"/>
        </w:rPr>
        <w:t>℃</w:t>
      </w:r>
      <w:r>
        <w:rPr>
          <w:rFonts w:ascii="Times New Roman" w:hAnsi="Times New Roman" w:eastAsiaTheme="minorEastAsia"/>
          <w:sz w:val="28"/>
          <w:szCs w:val="28"/>
        </w:rPr>
        <w:t>、压力101.3kPa及催化剂作用下发生羟醛缩合反应生成甲基丙烯醛（MAL）。</w:t>
      </w:r>
    </w:p>
    <w:p>
      <w:pPr>
        <w:spacing w:line="240" w:lineRule="atLeast"/>
        <w:jc w:val="center"/>
        <w:rPr>
          <w:rFonts w:ascii="Times New Roman" w:hAnsi="Times New Roman" w:eastAsia="黑体"/>
          <w:b/>
          <w:sz w:val="24"/>
          <w:szCs w:val="24"/>
        </w:rPr>
      </w:pPr>
      <w:r>
        <w:rPr>
          <w:rFonts w:ascii="Times New Roman" w:hAnsi="Times New Roman"/>
        </w:rPr>
        <w:object>
          <v:shape id="_x0000_i1028" o:spt="75" type="#_x0000_t75" style="height:109.05pt;width:466.95pt;" o:ole="t" filled="f" o:preferrelative="t" stroked="f" coordsize="21600,21600">
            <v:path/>
            <v:fill on="f" focussize="0,0"/>
            <v:stroke on="f" joinstyle="miter"/>
            <v:imagedata r:id="rId35" o:title=""/>
            <o:lock v:ext="edit" aspectratio="t"/>
            <w10:wrap type="none"/>
            <w10:anchorlock/>
          </v:shape>
          <o:OLEObject Type="Embed" ProgID="Visio.Drawing.11" ShapeID="_x0000_i1028" DrawAspect="Content" ObjectID="_1468075729" r:id="rId34">
            <o:LockedField>false</o:LockedField>
          </o:OLEObject>
        </w:object>
      </w:r>
      <w:r>
        <w:rPr>
          <w:rFonts w:ascii="Times New Roman" w:hAnsi="Times New Roman" w:eastAsia="黑体"/>
          <w:b/>
          <w:sz w:val="24"/>
          <w:szCs w:val="24"/>
        </w:rPr>
        <w:t>图3.1-3    羟醛缩合反应制甲基丙烯醛工艺流程及产污环节示意图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（3）醛氧化反应制甲基丙烯酸</w:t>
      </w:r>
    </w:p>
    <w:p>
      <w:pPr>
        <w:spacing w:line="520" w:lineRule="exact"/>
        <w:ind w:firstLine="560"/>
        <w:rPr>
          <w:rFonts w:ascii="Times New Roman" w:hAnsi="Times New Roman" w:eastAsiaTheme="minorEastAsia"/>
          <w:sz w:val="28"/>
          <w:szCs w:val="28"/>
        </w:rPr>
      </w:pPr>
      <w:r>
        <w:rPr>
          <w:rFonts w:ascii="Times New Roman" w:hAnsi="Times New Roman" w:eastAsiaTheme="minorEastAsia"/>
          <w:sz w:val="28"/>
          <w:szCs w:val="28"/>
        </w:rPr>
        <w:t>甲基丙烯醛与空气、水蒸汽的混合气经循环气压缩机压缩与反应产物换热进入醛氧化反应器，在0.2MPa(G)、300</w:t>
      </w:r>
      <w:r>
        <w:rPr>
          <w:rFonts w:ascii="Times New Roman" w:hAnsi="Times New Roman"/>
          <w:sz w:val="28"/>
          <w:szCs w:val="28"/>
        </w:rPr>
        <w:t>℃</w:t>
      </w:r>
      <w:r>
        <w:rPr>
          <w:rFonts w:ascii="Times New Roman" w:hAnsi="Times New Roman" w:eastAsiaTheme="minorEastAsia"/>
          <w:sz w:val="28"/>
          <w:szCs w:val="28"/>
        </w:rPr>
        <w:t>和催化剂条件下进行氧化反应，生成甲基丙烯酸(MAA)。</w:t>
      </w:r>
    </w:p>
    <w:p>
      <w:pPr>
        <w:spacing w:line="240" w:lineRule="atLeast"/>
        <w:ind w:leftChars="-50" w:right="-214" w:rightChars="-102" w:hanging="105" w:hangingChars="50"/>
        <w:rPr>
          <w:rFonts w:ascii="Times New Roman" w:hAnsi="Times New Roman"/>
          <w:sz w:val="28"/>
          <w:szCs w:val="28"/>
        </w:rPr>
      </w:pPr>
      <w:r>
        <w:rPr>
          <w:rFonts w:ascii="Times New Roman" w:hAnsi="Times New Roman"/>
        </w:rPr>
        <w:object>
          <v:shape id="_x0000_i1029" o:spt="75" type="#_x0000_t75" style="height:87.7pt;width:448.4pt;" o:ole="t" filled="f" o:preferrelative="t" stroked="f" coordsize="21600,21600">
            <v:path/>
            <v:fill on="f" focussize="0,0"/>
            <v:stroke on="f" joinstyle="miter"/>
            <v:imagedata r:id="rId37" o:title=""/>
            <o:lock v:ext="edit" aspectratio="t"/>
            <w10:wrap type="none"/>
            <w10:anchorlock/>
          </v:shape>
          <o:OLEObject Type="Embed" ProgID="Visio.Drawing.11" ShapeID="_x0000_i1029" DrawAspect="Content" ObjectID="_1468075730" r:id="rId36">
            <o:LockedField>false</o:LockedField>
          </o:OLEObject>
        </w:object>
      </w:r>
    </w:p>
    <w:p>
      <w:pPr>
        <w:spacing w:line="520" w:lineRule="exact"/>
        <w:ind w:firstLine="482" w:firstLineChars="200"/>
        <w:jc w:val="center"/>
        <w:rPr>
          <w:rFonts w:ascii="Times New Roman" w:hAnsi="Times New Roman" w:eastAsia="黑体"/>
          <w:b/>
          <w:sz w:val="24"/>
          <w:szCs w:val="24"/>
        </w:rPr>
      </w:pPr>
      <w:r>
        <w:rPr>
          <w:rFonts w:ascii="Times New Roman" w:hAnsi="Times New Roman" w:eastAsia="黑体"/>
          <w:b/>
          <w:sz w:val="24"/>
          <w:szCs w:val="24"/>
        </w:rPr>
        <w:t>图3.1-4    醛氧化反应制甲基丙烯酸工艺流程及产污环节示意图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（4）酯化反应单元制甲基丙烯酸甲酯</w:t>
      </w:r>
    </w:p>
    <w:p>
      <w:pPr>
        <w:spacing w:line="520" w:lineRule="exact"/>
        <w:ind w:firstLine="560"/>
        <w:rPr>
          <w:rFonts w:ascii="Times New Roman" w:hAnsi="Times New Roman" w:eastAsiaTheme="minorEastAsia"/>
          <w:sz w:val="28"/>
          <w:szCs w:val="28"/>
        </w:rPr>
      </w:pPr>
      <w:r>
        <w:rPr>
          <w:rFonts w:ascii="Times New Roman" w:hAnsi="Times New Roman" w:eastAsiaTheme="minorEastAsia"/>
          <w:sz w:val="28"/>
          <w:szCs w:val="28"/>
        </w:rPr>
        <w:t>甲基丙烯酸与甲醇混合均匀并预热至95</w:t>
      </w:r>
      <w:r>
        <w:rPr>
          <w:rFonts w:ascii="Times New Roman" w:hAnsi="Times New Roman"/>
          <w:sz w:val="28"/>
          <w:szCs w:val="28"/>
        </w:rPr>
        <w:t>℃</w:t>
      </w:r>
      <w:r>
        <w:rPr>
          <w:rFonts w:ascii="Times New Roman" w:hAnsi="Times New Roman" w:eastAsiaTheme="minorEastAsia"/>
          <w:sz w:val="28"/>
          <w:szCs w:val="28"/>
        </w:rPr>
        <w:t>后进入酯化反应器底部，在压力 0.1MPa，温度95</w:t>
      </w:r>
      <w:r>
        <w:rPr>
          <w:rFonts w:ascii="Times New Roman" w:hAnsi="Times New Roman"/>
          <w:sz w:val="28"/>
          <w:szCs w:val="28"/>
        </w:rPr>
        <w:t>℃</w:t>
      </w:r>
      <w:r>
        <w:rPr>
          <w:rFonts w:ascii="Times New Roman" w:hAnsi="Times New Roman" w:eastAsiaTheme="minorEastAsia"/>
          <w:sz w:val="28"/>
          <w:szCs w:val="28"/>
        </w:rPr>
        <w:t xml:space="preserve">及催化剂作用下进行酯化反应生成甲基丙烯酸甲醋(MMA)。 </w:t>
      </w:r>
    </w:p>
    <w:p>
      <w:pPr>
        <w:ind w:firstLine="561"/>
        <w:rPr>
          <w:rFonts w:ascii="Times New Roman" w:hAnsi="Times New Roman" w:eastAsiaTheme="minorEastAsia"/>
          <w:sz w:val="28"/>
          <w:szCs w:val="28"/>
        </w:rPr>
      </w:pPr>
    </w:p>
    <w:p>
      <w:pPr>
        <w:spacing w:line="240" w:lineRule="atLeast"/>
        <w:rPr>
          <w:rFonts w:ascii="Times New Roman" w:hAnsi="Times New Roman" w:eastAsia="黑体"/>
          <w:b/>
          <w:sz w:val="24"/>
          <w:szCs w:val="24"/>
        </w:rPr>
      </w:pPr>
      <w:r>
        <w:rPr>
          <w:rFonts w:ascii="Times New Roman" w:hAnsi="Times New Roman"/>
          <w:sz w:val="28"/>
          <w:szCs w:val="28"/>
        </w:rPr>
        <w:drawing>
          <wp:inline distT="0" distB="0" distL="0" distR="0">
            <wp:extent cx="5759450" cy="10369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59450" cy="1036955"/>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eastAsiaTheme="minorEastAsia"/>
          <w:b/>
          <w:sz w:val="24"/>
          <w:szCs w:val="24"/>
        </w:rPr>
        <w:t xml:space="preserve"> </w:t>
      </w:r>
      <w:r>
        <w:rPr>
          <w:rFonts w:ascii="Times New Roman" w:hAnsi="Times New Roman" w:eastAsia="黑体"/>
          <w:b/>
          <w:sz w:val="24"/>
          <w:szCs w:val="24"/>
        </w:rPr>
        <w:t>图3.1-5   酯化反应制甲基丙烯酸甲酯工艺流程及产污环节示意图</w:t>
      </w:r>
    </w:p>
    <w:p>
      <w:pPr>
        <w:pStyle w:val="33"/>
        <w:adjustRightInd w:val="0"/>
        <w:snapToGrid w:val="0"/>
      </w:pPr>
      <w:r>
        <w:t>3.1.3.3  产污环节及污染防治措施</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中原大化1000 MMA合成中试开发项目主要产污环节及治理措施可见表3.1-15。</w:t>
      </w:r>
    </w:p>
    <w:p>
      <w:pPr>
        <w:pStyle w:val="32"/>
        <w:ind w:firstLine="439" w:firstLineChars="182"/>
      </w:pPr>
    </w:p>
    <w:p>
      <w:pPr>
        <w:pStyle w:val="32"/>
        <w:ind w:firstLine="439" w:firstLineChars="182"/>
      </w:pPr>
    </w:p>
    <w:p>
      <w:pPr>
        <w:pStyle w:val="32"/>
        <w:ind w:firstLine="439" w:firstLineChars="182"/>
      </w:pPr>
      <w:r>
        <w:t>表3.1-15     1000 MMA合成中试开发项目主要污染物产污环节一览表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681"/>
        <w:gridCol w:w="2875"/>
        <w:gridCol w:w="2919"/>
        <w:gridCol w:w="20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Align w:val="center"/>
          </w:tcPr>
          <w:p>
            <w:pPr>
              <w:snapToGrid w:val="0"/>
              <w:jc w:val="center"/>
              <w:outlineLvl w:val="0"/>
              <w:rPr>
                <w:rFonts w:ascii="Times New Roman" w:hAnsi="Times New Roman" w:eastAsiaTheme="minorEastAsia"/>
                <w:b/>
                <w:szCs w:val="21"/>
              </w:rPr>
            </w:pPr>
            <w:r>
              <w:rPr>
                <w:rFonts w:ascii="Times New Roman" w:hAnsi="Times New Roman" w:eastAsiaTheme="minorEastAsia"/>
                <w:b/>
                <w:szCs w:val="21"/>
              </w:rPr>
              <w:t>类别</w:t>
            </w:r>
          </w:p>
        </w:tc>
        <w:tc>
          <w:tcPr>
            <w:tcW w:w="371" w:type="pct"/>
            <w:shd w:val="clear" w:color="auto" w:fill="auto"/>
            <w:vAlign w:val="center"/>
          </w:tcPr>
          <w:p>
            <w:pPr>
              <w:snapToGrid w:val="0"/>
              <w:jc w:val="center"/>
              <w:outlineLvl w:val="0"/>
              <w:rPr>
                <w:rFonts w:ascii="Times New Roman" w:hAnsi="Times New Roman" w:eastAsiaTheme="minorEastAsia"/>
                <w:b/>
                <w:szCs w:val="21"/>
              </w:rPr>
            </w:pPr>
            <w:r>
              <w:rPr>
                <w:rFonts w:ascii="Times New Roman" w:hAnsi="Times New Roman" w:eastAsiaTheme="minorEastAsia"/>
                <w:b/>
                <w:szCs w:val="21"/>
              </w:rPr>
              <w:t>序号</w:t>
            </w:r>
          </w:p>
        </w:tc>
        <w:tc>
          <w:tcPr>
            <w:tcW w:w="1567" w:type="pct"/>
            <w:shd w:val="clear" w:color="auto" w:fill="auto"/>
            <w:vAlign w:val="center"/>
          </w:tcPr>
          <w:p>
            <w:pPr>
              <w:snapToGrid w:val="0"/>
              <w:jc w:val="center"/>
              <w:outlineLvl w:val="0"/>
              <w:rPr>
                <w:rFonts w:ascii="Times New Roman" w:hAnsi="Times New Roman" w:eastAsiaTheme="minorEastAsia"/>
                <w:b/>
                <w:szCs w:val="21"/>
              </w:rPr>
            </w:pPr>
            <w:r>
              <w:rPr>
                <w:rFonts w:ascii="Times New Roman" w:hAnsi="Times New Roman" w:eastAsiaTheme="minorEastAsia"/>
                <w:b/>
                <w:szCs w:val="21"/>
              </w:rPr>
              <w:t>产污环节</w:t>
            </w:r>
          </w:p>
        </w:tc>
        <w:tc>
          <w:tcPr>
            <w:tcW w:w="1591" w:type="pct"/>
            <w:shd w:val="clear" w:color="auto" w:fill="auto"/>
            <w:vAlign w:val="center"/>
          </w:tcPr>
          <w:p>
            <w:pPr>
              <w:snapToGrid w:val="0"/>
              <w:jc w:val="center"/>
              <w:outlineLvl w:val="0"/>
              <w:rPr>
                <w:rFonts w:ascii="Times New Roman" w:hAnsi="Times New Roman" w:eastAsiaTheme="minorEastAsia"/>
                <w:b/>
                <w:szCs w:val="21"/>
              </w:rPr>
            </w:pPr>
            <w:r>
              <w:rPr>
                <w:rFonts w:ascii="Times New Roman" w:hAnsi="Times New Roman" w:eastAsiaTheme="minorEastAsia"/>
                <w:b/>
                <w:szCs w:val="21"/>
              </w:rPr>
              <w:t>污染因子</w:t>
            </w:r>
          </w:p>
        </w:tc>
        <w:tc>
          <w:tcPr>
            <w:tcW w:w="1101" w:type="pct"/>
            <w:shd w:val="clear" w:color="auto" w:fill="auto"/>
            <w:vAlign w:val="center"/>
          </w:tcPr>
          <w:p>
            <w:pPr>
              <w:snapToGrid w:val="0"/>
              <w:jc w:val="center"/>
              <w:outlineLvl w:val="0"/>
              <w:rPr>
                <w:rFonts w:ascii="Times New Roman" w:hAnsi="Times New Roman" w:eastAsiaTheme="minorEastAsia"/>
                <w:b/>
                <w:szCs w:val="21"/>
              </w:rPr>
            </w:pPr>
            <w:r>
              <w:rPr>
                <w:rFonts w:ascii="Times New Roman" w:hAnsi="Times New Roman" w:eastAsiaTheme="minorEastAsia"/>
                <w:b/>
                <w:szCs w:val="21"/>
              </w:rPr>
              <w:t>治理措施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restart"/>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废气</w:t>
            </w: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w:t>
            </w:r>
          </w:p>
        </w:tc>
        <w:tc>
          <w:tcPr>
            <w:tcW w:w="1567"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粗丙醛绝热闪蒸不凝气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丙醛、乙烯、一氧化碳、氢气</w:t>
            </w:r>
          </w:p>
        </w:tc>
        <w:tc>
          <w:tcPr>
            <w:tcW w:w="1101" w:type="pct"/>
            <w:vMerge w:val="restart"/>
            <w:shd w:val="clear" w:color="auto" w:fill="auto"/>
            <w:vAlign w:val="center"/>
          </w:tcPr>
          <w:p>
            <w:pPr>
              <w:snapToGrid w:val="0"/>
              <w:ind w:firstLine="31" w:firstLineChars="15"/>
              <w:jc w:val="center"/>
              <w:outlineLvl w:val="0"/>
              <w:rPr>
                <w:rFonts w:ascii="Times New Roman" w:hAnsi="Times New Roman" w:eastAsiaTheme="minorEastAsia"/>
                <w:szCs w:val="21"/>
              </w:rPr>
            </w:pPr>
            <w:r>
              <w:rPr>
                <w:rFonts w:ascii="Times New Roman" w:hAnsi="Times New Roman" w:eastAsiaTheme="minorEastAsia"/>
                <w:szCs w:val="21"/>
              </w:rPr>
              <w:t>管道输送至甲醇项目火炬系统焚烧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2</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乙烯汽提塔不凝气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乙烯、丙醛、氮气</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3</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丙醛精馏塔不凝气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丙醛、甲苯</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4</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羟酸缩合反应不凝气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甲醛、甲基丙烯醛</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5</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甲基丙烯酸吸收塔不凝气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一氧化碳、二氧化碳、甲基丙烯醛、甲基丙烯酸、乙酸</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6</w:t>
            </w:r>
          </w:p>
        </w:tc>
        <w:tc>
          <w:tcPr>
            <w:tcW w:w="1567"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甲基丙烯酸汽提塔不凝气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7</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真空泵尾气</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丙醛、甲基丙烯醛、正己烷</w:t>
            </w:r>
          </w:p>
        </w:tc>
        <w:tc>
          <w:tcPr>
            <w:tcW w:w="1101" w:type="pct"/>
            <w:vMerge w:val="continue"/>
            <w:shd w:val="clear" w:color="auto" w:fill="auto"/>
            <w:vAlign w:val="center"/>
          </w:tcPr>
          <w:p>
            <w:pPr>
              <w:snapToGrid w:val="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restart"/>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废水</w:t>
            </w: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8</w:t>
            </w:r>
          </w:p>
        </w:tc>
        <w:tc>
          <w:tcPr>
            <w:tcW w:w="1567"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羟醛缩合催化剂回收塔废水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pH、COD、BOD</w:t>
            </w:r>
          </w:p>
        </w:tc>
        <w:tc>
          <w:tcPr>
            <w:tcW w:w="1101" w:type="pct"/>
            <w:vMerge w:val="restart"/>
            <w:shd w:val="clear" w:color="auto" w:fill="auto"/>
            <w:vAlign w:val="center"/>
          </w:tcPr>
          <w:p>
            <w:pPr>
              <w:snapToGrid w:val="0"/>
              <w:ind w:firstLine="31" w:firstLineChars="15"/>
              <w:jc w:val="center"/>
              <w:outlineLvl w:val="0"/>
              <w:rPr>
                <w:rFonts w:ascii="Times New Roman" w:hAnsi="Times New Roman" w:eastAsiaTheme="minorEastAsia"/>
                <w:szCs w:val="21"/>
              </w:rPr>
            </w:pPr>
            <w:r>
              <w:rPr>
                <w:rFonts w:ascii="Times New Roman" w:hAnsi="Times New Roman" w:eastAsiaTheme="minorEastAsia"/>
                <w:szCs w:val="21"/>
              </w:rPr>
              <w:t>进入中原大化公司污水处理厂处理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9</w:t>
            </w:r>
          </w:p>
        </w:tc>
        <w:tc>
          <w:tcPr>
            <w:tcW w:w="1567"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甲基丙烯酸萃取分离塔废水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pH、COD、BOD</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10</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萃取剂回收塔废水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pH、COD、BOD</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11</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甲醇回收塔废水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pH、COD、BOD</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12</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分析实验室废水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pH、COD、BOD、SS</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13</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真空泵废水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pH、COD、盐分</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14</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生活污水</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COD、BOD、NH</w:t>
            </w:r>
            <w:r>
              <w:rPr>
                <w:rFonts w:ascii="Times New Roman" w:hAnsi="Times New Roman" w:eastAsiaTheme="minorEastAsia"/>
                <w:szCs w:val="21"/>
                <w:vertAlign w:val="subscript"/>
              </w:rPr>
              <w:t>3</w:t>
            </w:r>
            <w:r>
              <w:rPr>
                <w:rFonts w:ascii="Times New Roman" w:hAnsi="Times New Roman" w:eastAsiaTheme="minorEastAsia"/>
                <w:szCs w:val="21"/>
              </w:rPr>
              <w:t>-N、SS</w:t>
            </w:r>
          </w:p>
        </w:tc>
        <w:tc>
          <w:tcPr>
            <w:tcW w:w="1101" w:type="pct"/>
            <w:vMerge w:val="continue"/>
            <w:shd w:val="clear" w:color="auto" w:fill="auto"/>
            <w:vAlign w:val="center"/>
          </w:tcPr>
          <w:p>
            <w:pPr>
              <w:snapToGrid w:val="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restart"/>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固废</w:t>
            </w: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15</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失活催化剂回收罐</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废催化剂</w:t>
            </w:r>
          </w:p>
        </w:tc>
        <w:tc>
          <w:tcPr>
            <w:tcW w:w="110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由原催化剂厂家回收再生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16</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甲基丙烯醛汽提塔重组分</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甲基丙烯醛、2甲基2戊烯醛</w:t>
            </w:r>
          </w:p>
        </w:tc>
        <w:tc>
          <w:tcPr>
            <w:tcW w:w="1101" w:type="pct"/>
            <w:vMerge w:val="restart"/>
            <w:shd w:val="clear" w:color="auto" w:fill="auto"/>
            <w:vAlign w:val="center"/>
          </w:tcPr>
          <w:p>
            <w:pPr>
              <w:snapToGrid w:val="0"/>
              <w:outlineLvl w:val="0"/>
              <w:rPr>
                <w:rFonts w:ascii="Times New Roman" w:hAnsi="Times New Roman" w:eastAsiaTheme="minorEastAsia"/>
                <w:szCs w:val="21"/>
              </w:rPr>
            </w:pPr>
            <w:r>
              <w:rPr>
                <w:rFonts w:ascii="Times New Roman" w:hAnsi="Times New Roman" w:eastAsiaTheme="minorEastAsia"/>
                <w:szCs w:val="21"/>
              </w:rPr>
              <w:t>交由有相应处理资质的单位代为处置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17</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甲基丙烯酸汽提塔重组分</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甲基丙烯酸、其他重组分</w:t>
            </w:r>
          </w:p>
        </w:tc>
        <w:tc>
          <w:tcPr>
            <w:tcW w:w="1101" w:type="pct"/>
            <w:vMerge w:val="continue"/>
            <w:shd w:val="clear" w:color="auto" w:fill="auto"/>
            <w:vAlign w:val="center"/>
          </w:tcPr>
          <w:p>
            <w:pPr>
              <w:snapToGrid w:val="0"/>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18</w:t>
            </w:r>
          </w:p>
        </w:tc>
        <w:tc>
          <w:tcPr>
            <w:tcW w:w="1567"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甲基丙烯酸甲酯精馏重组分</w:t>
            </w:r>
          </w:p>
        </w:tc>
        <w:tc>
          <w:tcPr>
            <w:tcW w:w="1591" w:type="pct"/>
            <w:shd w:val="clear" w:color="auto" w:fill="auto"/>
            <w:tcMar>
              <w:left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甲基丙烯酸甲酯、其他重组分</w:t>
            </w:r>
          </w:p>
        </w:tc>
        <w:tc>
          <w:tcPr>
            <w:tcW w:w="1101" w:type="pct"/>
            <w:vMerge w:val="continue"/>
            <w:shd w:val="clear" w:color="auto" w:fill="auto"/>
            <w:vAlign w:val="center"/>
          </w:tcPr>
          <w:p>
            <w:pPr>
              <w:snapToGrid w:val="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19</w:t>
            </w:r>
          </w:p>
        </w:tc>
        <w:tc>
          <w:tcPr>
            <w:tcW w:w="1567"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办公生活</w:t>
            </w:r>
          </w:p>
        </w:tc>
        <w:tc>
          <w:tcPr>
            <w:tcW w:w="159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生活垃圾</w:t>
            </w:r>
          </w:p>
        </w:tc>
        <w:tc>
          <w:tcPr>
            <w:tcW w:w="110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环卫部门统一处理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restart"/>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噪声</w:t>
            </w: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20</w:t>
            </w:r>
          </w:p>
        </w:tc>
        <w:tc>
          <w:tcPr>
            <w:tcW w:w="1567" w:type="pct"/>
            <w:shd w:val="clear" w:color="auto" w:fill="auto"/>
            <w:vAlign w:val="center"/>
          </w:tcPr>
          <w:p>
            <w:pPr>
              <w:jc w:val="center"/>
              <w:rPr>
                <w:rFonts w:ascii="Times New Roman" w:hAnsi="Times New Roman"/>
                <w:szCs w:val="21"/>
              </w:rPr>
            </w:pPr>
            <w:r>
              <w:rPr>
                <w:rFonts w:ascii="Times New Roman" w:hAnsi="Times New Roman"/>
                <w:szCs w:val="21"/>
              </w:rPr>
              <w:t>物料泵</w:t>
            </w:r>
          </w:p>
        </w:tc>
        <w:tc>
          <w:tcPr>
            <w:tcW w:w="1591" w:type="pct"/>
            <w:vMerge w:val="restar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噪声</w:t>
            </w:r>
          </w:p>
        </w:tc>
        <w:tc>
          <w:tcPr>
            <w:tcW w:w="1101" w:type="pct"/>
            <w:shd w:val="clear" w:color="auto" w:fill="auto"/>
            <w:vAlign w:val="center"/>
          </w:tcPr>
          <w:p>
            <w:pPr>
              <w:jc w:val="center"/>
              <w:rPr>
                <w:rFonts w:ascii="Times New Roman" w:hAnsi="Times New Roman"/>
                <w:szCs w:val="21"/>
              </w:rPr>
            </w:pPr>
            <w:r>
              <w:rPr>
                <w:rFonts w:ascii="Times New Roman" w:hAnsi="Times New Roman"/>
                <w:szCs w:val="21"/>
              </w:rPr>
              <w:t>基础减振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21</w:t>
            </w:r>
          </w:p>
        </w:tc>
        <w:tc>
          <w:tcPr>
            <w:tcW w:w="1567" w:type="pct"/>
            <w:shd w:val="clear" w:color="auto" w:fill="auto"/>
            <w:vAlign w:val="center"/>
          </w:tcPr>
          <w:p>
            <w:pPr>
              <w:jc w:val="center"/>
              <w:rPr>
                <w:rFonts w:ascii="Times New Roman" w:hAnsi="Times New Roman"/>
                <w:szCs w:val="21"/>
              </w:rPr>
            </w:pPr>
            <w:r>
              <w:rPr>
                <w:rFonts w:ascii="Times New Roman" w:hAnsi="Times New Roman"/>
                <w:szCs w:val="21"/>
              </w:rPr>
              <w:t>水泵</w:t>
            </w:r>
          </w:p>
        </w:tc>
        <w:tc>
          <w:tcPr>
            <w:tcW w:w="1591" w:type="pct"/>
            <w:vMerge w:val="continue"/>
            <w:shd w:val="clear" w:color="auto" w:fill="auto"/>
            <w:vAlign w:val="center"/>
          </w:tcPr>
          <w:p>
            <w:pPr>
              <w:snapToGrid w:val="0"/>
              <w:jc w:val="center"/>
              <w:outlineLvl w:val="0"/>
              <w:rPr>
                <w:rFonts w:ascii="Times New Roman" w:hAnsi="Times New Roman" w:eastAsiaTheme="minorEastAsia"/>
                <w:szCs w:val="21"/>
              </w:rPr>
            </w:pPr>
          </w:p>
        </w:tc>
        <w:tc>
          <w:tcPr>
            <w:tcW w:w="1101" w:type="pct"/>
            <w:shd w:val="clear" w:color="auto" w:fill="auto"/>
            <w:vAlign w:val="center"/>
          </w:tcPr>
          <w:p>
            <w:pPr>
              <w:jc w:val="center"/>
              <w:rPr>
                <w:rFonts w:ascii="Times New Roman" w:hAnsi="Times New Roman"/>
                <w:szCs w:val="21"/>
              </w:rPr>
            </w:pPr>
            <w:r>
              <w:rPr>
                <w:rFonts w:ascii="Times New Roman" w:hAnsi="Times New Roman"/>
                <w:szCs w:val="21"/>
              </w:rPr>
              <w:t>基础减振、隔声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22</w:t>
            </w:r>
          </w:p>
        </w:tc>
        <w:tc>
          <w:tcPr>
            <w:tcW w:w="1567" w:type="pct"/>
            <w:shd w:val="clear" w:color="auto" w:fill="auto"/>
            <w:vAlign w:val="center"/>
          </w:tcPr>
          <w:p>
            <w:pPr>
              <w:jc w:val="center"/>
              <w:rPr>
                <w:rFonts w:ascii="Times New Roman" w:hAnsi="Times New Roman"/>
                <w:szCs w:val="21"/>
              </w:rPr>
            </w:pPr>
            <w:r>
              <w:rPr>
                <w:rFonts w:ascii="Times New Roman" w:hAnsi="Times New Roman"/>
                <w:szCs w:val="21"/>
              </w:rPr>
              <w:t>真空泵</w:t>
            </w:r>
          </w:p>
        </w:tc>
        <w:tc>
          <w:tcPr>
            <w:tcW w:w="1591" w:type="pct"/>
            <w:vMerge w:val="continue"/>
            <w:shd w:val="clear" w:color="auto" w:fill="auto"/>
            <w:vAlign w:val="center"/>
          </w:tcPr>
          <w:p>
            <w:pPr>
              <w:snapToGrid w:val="0"/>
              <w:jc w:val="center"/>
              <w:outlineLvl w:val="0"/>
              <w:rPr>
                <w:rFonts w:ascii="Times New Roman" w:hAnsi="Times New Roman" w:eastAsiaTheme="minorEastAsia"/>
                <w:szCs w:val="21"/>
              </w:rPr>
            </w:pPr>
          </w:p>
        </w:tc>
        <w:tc>
          <w:tcPr>
            <w:tcW w:w="1101" w:type="pct"/>
            <w:shd w:val="clear" w:color="auto" w:fill="auto"/>
            <w:vAlign w:val="center"/>
          </w:tcPr>
          <w:p>
            <w:pPr>
              <w:jc w:val="center"/>
              <w:rPr>
                <w:rFonts w:ascii="Times New Roman" w:hAnsi="Times New Roman"/>
                <w:szCs w:val="21"/>
              </w:rPr>
            </w:pPr>
            <w:r>
              <w:rPr>
                <w:rFonts w:ascii="Times New Roman" w:hAnsi="Times New Roman"/>
                <w:szCs w:val="21"/>
              </w:rPr>
              <w:t>基础减振、隔声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vMerge w:val="continue"/>
            <w:vAlign w:val="center"/>
          </w:tcPr>
          <w:p>
            <w:pPr>
              <w:snapToGrid w:val="0"/>
              <w:jc w:val="center"/>
              <w:outlineLvl w:val="0"/>
              <w:rPr>
                <w:rFonts w:ascii="Times New Roman" w:hAnsi="Times New Roman" w:eastAsiaTheme="minorEastAsia"/>
                <w:szCs w:val="21"/>
              </w:rPr>
            </w:pPr>
          </w:p>
        </w:tc>
        <w:tc>
          <w:tcPr>
            <w:tcW w:w="371" w:type="pct"/>
            <w:shd w:val="clear" w:color="auto" w:fill="auto"/>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23</w:t>
            </w:r>
          </w:p>
        </w:tc>
        <w:tc>
          <w:tcPr>
            <w:tcW w:w="1567" w:type="pct"/>
            <w:shd w:val="clear" w:color="auto" w:fill="auto"/>
            <w:vAlign w:val="center"/>
          </w:tcPr>
          <w:p>
            <w:pPr>
              <w:jc w:val="center"/>
              <w:rPr>
                <w:rFonts w:ascii="Times New Roman" w:hAnsi="Times New Roman"/>
                <w:szCs w:val="21"/>
              </w:rPr>
            </w:pPr>
            <w:r>
              <w:rPr>
                <w:rFonts w:ascii="Times New Roman" w:hAnsi="Times New Roman"/>
                <w:szCs w:val="21"/>
              </w:rPr>
              <w:t>压缩机</w:t>
            </w:r>
          </w:p>
        </w:tc>
        <w:tc>
          <w:tcPr>
            <w:tcW w:w="1591" w:type="pct"/>
            <w:vMerge w:val="continue"/>
            <w:shd w:val="clear" w:color="auto" w:fill="auto"/>
            <w:vAlign w:val="center"/>
          </w:tcPr>
          <w:p>
            <w:pPr>
              <w:snapToGrid w:val="0"/>
              <w:jc w:val="center"/>
              <w:outlineLvl w:val="0"/>
              <w:rPr>
                <w:rFonts w:ascii="Times New Roman" w:hAnsi="Times New Roman" w:eastAsiaTheme="minorEastAsia"/>
                <w:szCs w:val="21"/>
              </w:rPr>
            </w:pPr>
          </w:p>
        </w:tc>
        <w:tc>
          <w:tcPr>
            <w:tcW w:w="1101" w:type="pct"/>
            <w:shd w:val="clear" w:color="auto" w:fill="auto"/>
            <w:vAlign w:val="center"/>
          </w:tcPr>
          <w:p>
            <w:pPr>
              <w:jc w:val="center"/>
              <w:rPr>
                <w:rFonts w:ascii="Times New Roman" w:hAnsi="Times New Roman"/>
                <w:szCs w:val="21"/>
              </w:rPr>
            </w:pPr>
            <w:r>
              <w:rPr>
                <w:rFonts w:ascii="Times New Roman" w:hAnsi="Times New Roman"/>
                <w:szCs w:val="21"/>
              </w:rPr>
              <w:t>基础减振、隔声</w:t>
            </w:r>
          </w:p>
        </w:tc>
      </w:tr>
    </w:tbl>
    <w:p>
      <w:pPr>
        <w:pStyle w:val="33"/>
        <w:adjustRightInd w:val="0"/>
        <w:snapToGrid w:val="0"/>
      </w:pPr>
      <w:r>
        <w:t>3.1.3.4  污染物排放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1000</w:t>
      </w:r>
      <w:r>
        <w:rPr>
          <w:rFonts w:hint="eastAsia" w:ascii="Times New Roman" w:hAnsi="Times New Roman" w:eastAsiaTheme="minorEastAsia"/>
          <w:sz w:val="28"/>
          <w:szCs w:val="28"/>
        </w:rPr>
        <w:t xml:space="preserve"> </w:t>
      </w:r>
      <w:r>
        <w:rPr>
          <w:rFonts w:ascii="Times New Roman" w:hAnsi="Times New Roman" w:eastAsiaTheme="minorEastAsia"/>
          <w:sz w:val="28"/>
          <w:szCs w:val="28"/>
        </w:rPr>
        <w:t>MMA合成中试开发项目废气、废水污染物均依托30万吨甲醇项目处理，此次污染物排放情况参考利用MMA合成中试开发项目环评报告及厂区30万吨甲醇项目相关监测数据。</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（1）废气</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有组织废气</w:t>
      </w:r>
    </w:p>
    <w:p>
      <w:pPr>
        <w:spacing w:line="520" w:lineRule="exact"/>
        <w:ind w:firstLine="560" w:firstLineChars="200"/>
        <w:rPr>
          <w:rFonts w:ascii="Times New Roman" w:hAnsi="Times New Roman"/>
          <w:sz w:val="28"/>
          <w:szCs w:val="28"/>
        </w:rPr>
      </w:pPr>
      <w:r>
        <w:rPr>
          <w:rFonts w:ascii="Times New Roman" w:hAnsi="Times New Roman"/>
          <w:sz w:val="28"/>
          <w:szCs w:val="28"/>
        </w:rPr>
        <w:t>项目装置工艺废气主要为塔顶不凝气及真空泵尾气，主要污染物为甲醇、甲醛、丙醛乙烯、甲基丙烯醛、甲基丙烯酸等有机物，通过管道将废气送至低压火炬气总管，统一全部送到甲醇项目火炬系统焚烧处理，燃烧后主要物质为H</w:t>
      </w:r>
      <w:r>
        <w:rPr>
          <w:rFonts w:ascii="Times New Roman" w:hAnsi="Times New Roman"/>
          <w:sz w:val="28"/>
          <w:szCs w:val="28"/>
          <w:vertAlign w:val="subscript"/>
        </w:rPr>
        <w:t>2</w:t>
      </w:r>
      <w:r>
        <w:rPr>
          <w:rFonts w:ascii="Times New Roman" w:hAnsi="Times New Roman"/>
          <w:sz w:val="28"/>
          <w:szCs w:val="28"/>
        </w:rPr>
        <w:t>O、CO</w:t>
      </w:r>
      <w:r>
        <w:rPr>
          <w:rFonts w:ascii="Times New Roman" w:hAnsi="Times New Roman"/>
          <w:sz w:val="28"/>
          <w:szCs w:val="28"/>
          <w:vertAlign w:val="subscript"/>
        </w:rPr>
        <w:t>2</w:t>
      </w:r>
      <w:r>
        <w:rPr>
          <w:rFonts w:ascii="Times New Roman" w:hAnsi="Times New Roman"/>
          <w:sz w:val="28"/>
          <w:szCs w:val="28"/>
        </w:rPr>
        <w:t>等。各尾气产生情况见表3.1-16。</w:t>
      </w:r>
    </w:p>
    <w:p>
      <w:pPr>
        <w:pStyle w:val="32"/>
        <w:ind w:firstLine="439" w:firstLineChars="182"/>
        <w:rPr>
          <w:b w:val="0"/>
          <w:bCs/>
        </w:rPr>
      </w:pPr>
      <w:r>
        <w:t xml:space="preserve"> 表3.1-16        项目装置主要尾气产生及治理情况一览表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2586"/>
        <w:gridCol w:w="2584"/>
        <w:gridCol w:w="1681"/>
        <w:gridCol w:w="166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362" w:type="pct"/>
            <w:shd w:val="clear" w:color="auto" w:fill="auto"/>
            <w:vAlign w:val="center"/>
          </w:tcPr>
          <w:p>
            <w:pPr>
              <w:snapToGrid w:val="0"/>
              <w:spacing w:line="300" w:lineRule="exact"/>
              <w:jc w:val="center"/>
              <w:outlineLvl w:val="0"/>
              <w:rPr>
                <w:rFonts w:ascii="Times New Roman" w:hAnsi="Times New Roman" w:eastAsiaTheme="minorEastAsia"/>
                <w:b/>
                <w:szCs w:val="21"/>
              </w:rPr>
            </w:pPr>
            <w:r>
              <w:rPr>
                <w:rFonts w:ascii="Times New Roman" w:hAnsi="Times New Roman" w:eastAsiaTheme="minorEastAsia"/>
                <w:b/>
                <w:szCs w:val="21"/>
              </w:rPr>
              <w:t>序号</w:t>
            </w:r>
          </w:p>
        </w:tc>
        <w:tc>
          <w:tcPr>
            <w:tcW w:w="1409" w:type="pct"/>
            <w:shd w:val="clear" w:color="auto" w:fill="auto"/>
            <w:vAlign w:val="center"/>
          </w:tcPr>
          <w:p>
            <w:pPr>
              <w:snapToGrid w:val="0"/>
              <w:spacing w:line="300" w:lineRule="exact"/>
              <w:jc w:val="center"/>
              <w:outlineLvl w:val="0"/>
              <w:rPr>
                <w:rFonts w:ascii="Times New Roman" w:hAnsi="Times New Roman" w:eastAsiaTheme="minorEastAsia"/>
                <w:b/>
                <w:szCs w:val="21"/>
              </w:rPr>
            </w:pPr>
            <w:r>
              <w:rPr>
                <w:rFonts w:ascii="Times New Roman" w:hAnsi="Times New Roman" w:eastAsiaTheme="minorEastAsia"/>
                <w:b/>
                <w:szCs w:val="21"/>
              </w:rPr>
              <w:t>产污环节</w:t>
            </w:r>
          </w:p>
        </w:tc>
        <w:tc>
          <w:tcPr>
            <w:tcW w:w="1408" w:type="pct"/>
            <w:vAlign w:val="center"/>
          </w:tcPr>
          <w:p>
            <w:pPr>
              <w:snapToGrid w:val="0"/>
              <w:spacing w:line="300" w:lineRule="exact"/>
              <w:jc w:val="center"/>
              <w:outlineLvl w:val="0"/>
              <w:rPr>
                <w:rFonts w:ascii="Times New Roman" w:hAnsi="Times New Roman" w:eastAsiaTheme="minorEastAsia"/>
                <w:b/>
                <w:szCs w:val="21"/>
              </w:rPr>
            </w:pPr>
            <w:r>
              <w:rPr>
                <w:rFonts w:ascii="Times New Roman" w:hAnsi="Times New Roman" w:eastAsiaTheme="minorEastAsia"/>
                <w:b/>
                <w:szCs w:val="21"/>
              </w:rPr>
              <w:t>污染物</w:t>
            </w:r>
          </w:p>
        </w:tc>
        <w:tc>
          <w:tcPr>
            <w:tcW w:w="916" w:type="pct"/>
          </w:tcPr>
          <w:p>
            <w:pPr>
              <w:snapToGrid w:val="0"/>
              <w:spacing w:line="260" w:lineRule="exact"/>
              <w:jc w:val="center"/>
              <w:outlineLvl w:val="0"/>
              <w:rPr>
                <w:rFonts w:ascii="Times New Roman" w:hAnsi="Times New Roman" w:eastAsiaTheme="minorEastAsia"/>
                <w:b/>
                <w:szCs w:val="21"/>
              </w:rPr>
            </w:pPr>
            <w:r>
              <w:rPr>
                <w:rFonts w:ascii="Times New Roman" w:hAnsi="Times New Roman" w:eastAsiaTheme="minorEastAsia"/>
                <w:b/>
                <w:szCs w:val="21"/>
              </w:rPr>
              <w:t>产生速率</w:t>
            </w:r>
          </w:p>
          <w:p>
            <w:pPr>
              <w:snapToGrid w:val="0"/>
              <w:spacing w:line="260" w:lineRule="exact"/>
              <w:jc w:val="center"/>
              <w:outlineLvl w:val="0"/>
              <w:rPr>
                <w:rFonts w:ascii="Times New Roman" w:hAnsi="Times New Roman" w:eastAsiaTheme="minorEastAsia"/>
                <w:b/>
                <w:szCs w:val="21"/>
              </w:rPr>
            </w:pPr>
            <w:r>
              <w:rPr>
                <w:rFonts w:ascii="Times New Roman" w:hAnsi="Times New Roman" w:eastAsiaTheme="minorEastAsia"/>
                <w:b/>
                <w:szCs w:val="21"/>
              </w:rPr>
              <w:t>kg/h</w:t>
            </w:r>
          </w:p>
        </w:tc>
        <w:tc>
          <w:tcPr>
            <w:tcW w:w="905" w:type="pct"/>
            <w:shd w:val="clear" w:color="auto" w:fill="auto"/>
            <w:vAlign w:val="center"/>
          </w:tcPr>
          <w:p>
            <w:pPr>
              <w:snapToGrid w:val="0"/>
              <w:spacing w:line="260" w:lineRule="exact"/>
              <w:jc w:val="center"/>
              <w:outlineLvl w:val="0"/>
              <w:rPr>
                <w:rFonts w:ascii="Times New Roman" w:hAnsi="Times New Roman" w:eastAsiaTheme="minorEastAsia"/>
                <w:b/>
                <w:szCs w:val="21"/>
              </w:rPr>
            </w:pPr>
            <w:r>
              <w:rPr>
                <w:rFonts w:ascii="Times New Roman" w:hAnsi="Times New Roman" w:eastAsiaTheme="minorEastAsia"/>
                <w:b/>
                <w:szCs w:val="21"/>
              </w:rPr>
              <w:t>治理措施及污染物去向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1</w:t>
            </w:r>
          </w:p>
        </w:tc>
        <w:tc>
          <w:tcPr>
            <w:tcW w:w="1409" w:type="pct"/>
            <w:vMerge w:val="restart"/>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粗丙醛绝热闪蒸不凝气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1.016</w:t>
            </w:r>
          </w:p>
        </w:tc>
        <w:tc>
          <w:tcPr>
            <w:tcW w:w="905" w:type="pct"/>
            <w:vMerge w:val="restart"/>
            <w:shd w:val="clear" w:color="auto" w:fill="auto"/>
            <w:vAlign w:val="center"/>
          </w:tcPr>
          <w:p>
            <w:pPr>
              <w:snapToGrid w:val="0"/>
              <w:spacing w:line="340" w:lineRule="exact"/>
              <w:ind w:firstLine="31" w:firstLineChars="15"/>
              <w:jc w:val="center"/>
              <w:outlineLvl w:val="0"/>
              <w:rPr>
                <w:rFonts w:ascii="Times New Roman" w:hAnsi="Times New Roman" w:eastAsiaTheme="minorEastAsia"/>
                <w:szCs w:val="21"/>
              </w:rPr>
            </w:pPr>
            <w:r>
              <w:rPr>
                <w:rFonts w:ascii="Times New Roman" w:hAnsi="Times New Roman" w:eastAsiaTheme="minorEastAsia"/>
                <w:szCs w:val="21"/>
              </w:rPr>
              <w:t>管道输送至火炬系统焚烧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乙烯</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2.857</w:t>
            </w:r>
          </w:p>
        </w:tc>
        <w:tc>
          <w:tcPr>
            <w:tcW w:w="905" w:type="pct"/>
            <w:vMerge w:val="continue"/>
            <w:shd w:val="clear" w:color="auto" w:fill="auto"/>
            <w:vAlign w:val="center"/>
          </w:tcPr>
          <w:p>
            <w:pPr>
              <w:snapToGrid w:val="0"/>
              <w:spacing w:line="240" w:lineRule="exact"/>
              <w:ind w:firstLine="31" w:firstLineChars="15"/>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氢气</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0.014</w:t>
            </w:r>
          </w:p>
        </w:tc>
        <w:tc>
          <w:tcPr>
            <w:tcW w:w="905" w:type="pct"/>
            <w:vMerge w:val="continue"/>
            <w:shd w:val="clear" w:color="auto" w:fill="auto"/>
            <w:vAlign w:val="center"/>
          </w:tcPr>
          <w:p>
            <w:pPr>
              <w:snapToGrid w:val="0"/>
              <w:spacing w:line="240" w:lineRule="exact"/>
              <w:ind w:firstLine="31" w:firstLineChars="15"/>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CO</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2.727</w:t>
            </w:r>
          </w:p>
        </w:tc>
        <w:tc>
          <w:tcPr>
            <w:tcW w:w="905" w:type="pct"/>
            <w:vMerge w:val="continue"/>
            <w:shd w:val="clear" w:color="auto" w:fill="auto"/>
            <w:vAlign w:val="center"/>
          </w:tcPr>
          <w:p>
            <w:pPr>
              <w:snapToGrid w:val="0"/>
              <w:spacing w:line="240" w:lineRule="exact"/>
              <w:ind w:firstLine="31" w:firstLineChars="15"/>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2</w:t>
            </w:r>
          </w:p>
        </w:tc>
        <w:tc>
          <w:tcPr>
            <w:tcW w:w="1409" w:type="pct"/>
            <w:vMerge w:val="restar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乙烯汽提塔不凝气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乙烯</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4.347</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1.153</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氮气</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14</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3</w:t>
            </w:r>
          </w:p>
        </w:tc>
        <w:tc>
          <w:tcPr>
            <w:tcW w:w="1409" w:type="pct"/>
            <w:vMerge w:val="restar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丙醛精馏塔不凝气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0.017</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甲苯</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0.011</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4</w:t>
            </w:r>
          </w:p>
        </w:tc>
        <w:tc>
          <w:tcPr>
            <w:tcW w:w="1409" w:type="pct"/>
            <w:vMerge w:val="restar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羟酸缩合反应不凝气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0.016</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0.007</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5</w:t>
            </w:r>
          </w:p>
        </w:tc>
        <w:tc>
          <w:tcPr>
            <w:tcW w:w="1409" w:type="pct"/>
            <w:vMerge w:val="restart"/>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甲基丙烯酸吸收塔不凝气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氮气</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202.827</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氧气</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26.541</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6.418</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CO</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3.779</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CO</w:t>
            </w:r>
            <w:r>
              <w:rPr>
                <w:rFonts w:ascii="Times New Roman" w:hAnsi="Times New Roman" w:eastAsiaTheme="minorEastAsia"/>
                <w:szCs w:val="21"/>
                <w:vertAlign w:val="subscript"/>
              </w:rPr>
              <w:t>2</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5.49</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乙酸</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7.159</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6</w:t>
            </w:r>
          </w:p>
        </w:tc>
        <w:tc>
          <w:tcPr>
            <w:tcW w:w="1409" w:type="pct"/>
            <w:vMerge w:val="restart"/>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甲基丙烯酸汽提塔不凝气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3.61</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tcMar>
              <w:left w:w="28" w:type="dxa"/>
              <w:right w:w="28" w:type="dxa"/>
            </w:tcMar>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氮气</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17.4</w:t>
            </w:r>
          </w:p>
        </w:tc>
        <w:tc>
          <w:tcPr>
            <w:tcW w:w="905" w:type="pct"/>
            <w:vMerge w:val="continue"/>
            <w:shd w:val="clear" w:color="auto" w:fill="auto"/>
            <w:vAlign w:val="center"/>
          </w:tcPr>
          <w:p>
            <w:pPr>
              <w:snapToGrid w:val="0"/>
              <w:spacing w:line="240" w:lineRule="exact"/>
              <w:ind w:firstLine="420"/>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restart"/>
            <w:shd w:val="clear" w:color="auto" w:fill="auto"/>
            <w:vAlign w:val="center"/>
          </w:tcPr>
          <w:p>
            <w:pPr>
              <w:snapToGrid w:val="0"/>
              <w:spacing w:line="360" w:lineRule="exact"/>
              <w:jc w:val="center"/>
              <w:outlineLvl w:val="0"/>
              <w:rPr>
                <w:rFonts w:ascii="Times New Roman" w:hAnsi="Times New Roman" w:eastAsiaTheme="minorEastAsia"/>
                <w:szCs w:val="21"/>
              </w:rPr>
            </w:pPr>
            <w:r>
              <w:rPr>
                <w:rFonts w:ascii="Times New Roman" w:hAnsi="Times New Roman" w:eastAsiaTheme="minorEastAsia"/>
                <w:szCs w:val="21"/>
              </w:rPr>
              <w:t>7</w:t>
            </w:r>
          </w:p>
        </w:tc>
        <w:tc>
          <w:tcPr>
            <w:tcW w:w="1409" w:type="pct"/>
            <w:vMerge w:val="restar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真空泵尾气</w:t>
            </w: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0.002</w:t>
            </w:r>
          </w:p>
        </w:tc>
        <w:tc>
          <w:tcPr>
            <w:tcW w:w="905" w:type="pct"/>
            <w:vMerge w:val="continue"/>
            <w:shd w:val="clear" w:color="auto" w:fill="auto"/>
            <w:vAlign w:val="center"/>
          </w:tcPr>
          <w:p>
            <w:pPr>
              <w:snapToGrid w:val="0"/>
              <w:spacing w:line="240" w:lineRule="exact"/>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0.001</w:t>
            </w:r>
          </w:p>
        </w:tc>
        <w:tc>
          <w:tcPr>
            <w:tcW w:w="905" w:type="pct"/>
            <w:vMerge w:val="continue"/>
            <w:shd w:val="clear" w:color="auto" w:fill="auto"/>
            <w:vAlign w:val="center"/>
          </w:tcPr>
          <w:p>
            <w:pPr>
              <w:snapToGrid w:val="0"/>
              <w:spacing w:line="240" w:lineRule="exact"/>
              <w:jc w:val="center"/>
              <w:outlineLvl w:val="0"/>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Merge w:val="continue"/>
            <w:shd w:val="clear" w:color="auto" w:fill="auto"/>
            <w:vAlign w:val="center"/>
          </w:tcPr>
          <w:p>
            <w:pPr>
              <w:snapToGrid w:val="0"/>
              <w:spacing w:line="360" w:lineRule="exact"/>
              <w:jc w:val="center"/>
              <w:outlineLvl w:val="0"/>
              <w:rPr>
                <w:rFonts w:ascii="Times New Roman" w:hAnsi="Times New Roman" w:eastAsiaTheme="minorEastAsia"/>
                <w:szCs w:val="21"/>
              </w:rPr>
            </w:pPr>
          </w:p>
        </w:tc>
        <w:tc>
          <w:tcPr>
            <w:tcW w:w="1409" w:type="pct"/>
            <w:vMerge w:val="continue"/>
            <w:shd w:val="clear" w:color="auto" w:fill="auto"/>
            <w:vAlign w:val="center"/>
          </w:tcPr>
          <w:p>
            <w:pPr>
              <w:snapToGrid w:val="0"/>
              <w:spacing w:line="300" w:lineRule="exact"/>
              <w:jc w:val="center"/>
              <w:outlineLvl w:val="0"/>
              <w:rPr>
                <w:rFonts w:ascii="Times New Roman" w:hAnsi="Times New Roman" w:eastAsiaTheme="minorEastAsia"/>
                <w:szCs w:val="21"/>
              </w:rPr>
            </w:pPr>
          </w:p>
        </w:tc>
        <w:tc>
          <w:tcPr>
            <w:tcW w:w="1408" w:type="pct"/>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正己烷</w:t>
            </w:r>
          </w:p>
        </w:tc>
        <w:tc>
          <w:tcPr>
            <w:tcW w:w="916" w:type="pct"/>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0.001</w:t>
            </w:r>
          </w:p>
        </w:tc>
        <w:tc>
          <w:tcPr>
            <w:tcW w:w="905" w:type="pct"/>
            <w:vMerge w:val="continue"/>
            <w:shd w:val="clear" w:color="auto" w:fill="auto"/>
            <w:vAlign w:val="center"/>
          </w:tcPr>
          <w:p>
            <w:pPr>
              <w:snapToGrid w:val="0"/>
              <w:spacing w:line="240" w:lineRule="exact"/>
              <w:jc w:val="center"/>
              <w:outlineLvl w:val="0"/>
              <w:rPr>
                <w:rFonts w:ascii="Times New Roman" w:hAnsi="Times New Roman" w:eastAsiaTheme="minorEastAsia"/>
                <w:szCs w:val="21"/>
              </w:rPr>
            </w:pPr>
          </w:p>
        </w:tc>
      </w:tr>
    </w:tbl>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无组织废气</w:t>
      </w:r>
    </w:p>
    <w:p>
      <w:pPr>
        <w:spacing w:line="520" w:lineRule="exact"/>
        <w:ind w:firstLine="560" w:firstLineChars="200"/>
        <w:rPr>
          <w:rFonts w:ascii="Times New Roman" w:hAnsi="Times New Roman"/>
          <w:sz w:val="28"/>
          <w:szCs w:val="28"/>
        </w:rPr>
      </w:pPr>
      <w:r>
        <w:rPr>
          <w:rFonts w:ascii="Times New Roman" w:hAnsi="Times New Roman"/>
          <w:sz w:val="28"/>
          <w:szCs w:val="28"/>
        </w:rPr>
        <w:t>项目合成过程中，装置内有甲醇、甲醛、丙醛、乙烯、正己烷等气体或易挥发的液体物质，生产装置体系无组织泄露量见表3.1-17。</w:t>
      </w:r>
    </w:p>
    <w:p>
      <w:pPr>
        <w:pStyle w:val="32"/>
        <w:ind w:firstLine="439" w:firstLineChars="182"/>
      </w:pPr>
      <w:r>
        <w:t>表3.1-17           生产装置体系无组织泄露量一览表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85" w:type="dxa"/>
          <w:left w:w="108" w:type="dxa"/>
          <w:bottom w:w="85" w:type="dxa"/>
          <w:right w:w="108" w:type="dxa"/>
        </w:tblCellMar>
      </w:tblPr>
      <w:tblGrid>
        <w:gridCol w:w="1307"/>
        <w:gridCol w:w="1752"/>
        <w:gridCol w:w="1530"/>
        <w:gridCol w:w="1530"/>
        <w:gridCol w:w="1529"/>
        <w:gridCol w:w="15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污染源</w:t>
            </w:r>
          </w:p>
        </w:tc>
        <w:tc>
          <w:tcPr>
            <w:tcW w:w="955"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污染物</w:t>
            </w:r>
          </w:p>
        </w:tc>
        <w:tc>
          <w:tcPr>
            <w:tcW w:w="834"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流通量（kg/h）</w:t>
            </w:r>
          </w:p>
        </w:tc>
        <w:tc>
          <w:tcPr>
            <w:tcW w:w="834"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泄露系数</w:t>
            </w:r>
          </w:p>
        </w:tc>
        <w:tc>
          <w:tcPr>
            <w:tcW w:w="833"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排放量（kg/h）</w:t>
            </w:r>
          </w:p>
        </w:tc>
        <w:tc>
          <w:tcPr>
            <w:tcW w:w="832" w:type="pct"/>
            <w:tcMar>
              <w:top w:w="28" w:type="dxa"/>
              <w:bottom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排放规律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restart"/>
            <w:tcMar>
              <w:top w:w="28" w:type="dxa"/>
              <w:bottom w:w="28" w:type="dxa"/>
            </w:tcMar>
            <w:vAlign w:val="center"/>
          </w:tcPr>
          <w:p>
            <w:pPr>
              <w:jc w:val="center"/>
              <w:rPr>
                <w:rFonts w:ascii="Times New Roman" w:hAnsi="Times New Roman" w:eastAsiaTheme="minorEastAsia"/>
                <w:szCs w:val="21"/>
              </w:rPr>
            </w:pPr>
            <w:r>
              <w:rPr>
                <w:rFonts w:ascii="Times New Roman" w:hAnsi="Times New Roman" w:eastAsiaTheme="minorEastAsia"/>
                <w:szCs w:val="21"/>
              </w:rPr>
              <w:t>生产装置</w:t>
            </w: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乙烯</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57.588</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0.006</w:t>
            </w:r>
          </w:p>
        </w:tc>
        <w:tc>
          <w:tcPr>
            <w:tcW w:w="832" w:type="pct"/>
            <w:vMerge w:val="restart"/>
            <w:tcMar>
              <w:top w:w="28" w:type="dxa"/>
              <w:bottom w:w="28" w:type="dxa"/>
            </w:tcMar>
            <w:vAlign w:val="center"/>
          </w:tcPr>
          <w:p>
            <w:pPr>
              <w:jc w:val="center"/>
              <w:rPr>
                <w:rFonts w:ascii="Times New Roman" w:hAnsi="Times New Roman" w:eastAsiaTheme="minorEastAsia"/>
                <w:szCs w:val="21"/>
              </w:rPr>
            </w:pPr>
            <w:r>
              <w:rPr>
                <w:rFonts w:ascii="Times New Roman" w:hAnsi="Times New Roman" w:eastAsiaTheme="minorEastAsia"/>
                <w:szCs w:val="21"/>
              </w:rPr>
              <w:t>无组织排放、连续</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CO</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52.523</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0.005</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H</w:t>
            </w:r>
            <w:r>
              <w:rPr>
                <w:rFonts w:ascii="Times New Roman" w:hAnsi="Times New Roman" w:eastAsiaTheme="minorEastAsia"/>
                <w:szCs w:val="21"/>
                <w:vertAlign w:val="subscript"/>
              </w:rPr>
              <w:t>2</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4.198</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0.001</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甲醛</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50.58</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0.005</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101.167</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0.010</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正己烷</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62.17</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0.006</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甲基丙烯醛</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119</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0.1‰</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0.012</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甲苯</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154.4</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0.05‰</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0.008</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甲醇</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44.78</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0.05‰</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0.002</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tcMar>
              <w:top w:w="28" w:type="dxa"/>
              <w:bottom w:w="28" w:type="dxa"/>
            </w:tcMar>
            <w:vAlign w:val="center"/>
          </w:tcPr>
          <w:p>
            <w:pPr>
              <w:jc w:val="center"/>
              <w:rPr>
                <w:rFonts w:ascii="Times New Roman" w:hAnsi="Times New Roman" w:eastAsiaTheme="minorEastAsia"/>
                <w:szCs w:val="21"/>
              </w:rPr>
            </w:pPr>
          </w:p>
        </w:tc>
        <w:tc>
          <w:tcPr>
            <w:tcW w:w="955"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121</w:t>
            </w:r>
          </w:p>
        </w:tc>
        <w:tc>
          <w:tcPr>
            <w:tcW w:w="834"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0.05‰</w:t>
            </w:r>
          </w:p>
        </w:tc>
        <w:tc>
          <w:tcPr>
            <w:tcW w:w="833" w:type="pct"/>
            <w:tcMar>
              <w:top w:w="28" w:type="dxa"/>
              <w:bottom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0.006</w:t>
            </w:r>
          </w:p>
        </w:tc>
        <w:tc>
          <w:tcPr>
            <w:tcW w:w="832" w:type="pct"/>
            <w:vMerge w:val="continue"/>
            <w:tcMar>
              <w:top w:w="28" w:type="dxa"/>
              <w:bottom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712" w:type="pct"/>
            <w:vMerge w:val="continue"/>
            <w:vAlign w:val="center"/>
          </w:tcPr>
          <w:p>
            <w:pPr>
              <w:jc w:val="center"/>
              <w:rPr>
                <w:rFonts w:ascii="Times New Roman" w:hAnsi="Times New Roman" w:eastAsiaTheme="minorEastAsia"/>
                <w:szCs w:val="21"/>
              </w:rPr>
            </w:pPr>
          </w:p>
        </w:tc>
        <w:tc>
          <w:tcPr>
            <w:tcW w:w="955" w:type="pct"/>
            <w:tcMar>
              <w:top w:w="28" w:type="dxa"/>
              <w:left w:w="28" w:type="dxa"/>
              <w:bottom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甲基丙烯酸甲酯</w:t>
            </w:r>
          </w:p>
        </w:tc>
        <w:tc>
          <w:tcPr>
            <w:tcW w:w="834" w:type="pct"/>
            <w:tcMar>
              <w:top w:w="28" w:type="dxa"/>
              <w:left w:w="28" w:type="dxa"/>
              <w:bottom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139.59</w:t>
            </w:r>
          </w:p>
        </w:tc>
        <w:tc>
          <w:tcPr>
            <w:tcW w:w="834" w:type="pct"/>
            <w:tcMar>
              <w:top w:w="28" w:type="dxa"/>
              <w:left w:w="28" w:type="dxa"/>
              <w:bottom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0.05‰</w:t>
            </w:r>
          </w:p>
        </w:tc>
        <w:tc>
          <w:tcPr>
            <w:tcW w:w="833" w:type="pct"/>
            <w:tcMar>
              <w:top w:w="28" w:type="dxa"/>
              <w:left w:w="28" w:type="dxa"/>
              <w:bottom w:w="28" w:type="dxa"/>
              <w:right w:w="28" w:type="dxa"/>
            </w:tcMar>
            <w:vAlign w:val="center"/>
          </w:tcPr>
          <w:p>
            <w:pPr>
              <w:snapToGrid w:val="0"/>
              <w:jc w:val="center"/>
              <w:outlineLvl w:val="0"/>
              <w:rPr>
                <w:rFonts w:ascii="Times New Roman" w:hAnsi="Times New Roman" w:eastAsiaTheme="minorEastAsia"/>
                <w:szCs w:val="21"/>
              </w:rPr>
            </w:pPr>
            <w:r>
              <w:rPr>
                <w:rFonts w:ascii="Times New Roman" w:hAnsi="Times New Roman" w:eastAsiaTheme="minorEastAsia"/>
                <w:szCs w:val="21"/>
              </w:rPr>
              <w:t>0.007</w:t>
            </w:r>
          </w:p>
        </w:tc>
        <w:tc>
          <w:tcPr>
            <w:tcW w:w="832" w:type="pct"/>
            <w:vMerge w:val="continue"/>
            <w:tcMar>
              <w:top w:w="28" w:type="dxa"/>
              <w:left w:w="28" w:type="dxa"/>
              <w:bottom w:w="28" w:type="dxa"/>
              <w:right w:w="28" w:type="dxa"/>
            </w:tcMar>
            <w:vAlign w:val="center"/>
          </w:tcPr>
          <w:p>
            <w:pPr>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85" w:type="dxa"/>
            <w:left w:w="108" w:type="dxa"/>
            <w:bottom w:w="85" w:type="dxa"/>
            <w:right w:w="108" w:type="dxa"/>
          </w:tblCellMar>
        </w:tblPrEx>
        <w:trPr>
          <w:cantSplit/>
          <w:trHeight w:val="340" w:hRule="atLeast"/>
          <w:jc w:val="center"/>
        </w:trPr>
        <w:tc>
          <w:tcPr>
            <w:tcW w:w="5000" w:type="pct"/>
            <w:gridSpan w:val="6"/>
            <w:vAlign w:val="center"/>
          </w:tcPr>
          <w:p>
            <w:pPr>
              <w:jc w:val="left"/>
              <w:rPr>
                <w:rFonts w:ascii="Times New Roman" w:hAnsi="Times New Roman" w:eastAsiaTheme="minorEastAsia"/>
                <w:szCs w:val="21"/>
              </w:rPr>
            </w:pPr>
            <w:r>
              <w:rPr>
                <w:rFonts w:ascii="Times New Roman" w:hAnsi="Times New Roman" w:eastAsiaTheme="minorEastAsia"/>
                <w:szCs w:val="21"/>
              </w:rPr>
              <w:t>合计：CO:0.005kg/h；H</w:t>
            </w:r>
            <w:r>
              <w:rPr>
                <w:rFonts w:ascii="Times New Roman" w:hAnsi="Times New Roman" w:eastAsiaTheme="minorEastAsia"/>
                <w:szCs w:val="21"/>
                <w:vertAlign w:val="subscript"/>
              </w:rPr>
              <w:t>2</w:t>
            </w:r>
            <w:r>
              <w:rPr>
                <w:rFonts w:ascii="Times New Roman" w:hAnsi="Times New Roman" w:eastAsiaTheme="minorEastAsia"/>
                <w:szCs w:val="21"/>
              </w:rPr>
              <w:t>：0.001kg/h；VOC</w:t>
            </w:r>
            <w:r>
              <w:rPr>
                <w:rFonts w:ascii="Times New Roman" w:hAnsi="Times New Roman" w:eastAsiaTheme="minorEastAsia"/>
                <w:szCs w:val="21"/>
                <w:vertAlign w:val="subscript"/>
              </w:rPr>
              <w:t>S</w:t>
            </w:r>
            <w:r>
              <w:rPr>
                <w:rFonts w:ascii="Times New Roman" w:hAnsi="Times New Roman" w:eastAsiaTheme="minorEastAsia"/>
                <w:szCs w:val="21"/>
              </w:rPr>
              <w:t>：0.062kg/h</w:t>
            </w:r>
          </w:p>
        </w:tc>
      </w:tr>
    </w:tbl>
    <w:p>
      <w:pPr>
        <w:pStyle w:val="27"/>
        <w:ind w:firstLine="560"/>
        <w:rPr>
          <w:szCs w:val="28"/>
        </w:rPr>
      </w:pPr>
      <w:r>
        <w:rPr>
          <w:szCs w:val="28"/>
        </w:rPr>
        <w:t>根据大化公司</w:t>
      </w:r>
      <w:r>
        <w:rPr>
          <w:rFonts w:eastAsiaTheme="minorEastAsia"/>
          <w:szCs w:val="28"/>
        </w:rPr>
        <w:t>2020年11月的厂区检测报告（光远检字第（E2020110302）号</w:t>
      </w:r>
      <w:r>
        <w:rPr>
          <w:rFonts w:hint="eastAsia" w:eastAsiaTheme="minorEastAsia"/>
          <w:szCs w:val="28"/>
        </w:rPr>
        <w:t>，</w:t>
      </w:r>
      <w:r>
        <w:rPr>
          <w:szCs w:val="28"/>
        </w:rPr>
        <w:t>表3.1-7</w:t>
      </w:r>
      <w:r>
        <w:rPr>
          <w:rFonts w:eastAsiaTheme="minorEastAsia"/>
          <w:szCs w:val="28"/>
        </w:rPr>
        <w:t>）</w:t>
      </w:r>
      <w:r>
        <w:rPr>
          <w:rFonts w:hint="eastAsia" w:eastAsiaTheme="minorEastAsia"/>
          <w:szCs w:val="28"/>
        </w:rPr>
        <w:t>，</w:t>
      </w:r>
      <w:r>
        <w:rPr>
          <w:szCs w:val="28"/>
        </w:rPr>
        <w:t>厂界无组织甲醇未检出，颗粒物</w:t>
      </w:r>
      <w:r>
        <w:rPr>
          <w:spacing w:val="2"/>
          <w:szCs w:val="28"/>
          <w:lang w:val="zh-CN"/>
        </w:rPr>
        <w:t>浓度</w:t>
      </w:r>
      <w:r>
        <w:rPr>
          <w:szCs w:val="28"/>
        </w:rPr>
        <w:t>可以满足《大气污染物综合排放标准》（GB16297-1996）限值</w:t>
      </w:r>
      <w:r>
        <w:rPr>
          <w:spacing w:val="2"/>
          <w:szCs w:val="28"/>
          <w:lang w:val="zh-CN" w:eastAsia="zh-CN"/>
        </w:rPr>
        <w:t>要求</w:t>
      </w:r>
      <w:r>
        <w:rPr>
          <w:spacing w:val="2"/>
          <w:szCs w:val="28"/>
          <w:lang w:val="zh-CN"/>
        </w:rPr>
        <w:t>；硫化氢、臭气浓度可以满足</w:t>
      </w:r>
      <w:r>
        <w:rPr>
          <w:szCs w:val="28"/>
        </w:rPr>
        <w:t>《恶臭污染物排放标准》（GB14554-93）限值</w:t>
      </w:r>
      <w:r>
        <w:rPr>
          <w:spacing w:val="2"/>
          <w:szCs w:val="28"/>
          <w:lang w:val="zh-CN" w:eastAsia="zh-CN"/>
        </w:rPr>
        <w:t>要求</w:t>
      </w:r>
      <w:r>
        <w:rPr>
          <w:spacing w:val="2"/>
          <w:szCs w:val="28"/>
          <w:lang w:val="zh-CN"/>
        </w:rPr>
        <w:t>；</w:t>
      </w:r>
      <w:r>
        <w:rPr>
          <w:szCs w:val="28"/>
        </w:rPr>
        <w:t>非甲烷总烃可以满足</w:t>
      </w:r>
      <w:r>
        <w:rPr>
          <w:rFonts w:eastAsiaTheme="minorEastAsia"/>
          <w:kern w:val="0"/>
          <w:szCs w:val="28"/>
        </w:rPr>
        <w:t>《关于全省开展工业企业挥发性有机物专项治理工作中排放建议值的通知》（豫环攻坚办〔2017〕162号）中</w:t>
      </w:r>
      <w:r>
        <w:rPr>
          <w:rFonts w:eastAsiaTheme="minorEastAsia"/>
          <w:szCs w:val="28"/>
        </w:rPr>
        <w:t>企业边界排放建议值2.0 mg/m</w:t>
      </w:r>
      <w:r>
        <w:rPr>
          <w:rFonts w:eastAsiaTheme="minorEastAsia"/>
          <w:szCs w:val="28"/>
          <w:vertAlign w:val="superscript"/>
        </w:rPr>
        <w:t>3</w:t>
      </w:r>
      <w:r>
        <w:rPr>
          <w:spacing w:val="2"/>
          <w:szCs w:val="28"/>
          <w:lang w:val="zh-CN" w:eastAsia="zh-CN"/>
        </w:rPr>
        <w:t>要求</w:t>
      </w:r>
      <w:r>
        <w:rPr>
          <w:spacing w:val="2"/>
          <w:szCs w:val="28"/>
          <w:lang w:val="zh-CN"/>
        </w:rPr>
        <w:t>。</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（2）废水</w:t>
      </w:r>
    </w:p>
    <w:p>
      <w:pPr>
        <w:pStyle w:val="27"/>
        <w:ind w:firstLine="560"/>
        <w:rPr>
          <w:szCs w:val="28"/>
        </w:rPr>
      </w:pPr>
      <w:r>
        <w:rPr>
          <w:szCs w:val="28"/>
        </w:rPr>
        <w:t>项目废水主要包括工艺废水、生活废水、实验室废水、真空泵排水，项目废水进入30万t/a甲醇装置污水处理站处理。项目废水产生情况见表3.1-18。</w:t>
      </w:r>
    </w:p>
    <w:p>
      <w:pPr>
        <w:pStyle w:val="32"/>
        <w:ind w:firstLine="679" w:firstLineChars="282"/>
      </w:pPr>
      <w:r>
        <w:t>表3.1-18              废水污染物产生情况一览表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121"/>
        <w:gridCol w:w="736"/>
        <w:gridCol w:w="841"/>
        <w:gridCol w:w="736"/>
        <w:gridCol w:w="872"/>
        <w:gridCol w:w="736"/>
        <w:gridCol w:w="886"/>
        <w:gridCol w:w="860"/>
        <w:gridCol w:w="87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515" w:type="dxa"/>
            <w:vMerge w:val="restar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项目</w:t>
            </w:r>
          </w:p>
        </w:tc>
        <w:tc>
          <w:tcPr>
            <w:tcW w:w="1121" w:type="dxa"/>
            <w:vMerge w:val="restart"/>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Q（m</w:t>
            </w:r>
            <w:r>
              <w:rPr>
                <w:rFonts w:ascii="Times New Roman" w:hAnsi="Times New Roman" w:eastAsiaTheme="minorEastAsia"/>
                <w:b/>
                <w:kern w:val="0"/>
                <w:szCs w:val="21"/>
                <w:vertAlign w:val="superscript"/>
              </w:rPr>
              <w:t>3</w:t>
            </w:r>
            <w:r>
              <w:rPr>
                <w:rFonts w:ascii="Times New Roman" w:hAnsi="Times New Roman" w:eastAsiaTheme="minorEastAsia"/>
                <w:b/>
                <w:kern w:val="0"/>
                <w:szCs w:val="21"/>
              </w:rPr>
              <w:t>/d）</w:t>
            </w:r>
          </w:p>
        </w:tc>
        <w:tc>
          <w:tcPr>
            <w:tcW w:w="1577" w:type="dxa"/>
            <w:gridSpan w:val="2"/>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COD</w:t>
            </w:r>
          </w:p>
        </w:tc>
        <w:tc>
          <w:tcPr>
            <w:tcW w:w="1608" w:type="dxa"/>
            <w:gridSpan w:val="2"/>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BOD</w:t>
            </w:r>
          </w:p>
        </w:tc>
        <w:tc>
          <w:tcPr>
            <w:tcW w:w="1622" w:type="dxa"/>
            <w:gridSpan w:val="2"/>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SS</w:t>
            </w:r>
          </w:p>
        </w:tc>
        <w:tc>
          <w:tcPr>
            <w:tcW w:w="1732" w:type="dxa"/>
            <w:gridSpan w:val="2"/>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氨氮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515" w:type="dxa"/>
            <w:vMerge w:val="continue"/>
            <w:vAlign w:val="center"/>
          </w:tcPr>
          <w:p>
            <w:pPr>
              <w:widowControl/>
              <w:jc w:val="left"/>
              <w:rPr>
                <w:rFonts w:ascii="Times New Roman" w:hAnsi="Times New Roman" w:eastAsiaTheme="minorEastAsia"/>
                <w:b/>
                <w:bCs/>
                <w:kern w:val="0"/>
                <w:szCs w:val="21"/>
              </w:rPr>
            </w:pPr>
          </w:p>
        </w:tc>
        <w:tc>
          <w:tcPr>
            <w:tcW w:w="1121" w:type="dxa"/>
            <w:vMerge w:val="continue"/>
            <w:vAlign w:val="center"/>
          </w:tcPr>
          <w:p>
            <w:pPr>
              <w:widowControl/>
              <w:jc w:val="left"/>
              <w:rPr>
                <w:rFonts w:ascii="Times New Roman" w:hAnsi="Times New Roman" w:eastAsiaTheme="minorEastAsia"/>
                <w:b/>
                <w:kern w:val="0"/>
                <w:szCs w:val="21"/>
              </w:rPr>
            </w:pPr>
          </w:p>
        </w:tc>
        <w:tc>
          <w:tcPr>
            <w:tcW w:w="736"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mg/L</w:t>
            </w:r>
          </w:p>
        </w:tc>
        <w:tc>
          <w:tcPr>
            <w:tcW w:w="841"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kg/d</w:t>
            </w:r>
          </w:p>
        </w:tc>
        <w:tc>
          <w:tcPr>
            <w:tcW w:w="736"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mg/L</w:t>
            </w:r>
          </w:p>
        </w:tc>
        <w:tc>
          <w:tcPr>
            <w:tcW w:w="872"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kg/d</w:t>
            </w:r>
          </w:p>
        </w:tc>
        <w:tc>
          <w:tcPr>
            <w:tcW w:w="736"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mg/L</w:t>
            </w:r>
          </w:p>
        </w:tc>
        <w:tc>
          <w:tcPr>
            <w:tcW w:w="886"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kg/h</w:t>
            </w:r>
          </w:p>
        </w:tc>
        <w:tc>
          <w:tcPr>
            <w:tcW w:w="860"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mg/L</w:t>
            </w:r>
          </w:p>
        </w:tc>
        <w:tc>
          <w:tcPr>
            <w:tcW w:w="872" w:type="dxa"/>
            <w:shd w:val="clear" w:color="auto" w:fill="auto"/>
            <w:vAlign w:val="center"/>
          </w:tcPr>
          <w:p>
            <w:pPr>
              <w:widowControl/>
              <w:jc w:val="center"/>
              <w:rPr>
                <w:rFonts w:ascii="Times New Roman" w:hAnsi="Times New Roman" w:eastAsiaTheme="minorEastAsia"/>
                <w:b/>
                <w:kern w:val="0"/>
                <w:szCs w:val="21"/>
              </w:rPr>
            </w:pPr>
            <w:r>
              <w:rPr>
                <w:rFonts w:ascii="Times New Roman" w:hAnsi="Times New Roman" w:eastAsiaTheme="minorEastAsia"/>
                <w:b/>
                <w:kern w:val="0"/>
                <w:szCs w:val="21"/>
              </w:rPr>
              <w:t>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515" w:type="dxa"/>
            <w:shd w:val="clear" w:color="auto" w:fill="auto"/>
            <w:tcMar>
              <w:left w:w="28" w:type="dxa"/>
              <w:right w:w="28" w:type="dxa"/>
            </w:tcMar>
            <w:vAlign w:val="center"/>
          </w:tcPr>
          <w:p>
            <w:pPr>
              <w:widowControl/>
              <w:spacing w:line="360" w:lineRule="exact"/>
              <w:jc w:val="center"/>
              <w:rPr>
                <w:rFonts w:ascii="Times New Roman" w:hAnsi="Times New Roman" w:eastAsiaTheme="minorEastAsia"/>
                <w:bCs/>
                <w:kern w:val="0"/>
                <w:szCs w:val="21"/>
              </w:rPr>
            </w:pPr>
            <w:r>
              <w:rPr>
                <w:rFonts w:ascii="Times New Roman" w:hAnsi="Times New Roman" w:eastAsiaTheme="minorEastAsia"/>
                <w:bCs/>
                <w:kern w:val="0"/>
                <w:szCs w:val="21"/>
              </w:rPr>
              <w:t>装置工艺废水</w:t>
            </w:r>
          </w:p>
        </w:tc>
        <w:tc>
          <w:tcPr>
            <w:tcW w:w="1121"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8.34</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1000</w:t>
            </w:r>
          </w:p>
        </w:tc>
        <w:tc>
          <w:tcPr>
            <w:tcW w:w="841"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8.340</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250</w:t>
            </w:r>
          </w:p>
        </w:tc>
        <w:tc>
          <w:tcPr>
            <w:tcW w:w="872"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2.085</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200</w:t>
            </w:r>
          </w:p>
        </w:tc>
        <w:tc>
          <w:tcPr>
            <w:tcW w:w="886"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1.668</w:t>
            </w:r>
          </w:p>
        </w:tc>
        <w:tc>
          <w:tcPr>
            <w:tcW w:w="860"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c>
          <w:tcPr>
            <w:tcW w:w="872"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515" w:type="dxa"/>
            <w:shd w:val="clear" w:color="auto" w:fill="auto"/>
            <w:tcMar>
              <w:left w:w="28" w:type="dxa"/>
              <w:right w:w="28" w:type="dxa"/>
            </w:tcMar>
            <w:vAlign w:val="center"/>
          </w:tcPr>
          <w:p>
            <w:pPr>
              <w:widowControl/>
              <w:spacing w:line="360" w:lineRule="exact"/>
              <w:jc w:val="center"/>
              <w:rPr>
                <w:rFonts w:ascii="Times New Roman" w:hAnsi="Times New Roman" w:eastAsiaTheme="minorEastAsia"/>
                <w:bCs/>
                <w:kern w:val="0"/>
                <w:szCs w:val="21"/>
              </w:rPr>
            </w:pPr>
            <w:r>
              <w:rPr>
                <w:rFonts w:ascii="Times New Roman" w:hAnsi="Times New Roman" w:eastAsiaTheme="minorEastAsia"/>
                <w:bCs/>
                <w:kern w:val="0"/>
                <w:szCs w:val="21"/>
              </w:rPr>
              <w:t>办公生活污水</w:t>
            </w:r>
          </w:p>
        </w:tc>
        <w:tc>
          <w:tcPr>
            <w:tcW w:w="1121"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1.68</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300</w:t>
            </w:r>
          </w:p>
        </w:tc>
        <w:tc>
          <w:tcPr>
            <w:tcW w:w="841"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0.504</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180</w:t>
            </w:r>
          </w:p>
        </w:tc>
        <w:tc>
          <w:tcPr>
            <w:tcW w:w="872"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0.312</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200</w:t>
            </w:r>
          </w:p>
        </w:tc>
        <w:tc>
          <w:tcPr>
            <w:tcW w:w="886"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0.336</w:t>
            </w:r>
          </w:p>
        </w:tc>
        <w:tc>
          <w:tcPr>
            <w:tcW w:w="860"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w:t>
            </w:r>
          </w:p>
        </w:tc>
        <w:tc>
          <w:tcPr>
            <w:tcW w:w="872"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0.034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515" w:type="dxa"/>
            <w:shd w:val="clear" w:color="auto" w:fill="auto"/>
            <w:vAlign w:val="center"/>
          </w:tcPr>
          <w:p>
            <w:pPr>
              <w:widowControl/>
              <w:spacing w:line="360" w:lineRule="exact"/>
              <w:jc w:val="center"/>
              <w:rPr>
                <w:rFonts w:ascii="Times New Roman" w:hAnsi="Times New Roman" w:eastAsiaTheme="minorEastAsia"/>
                <w:bCs/>
                <w:kern w:val="0"/>
                <w:szCs w:val="21"/>
              </w:rPr>
            </w:pPr>
            <w:r>
              <w:rPr>
                <w:rFonts w:ascii="Times New Roman" w:hAnsi="Times New Roman" w:eastAsiaTheme="minorEastAsia"/>
                <w:bCs/>
                <w:kern w:val="0"/>
                <w:szCs w:val="21"/>
              </w:rPr>
              <w:t>实验室废水</w:t>
            </w:r>
          </w:p>
        </w:tc>
        <w:tc>
          <w:tcPr>
            <w:tcW w:w="1121"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600</w:t>
            </w:r>
          </w:p>
        </w:tc>
        <w:tc>
          <w:tcPr>
            <w:tcW w:w="841"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1.2</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200</w:t>
            </w:r>
          </w:p>
        </w:tc>
        <w:tc>
          <w:tcPr>
            <w:tcW w:w="872"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0.4</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300</w:t>
            </w:r>
          </w:p>
        </w:tc>
        <w:tc>
          <w:tcPr>
            <w:tcW w:w="886"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0.6</w:t>
            </w:r>
          </w:p>
        </w:tc>
        <w:tc>
          <w:tcPr>
            <w:tcW w:w="860"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c>
          <w:tcPr>
            <w:tcW w:w="872"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515" w:type="dxa"/>
            <w:shd w:val="clear" w:color="auto" w:fill="auto"/>
            <w:tcMar>
              <w:left w:w="28" w:type="dxa"/>
              <w:right w:w="28" w:type="dxa"/>
            </w:tcMar>
            <w:vAlign w:val="center"/>
          </w:tcPr>
          <w:p>
            <w:pPr>
              <w:widowControl/>
              <w:spacing w:line="360" w:lineRule="exact"/>
              <w:jc w:val="center"/>
              <w:rPr>
                <w:rFonts w:ascii="Times New Roman" w:hAnsi="Times New Roman" w:eastAsiaTheme="minorEastAsia"/>
                <w:bCs/>
                <w:kern w:val="0"/>
                <w:szCs w:val="21"/>
              </w:rPr>
            </w:pPr>
            <w:r>
              <w:rPr>
                <w:rFonts w:ascii="Times New Roman" w:hAnsi="Times New Roman" w:eastAsiaTheme="minorEastAsia"/>
                <w:bCs/>
                <w:kern w:val="0"/>
                <w:szCs w:val="21"/>
              </w:rPr>
              <w:t>真空泵排污水</w:t>
            </w:r>
          </w:p>
        </w:tc>
        <w:tc>
          <w:tcPr>
            <w:tcW w:w="1121"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0.1</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350</w:t>
            </w:r>
          </w:p>
        </w:tc>
        <w:tc>
          <w:tcPr>
            <w:tcW w:w="841"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0.035</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150</w:t>
            </w:r>
          </w:p>
        </w:tc>
        <w:tc>
          <w:tcPr>
            <w:tcW w:w="872"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0.015</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200</w:t>
            </w:r>
          </w:p>
        </w:tc>
        <w:tc>
          <w:tcPr>
            <w:tcW w:w="886"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0.020</w:t>
            </w:r>
          </w:p>
        </w:tc>
        <w:tc>
          <w:tcPr>
            <w:tcW w:w="860"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c>
          <w:tcPr>
            <w:tcW w:w="872"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515" w:type="dxa"/>
            <w:shd w:val="clear" w:color="auto" w:fill="auto"/>
            <w:vAlign w:val="center"/>
          </w:tcPr>
          <w:p>
            <w:pPr>
              <w:widowControl/>
              <w:spacing w:line="360" w:lineRule="exact"/>
              <w:jc w:val="center"/>
              <w:rPr>
                <w:rFonts w:ascii="Times New Roman" w:hAnsi="Times New Roman" w:eastAsiaTheme="minorEastAsia"/>
                <w:bCs/>
                <w:kern w:val="0"/>
                <w:szCs w:val="21"/>
              </w:rPr>
            </w:pPr>
            <w:r>
              <w:rPr>
                <w:rFonts w:ascii="Times New Roman" w:hAnsi="Times New Roman" w:eastAsiaTheme="minorEastAsia"/>
                <w:bCs/>
                <w:kern w:val="0"/>
                <w:szCs w:val="21"/>
              </w:rPr>
              <w:t>合计</w:t>
            </w:r>
          </w:p>
        </w:tc>
        <w:tc>
          <w:tcPr>
            <w:tcW w:w="1121"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12.12</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832</w:t>
            </w:r>
          </w:p>
        </w:tc>
        <w:tc>
          <w:tcPr>
            <w:tcW w:w="841"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10.079</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232</w:t>
            </w:r>
          </w:p>
        </w:tc>
        <w:tc>
          <w:tcPr>
            <w:tcW w:w="872"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2.812</w:t>
            </w:r>
          </w:p>
        </w:tc>
        <w:tc>
          <w:tcPr>
            <w:tcW w:w="736"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217</w:t>
            </w:r>
          </w:p>
        </w:tc>
        <w:tc>
          <w:tcPr>
            <w:tcW w:w="886" w:type="dxa"/>
            <w:shd w:val="clear" w:color="auto" w:fill="auto"/>
            <w:vAlign w:val="bottom"/>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2.624</w:t>
            </w:r>
          </w:p>
        </w:tc>
        <w:tc>
          <w:tcPr>
            <w:tcW w:w="860"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2.8</w:t>
            </w:r>
          </w:p>
        </w:tc>
        <w:tc>
          <w:tcPr>
            <w:tcW w:w="872" w:type="dxa"/>
            <w:shd w:val="clear" w:color="auto" w:fill="auto"/>
            <w:vAlign w:val="center"/>
          </w:tcPr>
          <w:p>
            <w:pPr>
              <w:widowControl/>
              <w:spacing w:line="360" w:lineRule="exact"/>
              <w:jc w:val="center"/>
              <w:rPr>
                <w:rFonts w:ascii="Times New Roman" w:hAnsi="Times New Roman" w:eastAsiaTheme="minorEastAsia"/>
                <w:kern w:val="0"/>
                <w:szCs w:val="21"/>
              </w:rPr>
            </w:pPr>
            <w:r>
              <w:rPr>
                <w:rFonts w:ascii="Times New Roman" w:hAnsi="Times New Roman" w:eastAsiaTheme="minorEastAsia"/>
                <w:kern w:val="0"/>
                <w:szCs w:val="21"/>
              </w:rPr>
              <w:t>0.034</w:t>
            </w:r>
          </w:p>
        </w:tc>
      </w:tr>
    </w:tbl>
    <w:p>
      <w:pPr>
        <w:tabs>
          <w:tab w:val="left" w:pos="425"/>
        </w:tabs>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项目废水依托30万t/a甲醇装置污水处理站处理。</w:t>
      </w:r>
      <w:r>
        <w:rPr>
          <w:rFonts w:ascii="Times New Roman" w:hAnsi="Times New Roman" w:eastAsiaTheme="minorEastAsia"/>
          <w:kern w:val="0"/>
          <w:sz w:val="28"/>
          <w:szCs w:val="28"/>
        </w:rPr>
        <w:t>根据大化公司2020年11月的厂区检测报告（光远检字第（E2020110302）号</w:t>
      </w:r>
      <w:r>
        <w:rPr>
          <w:rFonts w:hint="eastAsia" w:ascii="Times New Roman" w:hAnsi="Times New Roman" w:eastAsiaTheme="minorEastAsia"/>
          <w:kern w:val="0"/>
          <w:sz w:val="28"/>
          <w:szCs w:val="28"/>
        </w:rPr>
        <w:t>，</w:t>
      </w:r>
      <w:r>
        <w:rPr>
          <w:rFonts w:ascii="Times New Roman" w:hAnsi="Times New Roman" w:eastAsiaTheme="minorEastAsia"/>
          <w:kern w:val="0"/>
          <w:sz w:val="28"/>
          <w:szCs w:val="28"/>
        </w:rPr>
        <w:t>表3.1-8）</w:t>
      </w:r>
      <w:r>
        <w:rPr>
          <w:rFonts w:ascii="Times New Roman" w:hAnsi="Times New Roman" w:eastAsiaTheme="minorEastAsia"/>
          <w:sz w:val="28"/>
          <w:szCs w:val="28"/>
        </w:rPr>
        <w:t>和厂区污水总排口在线监测数据（表3.1-9），项目废水污染物经污水处理站处理后，总排放口污染物排放浓度可满足《污水综合排放标准》（GB8978-1996）表4二级标准限值要求。</w:t>
      </w:r>
    </w:p>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（3）噪声</w:t>
      </w:r>
    </w:p>
    <w:p>
      <w:pPr>
        <w:tabs>
          <w:tab w:val="left" w:pos="425"/>
        </w:tabs>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项目主要高噪声设备包括各类物料泵、水泵、压缩机、真空泵等，具体见表3.1-19。</w:t>
      </w:r>
    </w:p>
    <w:p>
      <w:pPr>
        <w:pStyle w:val="32"/>
        <w:ind w:firstLine="679" w:firstLineChars="282"/>
      </w:pPr>
      <w:r>
        <w:t>表3.1-19            项目高噪声设备源强一览表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28" w:type="dxa"/>
          <w:left w:w="108" w:type="dxa"/>
          <w:bottom w:w="28" w:type="dxa"/>
          <w:right w:w="108" w:type="dxa"/>
        </w:tblCellMar>
      </w:tblPr>
      <w:tblGrid>
        <w:gridCol w:w="973"/>
        <w:gridCol w:w="1332"/>
        <w:gridCol w:w="1075"/>
        <w:gridCol w:w="1710"/>
        <w:gridCol w:w="1714"/>
        <w:gridCol w:w="237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42" w:hRule="atLeast"/>
          <w:jc w:val="center"/>
        </w:trPr>
        <w:tc>
          <w:tcPr>
            <w:tcW w:w="530"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位  置</w:t>
            </w:r>
          </w:p>
        </w:tc>
        <w:tc>
          <w:tcPr>
            <w:tcW w:w="726"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设备名称</w:t>
            </w:r>
          </w:p>
        </w:tc>
        <w:tc>
          <w:tcPr>
            <w:tcW w:w="586"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数量</w:t>
            </w:r>
          </w:p>
          <w:p>
            <w:pPr>
              <w:jc w:val="center"/>
              <w:rPr>
                <w:rFonts w:ascii="Times New Roman" w:hAnsi="Times New Roman" w:eastAsiaTheme="minorEastAsia"/>
                <w:b/>
                <w:szCs w:val="21"/>
              </w:rPr>
            </w:pPr>
            <w:r>
              <w:rPr>
                <w:rFonts w:ascii="Times New Roman" w:hAnsi="Times New Roman" w:eastAsiaTheme="minorEastAsia"/>
                <w:b/>
                <w:szCs w:val="21"/>
              </w:rPr>
              <w:t>（台）</w:t>
            </w:r>
          </w:p>
        </w:tc>
        <w:tc>
          <w:tcPr>
            <w:tcW w:w="932"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治理前设备</w:t>
            </w:r>
          </w:p>
          <w:p>
            <w:pPr>
              <w:jc w:val="center"/>
              <w:rPr>
                <w:rFonts w:ascii="Times New Roman" w:hAnsi="Times New Roman" w:eastAsiaTheme="minorEastAsia"/>
                <w:b/>
                <w:szCs w:val="21"/>
              </w:rPr>
            </w:pPr>
            <w:r>
              <w:rPr>
                <w:rFonts w:ascii="Times New Roman" w:hAnsi="Times New Roman" w:eastAsiaTheme="minorEastAsia"/>
                <w:b/>
                <w:szCs w:val="21"/>
              </w:rPr>
              <w:t>声源值[dB(A)]</w:t>
            </w:r>
          </w:p>
        </w:tc>
        <w:tc>
          <w:tcPr>
            <w:tcW w:w="934"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治理后设备</w:t>
            </w:r>
          </w:p>
          <w:p>
            <w:pPr>
              <w:jc w:val="center"/>
              <w:rPr>
                <w:rFonts w:ascii="Times New Roman" w:hAnsi="Times New Roman" w:eastAsiaTheme="minorEastAsia"/>
                <w:b/>
                <w:szCs w:val="21"/>
              </w:rPr>
            </w:pPr>
            <w:r>
              <w:rPr>
                <w:rFonts w:ascii="Times New Roman" w:hAnsi="Times New Roman" w:eastAsiaTheme="minorEastAsia"/>
                <w:b/>
                <w:szCs w:val="21"/>
              </w:rPr>
              <w:t>声源值[dB(A)]</w:t>
            </w:r>
          </w:p>
        </w:tc>
        <w:tc>
          <w:tcPr>
            <w:tcW w:w="1292" w:type="pct"/>
            <w:vAlign w:val="center"/>
          </w:tcPr>
          <w:p>
            <w:pPr>
              <w:jc w:val="center"/>
              <w:rPr>
                <w:rFonts w:ascii="Times New Roman" w:hAnsi="Times New Roman" w:eastAsiaTheme="minorEastAsia"/>
                <w:b/>
                <w:szCs w:val="21"/>
              </w:rPr>
            </w:pPr>
            <w:r>
              <w:rPr>
                <w:rFonts w:ascii="Times New Roman" w:hAnsi="Times New Roman" w:eastAsiaTheme="minorEastAsia"/>
                <w:b/>
                <w:szCs w:val="21"/>
              </w:rPr>
              <w:t>拟定治理措施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76" w:hRule="atLeast"/>
          <w:jc w:val="center"/>
        </w:trPr>
        <w:tc>
          <w:tcPr>
            <w:tcW w:w="530" w:type="pct"/>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装置区</w:t>
            </w:r>
          </w:p>
        </w:tc>
        <w:tc>
          <w:tcPr>
            <w:tcW w:w="726" w:type="pct"/>
            <w:vAlign w:val="center"/>
          </w:tcPr>
          <w:p>
            <w:pPr>
              <w:jc w:val="center"/>
              <w:rPr>
                <w:rFonts w:ascii="Times New Roman" w:hAnsi="Times New Roman" w:eastAsiaTheme="minorEastAsia"/>
                <w:szCs w:val="21"/>
              </w:rPr>
            </w:pPr>
            <w:r>
              <w:rPr>
                <w:rFonts w:ascii="Times New Roman" w:hAnsi="Times New Roman" w:eastAsiaTheme="minorEastAsia"/>
                <w:szCs w:val="21"/>
              </w:rPr>
              <w:t>物料泵</w:t>
            </w:r>
          </w:p>
        </w:tc>
        <w:tc>
          <w:tcPr>
            <w:tcW w:w="586" w:type="pct"/>
            <w:vAlign w:val="center"/>
          </w:tcPr>
          <w:p>
            <w:pPr>
              <w:jc w:val="center"/>
              <w:rPr>
                <w:rFonts w:ascii="Times New Roman" w:hAnsi="Times New Roman" w:eastAsiaTheme="minorEastAsia"/>
                <w:szCs w:val="21"/>
              </w:rPr>
            </w:pPr>
            <w:r>
              <w:rPr>
                <w:rFonts w:ascii="Times New Roman" w:hAnsi="Times New Roman" w:eastAsiaTheme="minorEastAsia"/>
                <w:szCs w:val="21"/>
              </w:rPr>
              <w:t>64</w:t>
            </w:r>
          </w:p>
        </w:tc>
        <w:tc>
          <w:tcPr>
            <w:tcW w:w="932" w:type="pct"/>
            <w:vAlign w:val="center"/>
          </w:tcPr>
          <w:p>
            <w:pPr>
              <w:jc w:val="center"/>
              <w:rPr>
                <w:rFonts w:ascii="Times New Roman" w:hAnsi="Times New Roman" w:eastAsiaTheme="minorEastAsia"/>
                <w:szCs w:val="21"/>
              </w:rPr>
            </w:pPr>
            <w:r>
              <w:rPr>
                <w:rFonts w:ascii="Times New Roman" w:hAnsi="Times New Roman" w:eastAsiaTheme="minorEastAsia"/>
                <w:szCs w:val="21"/>
              </w:rPr>
              <w:t>70~80</w:t>
            </w:r>
          </w:p>
        </w:tc>
        <w:tc>
          <w:tcPr>
            <w:tcW w:w="934" w:type="pct"/>
            <w:vAlign w:val="center"/>
          </w:tcPr>
          <w:p>
            <w:pPr>
              <w:jc w:val="center"/>
              <w:rPr>
                <w:rFonts w:ascii="Times New Roman" w:hAnsi="Times New Roman" w:eastAsiaTheme="minorEastAsia"/>
                <w:szCs w:val="21"/>
              </w:rPr>
            </w:pPr>
            <w:r>
              <w:rPr>
                <w:rFonts w:ascii="Times New Roman" w:hAnsi="Times New Roman" w:eastAsiaTheme="minorEastAsia"/>
                <w:szCs w:val="21"/>
              </w:rPr>
              <w:t>60~70</w:t>
            </w:r>
          </w:p>
        </w:tc>
        <w:tc>
          <w:tcPr>
            <w:tcW w:w="1292" w:type="pct"/>
            <w:vAlign w:val="center"/>
          </w:tcPr>
          <w:p>
            <w:pPr>
              <w:jc w:val="center"/>
              <w:rPr>
                <w:rFonts w:ascii="Times New Roman" w:hAnsi="Times New Roman" w:eastAsiaTheme="minorEastAsia"/>
                <w:szCs w:val="21"/>
              </w:rPr>
            </w:pPr>
            <w:r>
              <w:rPr>
                <w:rFonts w:ascii="Times New Roman" w:hAnsi="Times New Roman" w:eastAsiaTheme="minorEastAsia"/>
                <w:szCs w:val="21"/>
              </w:rPr>
              <w:t>基础减振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76" w:hRule="atLeast"/>
          <w:jc w:val="center"/>
        </w:trPr>
        <w:tc>
          <w:tcPr>
            <w:tcW w:w="530" w:type="pct"/>
            <w:vMerge w:val="continue"/>
            <w:vAlign w:val="center"/>
          </w:tcPr>
          <w:p>
            <w:pPr>
              <w:jc w:val="center"/>
              <w:rPr>
                <w:rFonts w:ascii="Times New Roman" w:hAnsi="Times New Roman" w:eastAsiaTheme="minorEastAsia"/>
                <w:szCs w:val="21"/>
              </w:rPr>
            </w:pPr>
          </w:p>
        </w:tc>
        <w:tc>
          <w:tcPr>
            <w:tcW w:w="726" w:type="pct"/>
            <w:vAlign w:val="center"/>
          </w:tcPr>
          <w:p>
            <w:pPr>
              <w:jc w:val="center"/>
              <w:rPr>
                <w:rFonts w:ascii="Times New Roman" w:hAnsi="Times New Roman" w:eastAsiaTheme="minorEastAsia"/>
                <w:szCs w:val="21"/>
              </w:rPr>
            </w:pPr>
            <w:r>
              <w:rPr>
                <w:rFonts w:ascii="Times New Roman" w:hAnsi="Times New Roman" w:eastAsiaTheme="minorEastAsia"/>
                <w:szCs w:val="21"/>
              </w:rPr>
              <w:t>水泵</w:t>
            </w:r>
          </w:p>
        </w:tc>
        <w:tc>
          <w:tcPr>
            <w:tcW w:w="586" w:type="pct"/>
            <w:vAlign w:val="center"/>
          </w:tcPr>
          <w:p>
            <w:pPr>
              <w:jc w:val="center"/>
              <w:rPr>
                <w:rFonts w:ascii="Times New Roman" w:hAnsi="Times New Roman" w:eastAsiaTheme="minorEastAsia"/>
                <w:szCs w:val="21"/>
              </w:rPr>
            </w:pPr>
            <w:r>
              <w:rPr>
                <w:rFonts w:ascii="Times New Roman" w:hAnsi="Times New Roman" w:eastAsiaTheme="minorEastAsia"/>
                <w:szCs w:val="21"/>
              </w:rPr>
              <w:t>12</w:t>
            </w:r>
          </w:p>
        </w:tc>
        <w:tc>
          <w:tcPr>
            <w:tcW w:w="932" w:type="pct"/>
            <w:vAlign w:val="center"/>
          </w:tcPr>
          <w:p>
            <w:pPr>
              <w:jc w:val="center"/>
              <w:rPr>
                <w:rFonts w:ascii="Times New Roman" w:hAnsi="Times New Roman" w:eastAsiaTheme="minorEastAsia"/>
                <w:szCs w:val="21"/>
              </w:rPr>
            </w:pPr>
            <w:r>
              <w:rPr>
                <w:rFonts w:ascii="Times New Roman" w:hAnsi="Times New Roman" w:eastAsiaTheme="minorEastAsia"/>
                <w:szCs w:val="21"/>
              </w:rPr>
              <w:t>70~80</w:t>
            </w:r>
          </w:p>
        </w:tc>
        <w:tc>
          <w:tcPr>
            <w:tcW w:w="934" w:type="pct"/>
            <w:vAlign w:val="center"/>
          </w:tcPr>
          <w:p>
            <w:pPr>
              <w:jc w:val="center"/>
              <w:rPr>
                <w:rFonts w:ascii="Times New Roman" w:hAnsi="Times New Roman" w:eastAsiaTheme="minorEastAsia"/>
                <w:szCs w:val="21"/>
              </w:rPr>
            </w:pPr>
            <w:r>
              <w:rPr>
                <w:rFonts w:ascii="Times New Roman" w:hAnsi="Times New Roman" w:eastAsiaTheme="minorEastAsia"/>
                <w:szCs w:val="21"/>
              </w:rPr>
              <w:t>60~70</w:t>
            </w:r>
          </w:p>
        </w:tc>
        <w:tc>
          <w:tcPr>
            <w:tcW w:w="1292" w:type="pct"/>
            <w:vAlign w:val="center"/>
          </w:tcPr>
          <w:p>
            <w:pPr>
              <w:jc w:val="center"/>
              <w:rPr>
                <w:rFonts w:ascii="Times New Roman" w:hAnsi="Times New Roman" w:eastAsiaTheme="minorEastAsia"/>
                <w:szCs w:val="21"/>
              </w:rPr>
            </w:pPr>
            <w:r>
              <w:rPr>
                <w:rFonts w:ascii="Times New Roman" w:hAnsi="Times New Roman" w:eastAsiaTheme="minorEastAsia"/>
                <w:szCs w:val="21"/>
              </w:rPr>
              <w:t>基础减振、隔声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76" w:hRule="atLeast"/>
          <w:jc w:val="center"/>
        </w:trPr>
        <w:tc>
          <w:tcPr>
            <w:tcW w:w="530" w:type="pct"/>
            <w:vMerge w:val="continue"/>
            <w:vAlign w:val="center"/>
          </w:tcPr>
          <w:p>
            <w:pPr>
              <w:jc w:val="center"/>
              <w:rPr>
                <w:rFonts w:ascii="Times New Roman" w:hAnsi="Times New Roman" w:eastAsiaTheme="minorEastAsia"/>
                <w:szCs w:val="21"/>
              </w:rPr>
            </w:pPr>
          </w:p>
        </w:tc>
        <w:tc>
          <w:tcPr>
            <w:tcW w:w="726" w:type="pct"/>
            <w:vAlign w:val="center"/>
          </w:tcPr>
          <w:p>
            <w:pPr>
              <w:jc w:val="center"/>
              <w:rPr>
                <w:rFonts w:ascii="Times New Roman" w:hAnsi="Times New Roman" w:eastAsiaTheme="minorEastAsia"/>
                <w:szCs w:val="21"/>
              </w:rPr>
            </w:pPr>
            <w:r>
              <w:rPr>
                <w:rFonts w:ascii="Times New Roman" w:hAnsi="Times New Roman" w:eastAsiaTheme="minorEastAsia"/>
                <w:szCs w:val="21"/>
              </w:rPr>
              <w:t>真空泵</w:t>
            </w:r>
          </w:p>
        </w:tc>
        <w:tc>
          <w:tcPr>
            <w:tcW w:w="586" w:type="pct"/>
            <w:vAlign w:val="center"/>
          </w:tcPr>
          <w:p>
            <w:pPr>
              <w:jc w:val="center"/>
              <w:rPr>
                <w:rFonts w:ascii="Times New Roman" w:hAnsi="Times New Roman" w:eastAsiaTheme="minorEastAsia"/>
                <w:szCs w:val="21"/>
              </w:rPr>
            </w:pPr>
            <w:r>
              <w:rPr>
                <w:rFonts w:ascii="Times New Roman" w:hAnsi="Times New Roman" w:eastAsiaTheme="minorEastAsia"/>
                <w:szCs w:val="21"/>
              </w:rPr>
              <w:t>6</w:t>
            </w:r>
          </w:p>
        </w:tc>
        <w:tc>
          <w:tcPr>
            <w:tcW w:w="932" w:type="pct"/>
            <w:vAlign w:val="center"/>
          </w:tcPr>
          <w:p>
            <w:pPr>
              <w:jc w:val="center"/>
              <w:rPr>
                <w:rFonts w:ascii="Times New Roman" w:hAnsi="Times New Roman" w:eastAsiaTheme="minorEastAsia"/>
                <w:szCs w:val="21"/>
              </w:rPr>
            </w:pPr>
            <w:r>
              <w:rPr>
                <w:rFonts w:ascii="Times New Roman" w:hAnsi="Times New Roman" w:eastAsiaTheme="minorEastAsia"/>
                <w:szCs w:val="21"/>
              </w:rPr>
              <w:t>95</w:t>
            </w:r>
          </w:p>
        </w:tc>
        <w:tc>
          <w:tcPr>
            <w:tcW w:w="934" w:type="pct"/>
            <w:vAlign w:val="center"/>
          </w:tcPr>
          <w:p>
            <w:pPr>
              <w:jc w:val="center"/>
              <w:rPr>
                <w:rFonts w:ascii="Times New Roman" w:hAnsi="Times New Roman" w:eastAsiaTheme="minorEastAsia"/>
                <w:szCs w:val="21"/>
              </w:rPr>
            </w:pPr>
            <w:r>
              <w:rPr>
                <w:rFonts w:ascii="Times New Roman" w:hAnsi="Times New Roman" w:eastAsiaTheme="minorEastAsia"/>
                <w:szCs w:val="21"/>
              </w:rPr>
              <w:t>80</w:t>
            </w:r>
          </w:p>
        </w:tc>
        <w:tc>
          <w:tcPr>
            <w:tcW w:w="1292" w:type="pct"/>
            <w:vAlign w:val="center"/>
          </w:tcPr>
          <w:p>
            <w:pPr>
              <w:jc w:val="center"/>
              <w:rPr>
                <w:rFonts w:ascii="Times New Roman" w:hAnsi="Times New Roman" w:eastAsiaTheme="minorEastAsia"/>
                <w:szCs w:val="21"/>
              </w:rPr>
            </w:pPr>
            <w:r>
              <w:rPr>
                <w:rFonts w:ascii="Times New Roman" w:hAnsi="Times New Roman" w:eastAsiaTheme="minorEastAsia"/>
                <w:szCs w:val="21"/>
              </w:rPr>
              <w:t>基础减振、隔声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76" w:hRule="atLeast"/>
          <w:jc w:val="center"/>
        </w:trPr>
        <w:tc>
          <w:tcPr>
            <w:tcW w:w="530" w:type="pct"/>
            <w:vMerge w:val="continue"/>
            <w:vAlign w:val="center"/>
          </w:tcPr>
          <w:p>
            <w:pPr>
              <w:jc w:val="center"/>
              <w:rPr>
                <w:rFonts w:ascii="Times New Roman" w:hAnsi="Times New Roman" w:eastAsiaTheme="minorEastAsia"/>
                <w:szCs w:val="21"/>
              </w:rPr>
            </w:pPr>
          </w:p>
        </w:tc>
        <w:tc>
          <w:tcPr>
            <w:tcW w:w="726" w:type="pct"/>
            <w:vAlign w:val="center"/>
          </w:tcPr>
          <w:p>
            <w:pPr>
              <w:jc w:val="center"/>
              <w:rPr>
                <w:rFonts w:ascii="Times New Roman" w:hAnsi="Times New Roman" w:eastAsiaTheme="minorEastAsia"/>
                <w:szCs w:val="21"/>
              </w:rPr>
            </w:pPr>
            <w:r>
              <w:rPr>
                <w:rFonts w:ascii="Times New Roman" w:hAnsi="Times New Roman" w:eastAsiaTheme="minorEastAsia"/>
                <w:szCs w:val="21"/>
              </w:rPr>
              <w:t>压缩机</w:t>
            </w:r>
          </w:p>
        </w:tc>
        <w:tc>
          <w:tcPr>
            <w:tcW w:w="586" w:type="pct"/>
            <w:vAlign w:val="center"/>
          </w:tcPr>
          <w:p>
            <w:pPr>
              <w:jc w:val="center"/>
              <w:rPr>
                <w:rFonts w:ascii="Times New Roman" w:hAnsi="Times New Roman" w:eastAsiaTheme="minorEastAsia"/>
                <w:szCs w:val="21"/>
              </w:rPr>
            </w:pPr>
            <w:r>
              <w:rPr>
                <w:rFonts w:ascii="Times New Roman" w:hAnsi="Times New Roman" w:eastAsiaTheme="minorEastAsia"/>
                <w:szCs w:val="21"/>
              </w:rPr>
              <w:t>4</w:t>
            </w:r>
          </w:p>
        </w:tc>
        <w:tc>
          <w:tcPr>
            <w:tcW w:w="932" w:type="pct"/>
            <w:vAlign w:val="center"/>
          </w:tcPr>
          <w:p>
            <w:pPr>
              <w:jc w:val="center"/>
              <w:rPr>
                <w:rFonts w:ascii="Times New Roman" w:hAnsi="Times New Roman" w:eastAsiaTheme="minorEastAsia"/>
                <w:szCs w:val="21"/>
              </w:rPr>
            </w:pPr>
            <w:r>
              <w:rPr>
                <w:rFonts w:ascii="Times New Roman" w:hAnsi="Times New Roman" w:eastAsiaTheme="minorEastAsia"/>
                <w:szCs w:val="21"/>
              </w:rPr>
              <w:t>95</w:t>
            </w:r>
          </w:p>
        </w:tc>
        <w:tc>
          <w:tcPr>
            <w:tcW w:w="934" w:type="pct"/>
            <w:vAlign w:val="center"/>
          </w:tcPr>
          <w:p>
            <w:pPr>
              <w:jc w:val="center"/>
              <w:rPr>
                <w:rFonts w:ascii="Times New Roman" w:hAnsi="Times New Roman" w:eastAsiaTheme="minorEastAsia"/>
                <w:szCs w:val="21"/>
              </w:rPr>
            </w:pPr>
            <w:r>
              <w:rPr>
                <w:rFonts w:ascii="Times New Roman" w:hAnsi="Times New Roman" w:eastAsiaTheme="minorEastAsia"/>
                <w:szCs w:val="21"/>
              </w:rPr>
              <w:t>80</w:t>
            </w:r>
          </w:p>
        </w:tc>
        <w:tc>
          <w:tcPr>
            <w:tcW w:w="1292" w:type="pct"/>
            <w:vAlign w:val="center"/>
          </w:tcPr>
          <w:p>
            <w:pPr>
              <w:jc w:val="center"/>
              <w:rPr>
                <w:rFonts w:ascii="Times New Roman" w:hAnsi="Times New Roman" w:eastAsiaTheme="minorEastAsia"/>
                <w:szCs w:val="21"/>
              </w:rPr>
            </w:pPr>
            <w:r>
              <w:rPr>
                <w:rFonts w:ascii="Times New Roman" w:hAnsi="Times New Roman" w:eastAsiaTheme="minorEastAsia"/>
                <w:szCs w:val="21"/>
              </w:rPr>
              <w:t>基础减振、隔声</w:t>
            </w:r>
          </w:p>
        </w:tc>
      </w:tr>
    </w:tbl>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（4）固体废弃物</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项目主要固体废物产生于各装置反应器废催化剂、精馏塔塔底重组分、以及生活垃圾等，项目固体废弃物产排情况见表3.1-20。</w:t>
      </w:r>
    </w:p>
    <w:p>
      <w:pPr>
        <w:pStyle w:val="32"/>
        <w:ind w:firstLine="679" w:firstLineChars="282"/>
        <w:rPr>
          <w:b w:val="0"/>
          <w:bCs/>
        </w:rPr>
      </w:pPr>
      <w:r>
        <w:t xml:space="preserve"> 表3.1-20           固体废物产排情况一览表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35"/>
        <w:gridCol w:w="1897"/>
        <w:gridCol w:w="1713"/>
        <w:gridCol w:w="1123"/>
        <w:gridCol w:w="1116"/>
        <w:gridCol w:w="941"/>
        <w:gridCol w:w="169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trPr>
        <w:tc>
          <w:tcPr>
            <w:tcW w:w="297"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编号</w:t>
            </w:r>
          </w:p>
        </w:tc>
        <w:tc>
          <w:tcPr>
            <w:tcW w:w="1052"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污染源</w:t>
            </w:r>
          </w:p>
        </w:tc>
        <w:tc>
          <w:tcPr>
            <w:tcW w:w="950"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主要物质</w:t>
            </w:r>
          </w:p>
        </w:tc>
        <w:tc>
          <w:tcPr>
            <w:tcW w:w="623"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固废性质</w:t>
            </w:r>
          </w:p>
        </w:tc>
        <w:tc>
          <w:tcPr>
            <w:tcW w:w="619"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产生量</w:t>
            </w:r>
          </w:p>
        </w:tc>
        <w:tc>
          <w:tcPr>
            <w:tcW w:w="522"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排放量</w:t>
            </w:r>
          </w:p>
        </w:tc>
        <w:tc>
          <w:tcPr>
            <w:tcW w:w="937" w:type="pct"/>
            <w:shd w:val="clear" w:color="auto" w:fill="auto"/>
            <w:vAlign w:val="center"/>
          </w:tcPr>
          <w:p>
            <w:pPr>
              <w:pStyle w:val="10"/>
              <w:spacing w:line="280" w:lineRule="exact"/>
              <w:ind w:firstLine="0" w:firstLineChars="0"/>
              <w:jc w:val="center"/>
              <w:rPr>
                <w:rFonts w:ascii="Times New Roman" w:hAnsi="Times New Roman" w:eastAsiaTheme="minorEastAsia"/>
                <w:b/>
                <w:szCs w:val="21"/>
              </w:rPr>
            </w:pPr>
            <w:r>
              <w:rPr>
                <w:rFonts w:ascii="Times New Roman" w:hAnsi="Times New Roman" w:eastAsiaTheme="minorEastAsia"/>
                <w:b/>
                <w:szCs w:val="21"/>
              </w:rPr>
              <w:t>治理措施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trPr>
        <w:tc>
          <w:tcPr>
            <w:tcW w:w="297" w:type="pct"/>
            <w:shd w:val="clear" w:color="auto" w:fill="auto"/>
            <w:vAlign w:val="center"/>
          </w:tcPr>
          <w:p>
            <w:pPr>
              <w:pStyle w:val="10"/>
              <w:spacing w:line="28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S1</w:t>
            </w:r>
          </w:p>
        </w:tc>
        <w:tc>
          <w:tcPr>
            <w:tcW w:w="1052"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失活催化剂回收罐</w:t>
            </w:r>
          </w:p>
        </w:tc>
        <w:tc>
          <w:tcPr>
            <w:tcW w:w="950"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废催化剂</w:t>
            </w:r>
          </w:p>
        </w:tc>
        <w:tc>
          <w:tcPr>
            <w:tcW w:w="623"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危险固废</w:t>
            </w:r>
          </w:p>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HW06</w:t>
            </w:r>
          </w:p>
        </w:tc>
        <w:tc>
          <w:tcPr>
            <w:tcW w:w="619"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2.11t/a</w:t>
            </w:r>
          </w:p>
        </w:tc>
        <w:tc>
          <w:tcPr>
            <w:tcW w:w="522"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0</w:t>
            </w:r>
          </w:p>
        </w:tc>
        <w:tc>
          <w:tcPr>
            <w:tcW w:w="937"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由原催化剂厂家回收再生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trPr>
        <w:tc>
          <w:tcPr>
            <w:tcW w:w="297" w:type="pct"/>
            <w:shd w:val="clear" w:color="auto" w:fill="auto"/>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S2</w:t>
            </w:r>
          </w:p>
        </w:tc>
        <w:tc>
          <w:tcPr>
            <w:tcW w:w="1052"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甲基丙烯醛汽提塔重组分</w:t>
            </w:r>
          </w:p>
        </w:tc>
        <w:tc>
          <w:tcPr>
            <w:tcW w:w="950"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甲基丙烯醛、2甲基2戊烯醛</w:t>
            </w:r>
          </w:p>
        </w:tc>
        <w:tc>
          <w:tcPr>
            <w:tcW w:w="623"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危险固废</w:t>
            </w:r>
          </w:p>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HW11</w:t>
            </w:r>
          </w:p>
        </w:tc>
        <w:tc>
          <w:tcPr>
            <w:tcW w:w="619"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0.641t/a</w:t>
            </w:r>
          </w:p>
        </w:tc>
        <w:tc>
          <w:tcPr>
            <w:tcW w:w="522"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0</w:t>
            </w:r>
          </w:p>
        </w:tc>
        <w:tc>
          <w:tcPr>
            <w:tcW w:w="937" w:type="pct"/>
            <w:vMerge w:val="restar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交由有相应处理资质的单位代为处置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trPr>
        <w:tc>
          <w:tcPr>
            <w:tcW w:w="297" w:type="pct"/>
            <w:shd w:val="clear" w:color="auto" w:fill="auto"/>
            <w:vAlign w:val="center"/>
          </w:tcPr>
          <w:p>
            <w:pPr>
              <w:spacing w:line="280" w:lineRule="exact"/>
              <w:jc w:val="center"/>
              <w:rPr>
                <w:rFonts w:ascii="Times New Roman" w:hAnsi="Times New Roman" w:eastAsiaTheme="minorEastAsia"/>
                <w:szCs w:val="21"/>
              </w:rPr>
            </w:pPr>
            <w:r>
              <w:rPr>
                <w:rFonts w:ascii="Times New Roman" w:hAnsi="Times New Roman" w:eastAsiaTheme="minorEastAsia"/>
                <w:szCs w:val="21"/>
              </w:rPr>
              <w:t>S3</w:t>
            </w:r>
          </w:p>
        </w:tc>
        <w:tc>
          <w:tcPr>
            <w:tcW w:w="1052"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甲基丙烯酸汽提塔重组分</w:t>
            </w:r>
          </w:p>
        </w:tc>
        <w:tc>
          <w:tcPr>
            <w:tcW w:w="950"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甲基丙烯酸、其他重组分</w:t>
            </w:r>
          </w:p>
        </w:tc>
        <w:tc>
          <w:tcPr>
            <w:tcW w:w="623"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危险固废HW11</w:t>
            </w:r>
          </w:p>
        </w:tc>
        <w:tc>
          <w:tcPr>
            <w:tcW w:w="619"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2.081t/a</w:t>
            </w:r>
          </w:p>
        </w:tc>
        <w:tc>
          <w:tcPr>
            <w:tcW w:w="522" w:type="pct"/>
            <w:shd w:val="clear" w:color="auto" w:fill="auto"/>
            <w:vAlign w:val="center"/>
          </w:tcPr>
          <w:p>
            <w:pPr>
              <w:pStyle w:val="10"/>
              <w:spacing w:line="30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0</w:t>
            </w:r>
          </w:p>
        </w:tc>
        <w:tc>
          <w:tcPr>
            <w:tcW w:w="937" w:type="pct"/>
            <w:vMerge w:val="continue"/>
            <w:shd w:val="clear" w:color="auto" w:fill="auto"/>
            <w:vAlign w:val="center"/>
          </w:tcPr>
          <w:p>
            <w:pPr>
              <w:pStyle w:val="10"/>
              <w:spacing w:line="300" w:lineRule="exact"/>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05" w:hRule="atLeast"/>
        </w:trPr>
        <w:tc>
          <w:tcPr>
            <w:tcW w:w="297" w:type="pct"/>
            <w:shd w:val="clear" w:color="auto" w:fill="auto"/>
            <w:vAlign w:val="center"/>
          </w:tcPr>
          <w:p>
            <w:pPr>
              <w:pStyle w:val="10"/>
              <w:spacing w:line="28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S4</w:t>
            </w:r>
          </w:p>
        </w:tc>
        <w:tc>
          <w:tcPr>
            <w:tcW w:w="1052"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甲基丙烯酸甲酯精馏重组分</w:t>
            </w:r>
          </w:p>
        </w:tc>
        <w:tc>
          <w:tcPr>
            <w:tcW w:w="950"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甲基丙烯酸甲酯、其他重组分</w:t>
            </w:r>
          </w:p>
        </w:tc>
        <w:tc>
          <w:tcPr>
            <w:tcW w:w="623"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危险固废HW11</w:t>
            </w:r>
          </w:p>
        </w:tc>
        <w:tc>
          <w:tcPr>
            <w:tcW w:w="619"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2.504t/a</w:t>
            </w:r>
          </w:p>
        </w:tc>
        <w:tc>
          <w:tcPr>
            <w:tcW w:w="522"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0</w:t>
            </w:r>
          </w:p>
        </w:tc>
        <w:tc>
          <w:tcPr>
            <w:tcW w:w="937" w:type="pct"/>
            <w:vMerge w:val="continue"/>
            <w:shd w:val="clear" w:color="auto" w:fill="auto"/>
            <w:vAlign w:val="center"/>
          </w:tcPr>
          <w:p>
            <w:pPr>
              <w:pStyle w:val="10"/>
              <w:spacing w:line="300" w:lineRule="exact"/>
              <w:ind w:firstLine="0" w:firstLineChars="0"/>
              <w:jc w:val="cente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9" w:hRule="atLeast"/>
        </w:trPr>
        <w:tc>
          <w:tcPr>
            <w:tcW w:w="297" w:type="pct"/>
            <w:shd w:val="clear" w:color="auto" w:fill="auto"/>
            <w:vAlign w:val="center"/>
          </w:tcPr>
          <w:p>
            <w:pPr>
              <w:pStyle w:val="10"/>
              <w:spacing w:line="280" w:lineRule="exact"/>
              <w:ind w:firstLine="0" w:firstLineChars="0"/>
              <w:jc w:val="center"/>
              <w:rPr>
                <w:rFonts w:ascii="Times New Roman" w:hAnsi="Times New Roman" w:eastAsiaTheme="minorEastAsia"/>
                <w:szCs w:val="21"/>
              </w:rPr>
            </w:pPr>
            <w:r>
              <w:rPr>
                <w:rFonts w:ascii="Times New Roman" w:hAnsi="Times New Roman" w:eastAsiaTheme="minorEastAsia"/>
                <w:szCs w:val="21"/>
              </w:rPr>
              <w:t>S5</w:t>
            </w:r>
          </w:p>
        </w:tc>
        <w:tc>
          <w:tcPr>
            <w:tcW w:w="1052"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办公生活</w:t>
            </w:r>
          </w:p>
        </w:tc>
        <w:tc>
          <w:tcPr>
            <w:tcW w:w="950"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生活垃圾</w:t>
            </w:r>
          </w:p>
        </w:tc>
        <w:tc>
          <w:tcPr>
            <w:tcW w:w="623"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一般固废</w:t>
            </w:r>
          </w:p>
        </w:tc>
        <w:tc>
          <w:tcPr>
            <w:tcW w:w="619"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3.15t /a</w:t>
            </w:r>
          </w:p>
        </w:tc>
        <w:tc>
          <w:tcPr>
            <w:tcW w:w="522" w:type="pct"/>
            <w:shd w:val="clear" w:color="auto" w:fill="auto"/>
            <w:vAlign w:val="center"/>
          </w:tcPr>
          <w:p>
            <w:pPr>
              <w:spacing w:line="300" w:lineRule="exact"/>
              <w:jc w:val="center"/>
              <w:rPr>
                <w:rFonts w:ascii="Times New Roman" w:hAnsi="Times New Roman" w:eastAsiaTheme="minorEastAsia"/>
                <w:szCs w:val="21"/>
              </w:rPr>
            </w:pPr>
            <w:r>
              <w:rPr>
                <w:rFonts w:ascii="Times New Roman" w:hAnsi="Times New Roman" w:eastAsiaTheme="minorEastAsia"/>
                <w:szCs w:val="21"/>
              </w:rPr>
              <w:t>0</w:t>
            </w:r>
          </w:p>
        </w:tc>
        <w:tc>
          <w:tcPr>
            <w:tcW w:w="937" w:type="pct"/>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由环卫部门统一处理</w:t>
            </w:r>
          </w:p>
        </w:tc>
      </w:tr>
    </w:tbl>
    <w:p>
      <w:pPr>
        <w:pStyle w:val="9"/>
        <w:spacing w:before="0" w:after="0" w:line="520" w:lineRule="exact"/>
        <w:ind w:firstLine="200"/>
        <w:rPr>
          <w:rStyle w:val="37"/>
          <w:rFonts w:eastAsiaTheme="minorEastAsia"/>
          <w:sz w:val="28"/>
          <w:szCs w:val="28"/>
          <w:lang w:val="zh-TW"/>
        </w:rPr>
      </w:pPr>
      <w:r>
        <w:rPr>
          <w:rStyle w:val="37"/>
          <w:rFonts w:eastAsiaTheme="minorEastAsia"/>
          <w:sz w:val="28"/>
          <w:szCs w:val="28"/>
          <w:lang w:val="zh-TW"/>
        </w:rPr>
        <w:t>（5）污染物排放量统计</w:t>
      </w:r>
    </w:p>
    <w:p>
      <w:pPr>
        <w:spacing w:line="520" w:lineRule="exact"/>
        <w:ind w:firstLine="560" w:firstLineChars="200"/>
        <w:rPr>
          <w:rFonts w:ascii="Times New Roman" w:hAnsi="Times New Roman"/>
          <w:sz w:val="28"/>
          <w:szCs w:val="28"/>
        </w:rPr>
      </w:pPr>
      <w:r>
        <w:rPr>
          <w:rFonts w:ascii="Times New Roman" w:hAnsi="Times New Roman"/>
          <w:sz w:val="28"/>
          <w:szCs w:val="28"/>
        </w:rPr>
        <w:t>项目主要污染物产、排情况详</w:t>
      </w:r>
      <w:r>
        <w:rPr>
          <w:rFonts w:ascii="Times New Roman" w:hAnsi="Times New Roman" w:eastAsiaTheme="minorEastAsia"/>
          <w:sz w:val="28"/>
          <w:szCs w:val="28"/>
        </w:rPr>
        <w:t>见表3.1-21。</w:t>
      </w:r>
    </w:p>
    <w:p>
      <w:pPr>
        <w:pStyle w:val="32"/>
        <w:ind w:firstLine="679" w:firstLineChars="282"/>
      </w:pPr>
      <w:r>
        <w:t>表3.1-21                项目污染物产排情况一览表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28" w:type="dxa"/>
          <w:left w:w="108" w:type="dxa"/>
          <w:bottom w:w="28" w:type="dxa"/>
          <w:right w:w="108" w:type="dxa"/>
        </w:tblCellMar>
      </w:tblPr>
      <w:tblGrid>
        <w:gridCol w:w="785"/>
        <w:gridCol w:w="1745"/>
        <w:gridCol w:w="2116"/>
        <w:gridCol w:w="1509"/>
        <w:gridCol w:w="1511"/>
        <w:gridCol w:w="150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shd w:val="clear" w:color="auto" w:fill="auto"/>
            <w:vAlign w:val="center"/>
          </w:tcPr>
          <w:p>
            <w:pPr>
              <w:jc w:val="center"/>
              <w:rPr>
                <w:rFonts w:ascii="Times New Roman" w:hAnsi="Times New Roman" w:eastAsiaTheme="minorEastAsia"/>
                <w:b/>
                <w:szCs w:val="21"/>
              </w:rPr>
            </w:pPr>
            <w:r>
              <w:rPr>
                <w:rFonts w:ascii="Times New Roman" w:hAnsi="Times New Roman" w:eastAsiaTheme="minorEastAsia"/>
                <w:b/>
                <w:szCs w:val="21"/>
              </w:rPr>
              <w:t>项目</w:t>
            </w:r>
          </w:p>
        </w:tc>
        <w:tc>
          <w:tcPr>
            <w:tcW w:w="1745" w:type="dxa"/>
            <w:shd w:val="clear" w:color="auto" w:fill="auto"/>
            <w:vAlign w:val="center"/>
          </w:tcPr>
          <w:p>
            <w:pPr>
              <w:jc w:val="center"/>
              <w:rPr>
                <w:rFonts w:ascii="Times New Roman" w:hAnsi="Times New Roman" w:eastAsiaTheme="minorEastAsia"/>
                <w:b/>
                <w:szCs w:val="21"/>
              </w:rPr>
            </w:pPr>
            <w:r>
              <w:rPr>
                <w:rFonts w:ascii="Times New Roman" w:hAnsi="Times New Roman" w:eastAsiaTheme="minorEastAsia"/>
                <w:b/>
                <w:szCs w:val="21"/>
              </w:rPr>
              <w:t>污染源</w:t>
            </w:r>
          </w:p>
        </w:tc>
        <w:tc>
          <w:tcPr>
            <w:tcW w:w="2116" w:type="dxa"/>
            <w:shd w:val="clear" w:color="auto" w:fill="auto"/>
            <w:vAlign w:val="center"/>
          </w:tcPr>
          <w:p>
            <w:pPr>
              <w:jc w:val="center"/>
              <w:rPr>
                <w:rFonts w:ascii="Times New Roman" w:hAnsi="Times New Roman" w:eastAsiaTheme="minorEastAsia"/>
                <w:b/>
                <w:szCs w:val="21"/>
              </w:rPr>
            </w:pPr>
            <w:r>
              <w:rPr>
                <w:rFonts w:ascii="Times New Roman" w:hAnsi="Times New Roman" w:eastAsiaTheme="minorEastAsia"/>
                <w:b/>
                <w:szCs w:val="21"/>
              </w:rPr>
              <w:t>污染物</w:t>
            </w:r>
          </w:p>
        </w:tc>
        <w:tc>
          <w:tcPr>
            <w:tcW w:w="1509" w:type="dxa"/>
            <w:shd w:val="clear" w:color="auto" w:fill="auto"/>
            <w:vAlign w:val="center"/>
          </w:tcPr>
          <w:p>
            <w:pPr>
              <w:jc w:val="center"/>
              <w:rPr>
                <w:rFonts w:ascii="Times New Roman" w:hAnsi="Times New Roman" w:eastAsiaTheme="minorEastAsia"/>
                <w:b/>
                <w:szCs w:val="21"/>
              </w:rPr>
            </w:pPr>
            <w:r>
              <w:rPr>
                <w:rFonts w:ascii="Times New Roman" w:hAnsi="Times New Roman" w:eastAsiaTheme="minorEastAsia"/>
                <w:b/>
                <w:szCs w:val="21"/>
              </w:rPr>
              <w:t>产生量t/a</w:t>
            </w:r>
          </w:p>
        </w:tc>
        <w:tc>
          <w:tcPr>
            <w:tcW w:w="1511" w:type="dxa"/>
            <w:shd w:val="clear" w:color="auto" w:fill="auto"/>
            <w:tcMar>
              <w:left w:w="28" w:type="dxa"/>
              <w:right w:w="28" w:type="dxa"/>
            </w:tcMar>
            <w:vAlign w:val="center"/>
          </w:tcPr>
          <w:p>
            <w:pPr>
              <w:jc w:val="center"/>
              <w:rPr>
                <w:rFonts w:ascii="Times New Roman" w:hAnsi="Times New Roman" w:eastAsiaTheme="minorEastAsia"/>
                <w:b/>
                <w:szCs w:val="21"/>
              </w:rPr>
            </w:pPr>
            <w:r>
              <w:rPr>
                <w:rFonts w:ascii="Times New Roman" w:hAnsi="Times New Roman" w:eastAsiaTheme="minorEastAsia"/>
                <w:b/>
                <w:szCs w:val="21"/>
              </w:rPr>
              <w:t>削减量t/a</w:t>
            </w:r>
          </w:p>
        </w:tc>
        <w:tc>
          <w:tcPr>
            <w:tcW w:w="1509" w:type="dxa"/>
            <w:shd w:val="clear" w:color="auto" w:fill="auto"/>
            <w:vAlign w:val="center"/>
          </w:tcPr>
          <w:p>
            <w:pPr>
              <w:jc w:val="center"/>
              <w:rPr>
                <w:rFonts w:ascii="Times New Roman" w:hAnsi="Times New Roman" w:eastAsiaTheme="minorEastAsia"/>
                <w:b/>
                <w:szCs w:val="21"/>
              </w:rPr>
            </w:pPr>
            <w:r>
              <w:rPr>
                <w:rFonts w:ascii="Times New Roman" w:hAnsi="Times New Roman" w:eastAsiaTheme="minorEastAsia"/>
                <w:b/>
                <w:szCs w:val="21"/>
              </w:rPr>
              <w:t>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废气</w:t>
            </w:r>
          </w:p>
        </w:tc>
        <w:tc>
          <w:tcPr>
            <w:tcW w:w="1745" w:type="dxa"/>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装置不凝气</w:t>
            </w: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乙烯</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51.87</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51.87</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CO</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46.84</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46.84</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丙醛</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15.75</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15.75</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甲醛</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0.12</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0.12</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甲基丙烯醛</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72.26</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72.26</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装置无组织废气</w:t>
            </w: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VOCs</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0.488</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0.488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甲醇</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0.036</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59"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1745" w:type="dxa"/>
            <w:vMerge w:val="continue"/>
            <w:shd w:val="clear" w:color="auto" w:fill="auto"/>
            <w:vAlign w:val="center"/>
          </w:tcPr>
          <w:p>
            <w:pPr>
              <w:jc w:val="center"/>
              <w:rPr>
                <w:rFonts w:ascii="Times New Roman" w:hAnsi="Times New Roman" w:eastAsiaTheme="minorEastAsia"/>
                <w:szCs w:val="21"/>
              </w:rPr>
            </w:pPr>
          </w:p>
        </w:tc>
        <w:tc>
          <w:tcPr>
            <w:tcW w:w="2116" w:type="dxa"/>
            <w:shd w:val="clear" w:color="auto" w:fill="auto"/>
            <w:vAlign w:val="center"/>
          </w:tcPr>
          <w:p>
            <w:pPr>
              <w:snapToGrid w:val="0"/>
              <w:spacing w:line="300" w:lineRule="exact"/>
              <w:jc w:val="center"/>
              <w:outlineLvl w:val="0"/>
              <w:rPr>
                <w:rFonts w:ascii="Times New Roman" w:hAnsi="Times New Roman" w:eastAsiaTheme="minorEastAsia"/>
                <w:szCs w:val="21"/>
              </w:rPr>
            </w:pPr>
            <w:r>
              <w:rPr>
                <w:rFonts w:ascii="Times New Roman" w:hAnsi="Times New Roman" w:eastAsiaTheme="minorEastAsia"/>
                <w:szCs w:val="21"/>
              </w:rPr>
              <w:t>CO</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0.036</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废</w:t>
            </w:r>
          </w:p>
          <w:p>
            <w:pPr>
              <w:jc w:val="center"/>
              <w:rPr>
                <w:rFonts w:ascii="Times New Roman" w:hAnsi="Times New Roman" w:eastAsiaTheme="minorEastAsia"/>
                <w:szCs w:val="21"/>
              </w:rPr>
            </w:pPr>
            <w:r>
              <w:rPr>
                <w:rFonts w:ascii="Times New Roman" w:hAnsi="Times New Roman" w:eastAsiaTheme="minorEastAsia"/>
                <w:szCs w:val="21"/>
              </w:rPr>
              <w:t>水</w:t>
            </w: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废水量（万m</w:t>
            </w:r>
            <w:r>
              <w:rPr>
                <w:rFonts w:ascii="Times New Roman" w:hAnsi="Times New Roman" w:eastAsiaTheme="minorEastAsia"/>
                <w:szCs w:val="21"/>
                <w:vertAlign w:val="superscript"/>
              </w:rPr>
              <w:t>3</w:t>
            </w:r>
            <w:r>
              <w:rPr>
                <w:rFonts w:ascii="Times New Roman" w:hAnsi="Times New Roman" w:eastAsiaTheme="minorEastAsia"/>
                <w:szCs w:val="21"/>
              </w:rPr>
              <w: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1.1556</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1.1556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COD（t/a）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3.209</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2.785</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0.424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BOD</w:t>
            </w:r>
            <w:r>
              <w:rPr>
                <w:rFonts w:ascii="Times New Roman" w:hAnsi="Times New Roman" w:eastAsiaTheme="minorEastAsia"/>
                <w:szCs w:val="21"/>
                <w:vertAlign w:val="subscript"/>
              </w:rPr>
              <w:t>5</w:t>
            </w:r>
            <w:r>
              <w:rPr>
                <w:rFonts w:ascii="Times New Roman" w:hAnsi="Times New Roman" w:eastAsiaTheme="minorEastAsia"/>
                <w:szCs w:val="21"/>
              </w:rPr>
              <w:t>（t/a）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1.503</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1.422</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0.081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氨氮（t/a）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0.034</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0.011</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0.023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SS（t/a）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0.892</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0.730</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0.162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restar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固体废物</w:t>
            </w: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危险固废（t/a）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7.336</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7.336</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60" w:hRule="atLeast"/>
        </w:trPr>
        <w:tc>
          <w:tcPr>
            <w:tcW w:w="785" w:type="dxa"/>
            <w:vMerge w:val="continue"/>
            <w:shd w:val="clear" w:color="auto" w:fill="auto"/>
            <w:vAlign w:val="center"/>
          </w:tcPr>
          <w:p>
            <w:pPr>
              <w:jc w:val="center"/>
              <w:rPr>
                <w:rFonts w:ascii="Times New Roman" w:hAnsi="Times New Roman" w:eastAsiaTheme="minorEastAsia"/>
                <w:szCs w:val="21"/>
              </w:rPr>
            </w:pPr>
          </w:p>
        </w:tc>
        <w:tc>
          <w:tcPr>
            <w:tcW w:w="3861" w:type="dxa"/>
            <w:gridSpan w:val="2"/>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一般固废（t/a）</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3.15</w:t>
            </w:r>
          </w:p>
        </w:tc>
        <w:tc>
          <w:tcPr>
            <w:tcW w:w="1511"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3.15</w:t>
            </w:r>
          </w:p>
        </w:tc>
        <w:tc>
          <w:tcPr>
            <w:tcW w:w="1509" w:type="dxa"/>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bl>
    <w:p>
      <w:pPr>
        <w:pStyle w:val="5"/>
        <w:spacing w:before="0" w:after="0" w:line="520" w:lineRule="exact"/>
        <w:rPr>
          <w:rFonts w:ascii="Times New Roman" w:hAnsi="Times New Roman"/>
          <w:sz w:val="24"/>
          <w:lang w:eastAsia="zh-CN"/>
        </w:rPr>
      </w:pPr>
      <w:r>
        <w:rPr>
          <w:rFonts w:ascii="Times New Roman" w:hAnsi="Times New Roman" w:eastAsia="楷体_GB2312"/>
          <w:sz w:val="28"/>
          <w:szCs w:val="28"/>
          <w:lang w:val="en-US" w:eastAsia="zh-CN"/>
        </w:rPr>
        <w:t>3.1.4  30万吨/年液体二氧化碳回收利用项目</w:t>
      </w:r>
    </w:p>
    <w:p>
      <w:pPr>
        <w:pStyle w:val="33"/>
        <w:adjustRightInd w:val="0"/>
        <w:snapToGrid w:val="0"/>
      </w:pPr>
      <w:r>
        <w:t>3.1.4.1  建设内容</w:t>
      </w:r>
    </w:p>
    <w:p>
      <w:pPr>
        <w:autoSpaceDE w:val="0"/>
        <w:autoSpaceDN w:val="0"/>
        <w:adjustRightInd w:val="0"/>
        <w:spacing w:line="520" w:lineRule="exact"/>
        <w:ind w:firstLine="560" w:firstLineChars="200"/>
        <w:rPr>
          <w:rFonts w:ascii="Times New Roman" w:hAnsi="Times New Roman" w:eastAsiaTheme="minorEastAsia"/>
          <w:sz w:val="28"/>
          <w:szCs w:val="28"/>
          <w:lang w:val="zh-CN"/>
        </w:rPr>
      </w:pPr>
      <w:r>
        <w:rPr>
          <w:rFonts w:ascii="Times New Roman" w:hAnsi="Times New Roman" w:eastAsiaTheme="minorEastAsia"/>
          <w:sz w:val="28"/>
          <w:szCs w:val="28"/>
          <w:lang w:val="zh-CN"/>
        </w:rPr>
        <w:t>利用甲醇厂甲醇生产线副产品二氧化碳气体，建设30万吨/年二氧化碳液化项目。项目分两期完成，一期生产规模为5万吨液化二氧化碳/年，二期生产规模为25万吨液化二氧化碳/年，原料来源均为中原大化甲醇项目甲醇洗涤工段富裕二氧化碳，一期生产装置直接利用原有压缩机三级出口处二氧化碳，二氧化碳气体再经过减压、氨蒸发器进一步降温后，进入分离器气液分离，分离出的气体通过低温排气筒放空，分离出的液体送入二氧化碳成品储罐，装车外运；二期生产装置利用甲醇洗涤工序后的二氧化碳，经过本项目新购置的压缩机增压，再经氨蒸发器冷却，进入分离器进行气液分离，分离出的气体通过低温排气筒放空，分离出的液体送入二氧化碳成品储罐，装车外运。</w:t>
      </w:r>
    </w:p>
    <w:p>
      <w:pPr>
        <w:autoSpaceDE w:val="0"/>
        <w:autoSpaceDN w:val="0"/>
        <w:adjustRightInd w:val="0"/>
        <w:spacing w:line="520" w:lineRule="exact"/>
        <w:ind w:firstLine="560" w:firstLineChars="200"/>
        <w:rPr>
          <w:rFonts w:ascii="Times New Roman" w:hAnsi="Times New Roman" w:eastAsiaTheme="minorEastAsia"/>
          <w:sz w:val="28"/>
          <w:szCs w:val="28"/>
          <w:lang w:val="zh-CN"/>
        </w:rPr>
      </w:pPr>
      <w:r>
        <w:rPr>
          <w:rFonts w:hint="eastAsia" w:ascii="Times New Roman" w:hAnsi="Times New Roman" w:eastAsiaTheme="minorEastAsia"/>
          <w:sz w:val="28"/>
          <w:szCs w:val="28"/>
          <w:lang w:val="zh-CN"/>
        </w:rPr>
        <w:t>目前该项目一期工程已建成并完成自主验收。</w:t>
      </w:r>
    </w:p>
    <w:p>
      <w:pPr>
        <w:pStyle w:val="32"/>
        <w:ind w:firstLine="679" w:firstLineChars="282"/>
      </w:pPr>
      <w:r>
        <w:t>表3.1-22          项目概况及主要建设内容一览表</w:t>
      </w:r>
    </w:p>
    <w:tbl>
      <w:tblPr>
        <w:tblStyle w:val="22"/>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81"/>
        <w:gridCol w:w="1365"/>
        <w:gridCol w:w="1100"/>
        <w:gridCol w:w="5869"/>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序号</w:t>
            </w:r>
          </w:p>
        </w:tc>
        <w:tc>
          <w:tcPr>
            <w:tcW w:w="757"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名称</w:t>
            </w:r>
          </w:p>
        </w:tc>
        <w:tc>
          <w:tcPr>
            <w:tcW w:w="3865" w:type="pct"/>
            <w:gridSpan w:val="2"/>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内容</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1</w:t>
            </w:r>
          </w:p>
        </w:tc>
        <w:tc>
          <w:tcPr>
            <w:tcW w:w="757"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工程名称</w:t>
            </w:r>
          </w:p>
        </w:tc>
        <w:tc>
          <w:tcPr>
            <w:tcW w:w="3865" w:type="pct"/>
            <w:gridSpan w:val="2"/>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szCs w:val="21"/>
              </w:rPr>
              <w:t>30万吨/年液体二氧化碳回收利用项目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2</w:t>
            </w:r>
          </w:p>
        </w:tc>
        <w:tc>
          <w:tcPr>
            <w:tcW w:w="757"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建设性质</w:t>
            </w:r>
          </w:p>
        </w:tc>
        <w:tc>
          <w:tcPr>
            <w:tcW w:w="3865" w:type="pct"/>
            <w:gridSpan w:val="2"/>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改扩建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3</w:t>
            </w:r>
          </w:p>
        </w:tc>
        <w:tc>
          <w:tcPr>
            <w:tcW w:w="757"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建设地点</w:t>
            </w:r>
          </w:p>
        </w:tc>
        <w:tc>
          <w:tcPr>
            <w:tcW w:w="3865" w:type="pct"/>
            <w:gridSpan w:val="2"/>
            <w:tcMar>
              <w:left w:w="28" w:type="dxa"/>
              <w:right w:w="28" w:type="dxa"/>
            </w:tcMar>
            <w:vAlign w:val="center"/>
          </w:tcPr>
          <w:p>
            <w:pPr>
              <w:autoSpaceDE w:val="0"/>
              <w:autoSpaceDN w:val="0"/>
              <w:adjustRightInd w:val="0"/>
              <w:jc w:val="center"/>
              <w:rPr>
                <w:rFonts w:ascii="Times New Roman" w:hAnsi="Times New Roman" w:eastAsiaTheme="minorEastAsia"/>
                <w:szCs w:val="21"/>
                <w:lang w:val="zh-CN"/>
              </w:rPr>
            </w:pPr>
            <w:r>
              <w:rPr>
                <w:rFonts w:ascii="Times New Roman" w:hAnsi="Times New Roman" w:eastAsiaTheme="minorEastAsia"/>
                <w:szCs w:val="21"/>
                <w:lang w:val="zh-CN"/>
              </w:rPr>
              <w:t>河南省中原大化集团有限责任公司30万t/a甲醇项目厂区内</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4</w:t>
            </w:r>
          </w:p>
        </w:tc>
        <w:tc>
          <w:tcPr>
            <w:tcW w:w="757"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劳动定员</w:t>
            </w:r>
          </w:p>
        </w:tc>
        <w:tc>
          <w:tcPr>
            <w:tcW w:w="3865" w:type="pct"/>
            <w:gridSpan w:val="2"/>
            <w:tcMar>
              <w:left w:w="28" w:type="dxa"/>
              <w:right w:w="28" w:type="dxa"/>
            </w:tcMar>
            <w:vAlign w:val="center"/>
          </w:tcPr>
          <w:p>
            <w:pPr>
              <w:autoSpaceDE w:val="0"/>
              <w:autoSpaceDN w:val="0"/>
              <w:adjustRightInd w:val="0"/>
              <w:jc w:val="center"/>
              <w:rPr>
                <w:rFonts w:ascii="Times New Roman" w:hAnsi="Times New Roman" w:eastAsiaTheme="minorEastAsia"/>
                <w:szCs w:val="21"/>
                <w:lang w:val="zh-CN"/>
              </w:rPr>
            </w:pPr>
            <w:r>
              <w:rPr>
                <w:rFonts w:ascii="Times New Roman" w:hAnsi="Times New Roman" w:eastAsiaTheme="minorEastAsia"/>
                <w:szCs w:val="21"/>
                <w:lang w:val="zh-CN"/>
              </w:rPr>
              <w:t>12人，由大化原有员工内调度，项目不新增员工</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vMerge w:val="restar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5</w:t>
            </w:r>
          </w:p>
        </w:tc>
        <w:tc>
          <w:tcPr>
            <w:tcW w:w="757" w:type="pct"/>
            <w:vMerge w:val="restar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环保工程</w:t>
            </w:r>
          </w:p>
        </w:tc>
        <w:tc>
          <w:tcPr>
            <w:tcW w:w="610"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废气</w:t>
            </w:r>
          </w:p>
        </w:tc>
        <w:tc>
          <w:tcPr>
            <w:tcW w:w="3255" w:type="pct"/>
            <w:tcMar>
              <w:left w:w="28" w:type="dxa"/>
              <w:right w:w="28" w:type="dxa"/>
            </w:tcMar>
            <w:vAlign w:val="center"/>
          </w:tcPr>
          <w:p>
            <w:pPr>
              <w:autoSpaceDE w:val="0"/>
              <w:autoSpaceDN w:val="0"/>
              <w:adjustRightInd w:val="0"/>
              <w:rPr>
                <w:rFonts w:ascii="Times New Roman" w:hAnsi="Times New Roman" w:eastAsiaTheme="minorEastAsia"/>
                <w:kern w:val="0"/>
                <w:szCs w:val="21"/>
              </w:rPr>
            </w:pPr>
            <w:r>
              <w:rPr>
                <w:rFonts w:ascii="Times New Roman" w:hAnsi="Times New Roman" w:eastAsiaTheme="minorEastAsia"/>
                <w:szCs w:val="21"/>
                <w:lang w:val="zh-CN"/>
              </w:rPr>
              <w:t>主要</w:t>
            </w:r>
            <w:r>
              <w:rPr>
                <w:rFonts w:hint="eastAsia" w:ascii="Times New Roman" w:hAnsi="Times New Roman" w:eastAsiaTheme="minorEastAsia"/>
                <w:szCs w:val="21"/>
                <w:lang w:val="zh-CN"/>
              </w:rPr>
              <w:t>为</w:t>
            </w:r>
            <w:r>
              <w:rPr>
                <w:rFonts w:ascii="Times New Roman" w:hAnsi="Times New Roman" w:eastAsiaTheme="minorEastAsia"/>
                <w:szCs w:val="21"/>
                <w:lang w:val="zh-CN"/>
              </w:rPr>
              <w:t>不凝气，经86.3 m高低温排气筒高空排放</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58" w:hRule="atLeast"/>
        </w:trPr>
        <w:tc>
          <w:tcPr>
            <w:tcW w:w="378" w:type="pct"/>
            <w:vMerge w:val="continue"/>
            <w:tcBorders>
              <w:bottom w:val="single" w:color="000000" w:sz="4" w:space="0"/>
            </w:tcBorders>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757" w:type="pct"/>
            <w:vMerge w:val="continue"/>
            <w:tcBorders>
              <w:bottom w:val="single" w:color="000000" w:sz="4" w:space="0"/>
            </w:tcBorders>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610" w:type="pct"/>
            <w:tcBorders>
              <w:bottom w:val="single" w:color="000000" w:sz="4" w:space="0"/>
            </w:tcBorders>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废水</w:t>
            </w:r>
          </w:p>
        </w:tc>
        <w:tc>
          <w:tcPr>
            <w:tcW w:w="3255" w:type="pct"/>
            <w:tcBorders>
              <w:bottom w:val="single" w:color="000000" w:sz="4" w:space="0"/>
            </w:tcBorders>
            <w:tcMar>
              <w:left w:w="28" w:type="dxa"/>
              <w:right w:w="28" w:type="dxa"/>
            </w:tcMar>
            <w:vAlign w:val="center"/>
          </w:tcPr>
          <w:p>
            <w:pPr>
              <w:autoSpaceDE w:val="0"/>
              <w:autoSpaceDN w:val="0"/>
              <w:adjustRightInd w:val="0"/>
              <w:jc w:val="left"/>
              <w:rPr>
                <w:rFonts w:ascii="Times New Roman" w:hAnsi="Times New Roman" w:eastAsiaTheme="minorEastAsia"/>
                <w:kern w:val="0"/>
                <w:szCs w:val="21"/>
              </w:rPr>
            </w:pPr>
            <w:r>
              <w:rPr>
                <w:rFonts w:ascii="Times New Roman" w:hAnsi="Times New Roman" w:eastAsiaTheme="minorEastAsia"/>
                <w:szCs w:val="21"/>
              </w:rPr>
              <w:t>主要为生活污水及清洁冷凝水</w:t>
            </w:r>
            <w:r>
              <w:rPr>
                <w:rFonts w:ascii="Times New Roman" w:hAnsi="Times New Roman" w:eastAsiaTheme="minorEastAsia"/>
                <w:spacing w:val="-2"/>
                <w:szCs w:val="21"/>
              </w:rPr>
              <w:t>；</w:t>
            </w:r>
            <w:r>
              <w:rPr>
                <w:rFonts w:ascii="Times New Roman" w:hAnsi="Times New Roman" w:eastAsiaTheme="minorEastAsia"/>
                <w:kern w:val="0"/>
                <w:szCs w:val="21"/>
              </w:rPr>
              <w:t xml:space="preserve"> </w:t>
            </w:r>
            <w:r>
              <w:rPr>
                <w:rFonts w:ascii="Times New Roman" w:hAnsi="Times New Roman" w:eastAsiaTheme="minorEastAsia"/>
                <w:szCs w:val="21"/>
              </w:rPr>
              <w:t>经大化原有污水处理站处理达标后通过总排污口排入濮阳市第二污水处理厂。</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vMerge w:val="continue"/>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757" w:type="pct"/>
            <w:vMerge w:val="continue"/>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610"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噪声</w:t>
            </w:r>
          </w:p>
        </w:tc>
        <w:tc>
          <w:tcPr>
            <w:tcW w:w="3255" w:type="pct"/>
            <w:tcMar>
              <w:left w:w="28" w:type="dxa"/>
              <w:right w:w="28" w:type="dxa"/>
            </w:tcMar>
            <w:vAlign w:val="center"/>
          </w:tcPr>
          <w:p>
            <w:pPr>
              <w:autoSpaceDE w:val="0"/>
              <w:autoSpaceDN w:val="0"/>
              <w:adjustRightInd w:val="0"/>
              <w:jc w:val="left"/>
              <w:rPr>
                <w:rFonts w:ascii="Times New Roman" w:hAnsi="Times New Roman" w:eastAsiaTheme="minorEastAsia"/>
                <w:kern w:val="0"/>
                <w:szCs w:val="21"/>
              </w:rPr>
            </w:pPr>
            <w:r>
              <w:rPr>
                <w:rFonts w:ascii="Times New Roman" w:hAnsi="Times New Roman" w:eastAsiaTheme="minorEastAsia"/>
                <w:kern w:val="0"/>
                <w:szCs w:val="21"/>
              </w:rPr>
              <w:t>基础减震、距离衰减</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vMerge w:val="continue"/>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757" w:type="pct"/>
            <w:vMerge w:val="continue"/>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p>
        </w:tc>
        <w:tc>
          <w:tcPr>
            <w:tcW w:w="610" w:type="pct"/>
            <w:tcMar>
              <w:left w:w="28" w:type="dxa"/>
              <w:right w:w="28" w:type="dxa"/>
            </w:tcMar>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固体废物</w:t>
            </w:r>
          </w:p>
        </w:tc>
        <w:tc>
          <w:tcPr>
            <w:tcW w:w="3255" w:type="pct"/>
            <w:tcMar>
              <w:left w:w="28" w:type="dxa"/>
              <w:right w:w="28" w:type="dxa"/>
            </w:tcMar>
            <w:vAlign w:val="center"/>
          </w:tcPr>
          <w:p>
            <w:pPr>
              <w:autoSpaceDE w:val="0"/>
              <w:autoSpaceDN w:val="0"/>
              <w:adjustRightInd w:val="0"/>
              <w:jc w:val="left"/>
              <w:rPr>
                <w:rFonts w:ascii="Times New Roman" w:hAnsi="Times New Roman" w:eastAsiaTheme="minorEastAsia"/>
                <w:kern w:val="0"/>
                <w:szCs w:val="21"/>
              </w:rPr>
            </w:pPr>
            <w:r>
              <w:rPr>
                <w:rFonts w:ascii="Times New Roman" w:hAnsi="Times New Roman" w:eastAsiaTheme="minorEastAsia"/>
                <w:szCs w:val="21"/>
              </w:rPr>
              <w:t>废分子筛由厂家回收处理，生活垃圾填埋处置。</w:t>
            </w:r>
          </w:p>
        </w:tc>
      </w:tr>
    </w:tbl>
    <w:p>
      <w:pPr>
        <w:pStyle w:val="33"/>
        <w:adjustRightInd w:val="0"/>
        <w:snapToGrid w:val="0"/>
      </w:pPr>
      <w:r>
        <w:t>3.1.4.2  生产工艺</w:t>
      </w:r>
    </w:p>
    <w:p>
      <w:pPr>
        <w:spacing w:line="520" w:lineRule="exact"/>
        <w:ind w:firstLine="562" w:firstLineChars="200"/>
        <w:rPr>
          <w:rFonts w:ascii="Times New Roman" w:hAnsi="Times New Roman" w:eastAsiaTheme="minorEastAsia"/>
          <w:b/>
          <w:bCs/>
          <w:sz w:val="28"/>
          <w:szCs w:val="28"/>
        </w:rPr>
      </w:pPr>
      <w:bookmarkStart w:id="55" w:name="OLE_LINK7"/>
      <w:bookmarkStart w:id="56" w:name="OLE_LINK4"/>
      <w:r>
        <w:rPr>
          <w:rFonts w:ascii="Times New Roman" w:hAnsi="Times New Roman" w:eastAsiaTheme="minorEastAsia"/>
          <w:b/>
          <w:bCs/>
          <w:sz w:val="28"/>
          <w:szCs w:val="28"/>
        </w:rPr>
        <w:t>（1）一期装置营运期工艺流程简述：</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项目二氧化碳原料气（5.2Mpa、38</w:t>
      </w:r>
      <w:r>
        <w:rPr>
          <w:rFonts w:ascii="Times New Roman" w:hAnsi="Times New Roman"/>
          <w:sz w:val="28"/>
          <w:szCs w:val="28"/>
        </w:rPr>
        <w:t>℃</w:t>
      </w:r>
      <w:r>
        <w:rPr>
          <w:rFonts w:ascii="Times New Roman" w:hAnsi="Times New Roman" w:eastAsiaTheme="minorEastAsia"/>
          <w:sz w:val="28"/>
          <w:szCs w:val="28"/>
        </w:rPr>
        <w:t>），在管道中经过减压阀减至2.6Mpa后，温度降至6.4</w:t>
      </w:r>
      <w:r>
        <w:rPr>
          <w:rFonts w:ascii="Times New Roman" w:hAnsi="Times New Roman"/>
          <w:sz w:val="28"/>
          <w:szCs w:val="28"/>
        </w:rPr>
        <w:t>℃</w:t>
      </w:r>
      <w:r>
        <w:rPr>
          <w:rFonts w:ascii="Times New Roman" w:hAnsi="Times New Roman" w:eastAsiaTheme="minorEastAsia"/>
          <w:sz w:val="28"/>
          <w:szCs w:val="28"/>
        </w:rPr>
        <w:t>，经过氨蒸发器进一步降温，出口处物料温度约为-22.8</w:t>
      </w:r>
      <w:r>
        <w:rPr>
          <w:rFonts w:ascii="Times New Roman" w:hAnsi="Times New Roman"/>
          <w:sz w:val="28"/>
          <w:szCs w:val="28"/>
        </w:rPr>
        <w:t>℃</w:t>
      </w:r>
      <w:r>
        <w:rPr>
          <w:rFonts w:ascii="Times New Roman" w:hAnsi="Times New Roman" w:eastAsiaTheme="minorEastAsia"/>
          <w:sz w:val="28"/>
          <w:szCs w:val="28"/>
        </w:rPr>
        <w:t>，随后进入分离器进行分离，分离器中的液体CO</w:t>
      </w:r>
      <w:r>
        <w:rPr>
          <w:rFonts w:ascii="Times New Roman" w:hAnsi="Times New Roman" w:eastAsiaTheme="minorEastAsia"/>
          <w:sz w:val="28"/>
          <w:szCs w:val="28"/>
          <w:vertAlign w:val="subscript"/>
        </w:rPr>
        <w:t>2</w:t>
      </w:r>
      <w:r>
        <w:rPr>
          <w:rFonts w:ascii="Times New Roman" w:hAnsi="Times New Roman" w:eastAsiaTheme="minorEastAsia"/>
          <w:sz w:val="28"/>
          <w:szCs w:val="28"/>
        </w:rPr>
        <w:t>（2.38Mpa、-22.8</w:t>
      </w:r>
      <w:r>
        <w:rPr>
          <w:rFonts w:ascii="Times New Roman" w:hAnsi="Times New Roman"/>
          <w:sz w:val="28"/>
          <w:szCs w:val="28"/>
        </w:rPr>
        <w:t>℃</w:t>
      </w:r>
      <w:r>
        <w:rPr>
          <w:rFonts w:ascii="Times New Roman" w:hAnsi="Times New Roman" w:eastAsiaTheme="minorEastAsia"/>
          <w:sz w:val="28"/>
          <w:szCs w:val="28"/>
        </w:rPr>
        <w:t>）（流量约5.8t/h）送入成品储罐，分离器分离出的不凝气体（2.38Mpa、-22.8</w:t>
      </w:r>
      <w:r>
        <w:rPr>
          <w:rFonts w:ascii="Times New Roman" w:hAnsi="Times New Roman"/>
          <w:sz w:val="28"/>
          <w:szCs w:val="28"/>
        </w:rPr>
        <w:t>℃</w:t>
      </w:r>
      <w:r>
        <w:rPr>
          <w:rFonts w:ascii="Times New Roman" w:hAnsi="Times New Roman" w:eastAsiaTheme="minorEastAsia"/>
          <w:sz w:val="28"/>
          <w:szCs w:val="28"/>
        </w:rPr>
        <w:t>）（流量约为55kg/h）经过减压阀后，进入管道通过低温排气筒放空。</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二氧化碳气体液化过程：在氨蒸发器中CO</w:t>
      </w:r>
      <w:r>
        <w:rPr>
          <w:rFonts w:ascii="Times New Roman" w:hAnsi="Times New Roman" w:eastAsiaTheme="minorEastAsia"/>
          <w:sz w:val="28"/>
          <w:szCs w:val="28"/>
          <w:vertAlign w:val="subscript"/>
        </w:rPr>
        <w:t>2</w:t>
      </w:r>
      <w:r>
        <w:rPr>
          <w:rFonts w:ascii="Times New Roman" w:hAnsi="Times New Roman" w:eastAsiaTheme="minorEastAsia"/>
          <w:sz w:val="28"/>
          <w:szCs w:val="28"/>
        </w:rPr>
        <w:t>气体与液氨进行换热，液氨受热转化为氨气，CO</w:t>
      </w:r>
      <w:r>
        <w:rPr>
          <w:rFonts w:ascii="Times New Roman" w:hAnsi="Times New Roman" w:eastAsiaTheme="minorEastAsia"/>
          <w:sz w:val="28"/>
          <w:szCs w:val="28"/>
          <w:vertAlign w:val="subscript"/>
        </w:rPr>
        <w:t>2</w:t>
      </w:r>
      <w:r>
        <w:rPr>
          <w:rFonts w:ascii="Times New Roman" w:hAnsi="Times New Roman" w:eastAsiaTheme="minorEastAsia"/>
          <w:sz w:val="28"/>
          <w:szCs w:val="28"/>
        </w:rPr>
        <w:t>被冷凝为液态，与所夹带的气体CO</w:t>
      </w:r>
      <w:r>
        <w:rPr>
          <w:rFonts w:ascii="Times New Roman" w:hAnsi="Times New Roman" w:eastAsiaTheme="minorEastAsia"/>
          <w:sz w:val="28"/>
          <w:szCs w:val="28"/>
          <w:vertAlign w:val="subscript"/>
        </w:rPr>
        <w:t>2</w:t>
      </w:r>
      <w:r>
        <w:rPr>
          <w:rFonts w:ascii="Times New Roman" w:hAnsi="Times New Roman" w:eastAsiaTheme="minorEastAsia"/>
          <w:sz w:val="28"/>
          <w:szCs w:val="28"/>
        </w:rPr>
        <w:t>和不凝气体（N</w:t>
      </w:r>
      <w:r>
        <w:rPr>
          <w:rFonts w:ascii="Times New Roman" w:hAnsi="Times New Roman" w:eastAsiaTheme="minorEastAsia"/>
          <w:sz w:val="28"/>
          <w:szCs w:val="28"/>
          <w:vertAlign w:val="subscript"/>
        </w:rPr>
        <w:t>2</w:t>
      </w:r>
      <w:r>
        <w:rPr>
          <w:rFonts w:ascii="Times New Roman" w:hAnsi="Times New Roman" w:eastAsiaTheme="minorEastAsia"/>
          <w:sz w:val="28"/>
          <w:szCs w:val="28"/>
        </w:rPr>
        <w:t>）进入分离器，氨气则由管线送至原有冰机，再次被转换为液氨。</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分离器内分离过程：分离过程为简单的物理过程，根据项目方提供设计资料，液体CO</w:t>
      </w:r>
      <w:r>
        <w:rPr>
          <w:rFonts w:ascii="Times New Roman" w:hAnsi="Times New Roman" w:eastAsiaTheme="minorEastAsia"/>
          <w:sz w:val="28"/>
          <w:szCs w:val="28"/>
          <w:vertAlign w:val="subscript"/>
        </w:rPr>
        <w:t>2</w:t>
      </w:r>
      <w:r>
        <w:rPr>
          <w:rFonts w:ascii="Times New Roman" w:hAnsi="Times New Roman" w:eastAsiaTheme="minorEastAsia"/>
          <w:sz w:val="28"/>
          <w:szCs w:val="28"/>
        </w:rPr>
        <w:t>通过分离器进入储罐，夹带的气体CO</w:t>
      </w:r>
      <w:r>
        <w:rPr>
          <w:rFonts w:ascii="Times New Roman" w:hAnsi="Times New Roman" w:eastAsiaTheme="minorEastAsia"/>
          <w:sz w:val="28"/>
          <w:szCs w:val="28"/>
          <w:vertAlign w:val="subscript"/>
        </w:rPr>
        <w:t>2</w:t>
      </w:r>
      <w:r>
        <w:rPr>
          <w:rFonts w:ascii="Times New Roman" w:hAnsi="Times New Roman" w:eastAsiaTheme="minorEastAsia"/>
          <w:sz w:val="28"/>
          <w:szCs w:val="28"/>
        </w:rPr>
        <w:t>和不凝气体（N</w:t>
      </w:r>
      <w:r>
        <w:rPr>
          <w:rFonts w:ascii="Times New Roman" w:hAnsi="Times New Roman" w:eastAsiaTheme="minorEastAsia"/>
          <w:sz w:val="28"/>
          <w:szCs w:val="28"/>
          <w:vertAlign w:val="subscript"/>
        </w:rPr>
        <w:t>2</w:t>
      </w:r>
      <w:r>
        <w:rPr>
          <w:rFonts w:ascii="Times New Roman" w:hAnsi="Times New Roman" w:eastAsiaTheme="minorEastAsia"/>
          <w:sz w:val="28"/>
          <w:szCs w:val="28"/>
        </w:rPr>
        <w:t>）由分离器排放口排出，经管道运至低温排气筒排空。</w:t>
      </w:r>
    </w:p>
    <w:p>
      <w:pPr>
        <w:jc w:val="left"/>
        <w:rPr>
          <w:rFonts w:ascii="Times New Roman" w:hAnsi="Times New Roman"/>
        </w:rPr>
      </w:pPr>
    </w:p>
    <w:p>
      <w:pPr>
        <w:jc w:val="center"/>
        <w:rPr>
          <w:rFonts w:ascii="Times New Roman" w:hAnsi="Times New Roman"/>
        </w:rPr>
      </w:pPr>
      <w:r>
        <w:rPr>
          <w:rFonts w:ascii="Times New Roman" w:hAnsi="Times New Roman"/>
        </w:rPr>
        <w:object>
          <v:shape id="_x0000_i1030" o:spt="75" type="#_x0000_t75" style="height:79.15pt;width:447.7pt;" o:ole="t" filled="f" o:preferrelative="t" stroked="f" coordsize="21600,21600">
            <v:path/>
            <v:fill on="f" focussize="0,0"/>
            <v:stroke on="f" joinstyle="miter"/>
            <v:imagedata r:id="rId40" o:title=""/>
            <o:lock v:ext="edit" aspectratio="t"/>
            <w10:wrap type="none"/>
            <w10:anchorlock/>
          </v:shape>
          <o:OLEObject Type="Embed" ProgID="Visio.Drawing.11" ShapeID="_x0000_i1030" DrawAspect="Content" ObjectID="_1468075731" r:id="rId39">
            <o:LockedField>false</o:LockedField>
          </o:OLEObject>
        </w:object>
      </w:r>
    </w:p>
    <w:p>
      <w:pPr>
        <w:jc w:val="center"/>
        <w:rPr>
          <w:rFonts w:ascii="Times New Roman" w:hAnsi="Times New Roman" w:eastAsia="黑体"/>
          <w:b/>
          <w:bCs/>
          <w:sz w:val="24"/>
          <w:szCs w:val="24"/>
        </w:rPr>
      </w:pPr>
    </w:p>
    <w:p>
      <w:pPr>
        <w:ind w:firstLine="482" w:firstLineChars="200"/>
        <w:jc w:val="center"/>
        <w:rPr>
          <w:rFonts w:ascii="Times New Roman" w:hAnsi="Times New Roman" w:eastAsiaTheme="minorEastAsia"/>
          <w:b/>
          <w:bCs/>
          <w:sz w:val="28"/>
          <w:szCs w:val="28"/>
        </w:rPr>
      </w:pPr>
      <w:r>
        <w:rPr>
          <w:rFonts w:ascii="Times New Roman" w:hAnsi="Times New Roman" w:eastAsia="黑体"/>
          <w:b/>
          <w:bCs/>
          <w:sz w:val="24"/>
          <w:szCs w:val="24"/>
        </w:rPr>
        <w:t>图3.1-6   项目一期装置营运期工艺流程及产污环节图</w:t>
      </w:r>
    </w:p>
    <w:p>
      <w:pPr>
        <w:spacing w:line="520" w:lineRule="exact"/>
        <w:ind w:firstLine="562" w:firstLineChars="200"/>
        <w:rPr>
          <w:rFonts w:ascii="Times New Roman" w:hAnsi="Times New Roman" w:eastAsiaTheme="minorEastAsia"/>
          <w:b/>
          <w:bCs/>
          <w:sz w:val="28"/>
          <w:szCs w:val="28"/>
        </w:rPr>
      </w:pPr>
      <w:r>
        <w:rPr>
          <w:rFonts w:ascii="Times New Roman" w:hAnsi="Times New Roman" w:eastAsiaTheme="minorEastAsia"/>
          <w:b/>
          <w:bCs/>
          <w:sz w:val="28"/>
          <w:szCs w:val="28"/>
        </w:rPr>
        <w:t>（2）二期装置营运期工艺流程简述：</w:t>
      </w:r>
    </w:p>
    <w:p>
      <w:pPr>
        <w:spacing w:line="520" w:lineRule="exact"/>
        <w:ind w:firstLine="560" w:firstLineChars="200"/>
        <w:rPr>
          <w:rFonts w:ascii="Times New Roman" w:hAnsi="Times New Roman" w:eastAsiaTheme="minorEastAsia"/>
          <w:b/>
          <w:sz w:val="28"/>
          <w:szCs w:val="28"/>
        </w:rPr>
      </w:pPr>
      <w:r>
        <w:rPr>
          <w:rFonts w:ascii="Times New Roman" w:hAnsi="Times New Roman" w:eastAsiaTheme="minorEastAsia"/>
          <w:sz w:val="28"/>
          <w:szCs w:val="28"/>
        </w:rPr>
        <w:t>原料气（0.095Mpa、35</w:t>
      </w:r>
      <w:r>
        <w:rPr>
          <w:rFonts w:ascii="Times New Roman" w:hAnsi="Times New Roman"/>
          <w:sz w:val="28"/>
          <w:szCs w:val="28"/>
        </w:rPr>
        <w:t>℃</w:t>
      </w:r>
      <w:r>
        <w:rPr>
          <w:rFonts w:ascii="Times New Roman" w:hAnsi="Times New Roman" w:eastAsiaTheme="minorEastAsia"/>
          <w:sz w:val="28"/>
          <w:szCs w:val="28"/>
        </w:rPr>
        <w:t>）经水分离器后，进入二氧化碳压缩机（三级压缩，离心式，进气温度35</w:t>
      </w:r>
      <w:r>
        <w:rPr>
          <w:rFonts w:ascii="Times New Roman" w:hAnsi="Times New Roman"/>
          <w:sz w:val="28"/>
          <w:szCs w:val="28"/>
        </w:rPr>
        <w:t>℃</w:t>
      </w:r>
      <w:r>
        <w:rPr>
          <w:rFonts w:ascii="Times New Roman" w:hAnsi="Times New Roman" w:eastAsiaTheme="minorEastAsia"/>
          <w:sz w:val="28"/>
          <w:szCs w:val="28"/>
        </w:rPr>
        <w:t>、进气压力0.095MPa（A），排气温度≤38</w:t>
      </w:r>
      <w:r>
        <w:rPr>
          <w:rFonts w:ascii="Times New Roman" w:hAnsi="Times New Roman"/>
          <w:sz w:val="28"/>
          <w:szCs w:val="28"/>
        </w:rPr>
        <w:t>℃</w:t>
      </w:r>
      <w:r>
        <w:rPr>
          <w:rFonts w:ascii="Times New Roman" w:hAnsi="Times New Roman" w:eastAsiaTheme="minorEastAsia"/>
          <w:sz w:val="28"/>
          <w:szCs w:val="28"/>
        </w:rPr>
        <w:t>，排气压力4.6 MPa，原料气经压缩机系统压缩，排往下一工序，此环节产生噪音），经过多级压缩后进入水分离器，除去游离水后，二氧化碳从底部进入分子筛吸附器，再次除去其中的水分，净化后的原料气进入氨蒸发器，被液氨冷却，冷却后的原料气节流减压进入一级分离罐进行分离，脱除原料气流中的不凝气体等杂质，一级分离液体经节流进入二级分离罐进行分离，二级分离气体（组分43%N</w:t>
      </w:r>
      <w:r>
        <w:rPr>
          <w:rFonts w:ascii="Times New Roman" w:hAnsi="Times New Roman" w:eastAsiaTheme="minorEastAsia"/>
          <w:sz w:val="28"/>
          <w:szCs w:val="28"/>
          <w:vertAlign w:val="subscript"/>
        </w:rPr>
        <w:t>2</w:t>
      </w:r>
      <w:r>
        <w:rPr>
          <w:rFonts w:ascii="Times New Roman" w:hAnsi="Times New Roman" w:eastAsiaTheme="minorEastAsia"/>
          <w:sz w:val="28"/>
          <w:szCs w:val="28"/>
        </w:rPr>
        <w:t>，57%CO</w:t>
      </w:r>
      <w:r>
        <w:rPr>
          <w:rFonts w:ascii="Times New Roman" w:hAnsi="Times New Roman" w:eastAsiaTheme="minorEastAsia"/>
          <w:sz w:val="28"/>
          <w:szCs w:val="28"/>
          <w:vertAlign w:val="subscript"/>
        </w:rPr>
        <w:t>2</w:t>
      </w:r>
      <w:r>
        <w:rPr>
          <w:rFonts w:ascii="Times New Roman" w:hAnsi="Times New Roman" w:eastAsiaTheme="minorEastAsia"/>
          <w:sz w:val="28"/>
          <w:szCs w:val="28"/>
        </w:rPr>
        <w:t>）去二氧化碳压缩机做原料气。二级分离液体作为二氧化碳含量≥99%的液体产品送入液体储罐。</w:t>
      </w:r>
    </w:p>
    <w:p>
      <w:pPr>
        <w:jc w:val="center"/>
        <w:rPr>
          <w:rFonts w:ascii="Times New Roman" w:hAnsi="Times New Roman" w:eastAsia="黑体"/>
          <w:sz w:val="24"/>
          <w:szCs w:val="24"/>
        </w:rPr>
      </w:pPr>
    </w:p>
    <w:p>
      <w:pPr>
        <w:ind w:firstLine="420" w:firstLineChars="200"/>
        <w:jc w:val="center"/>
        <w:rPr>
          <w:rFonts w:ascii="Times New Roman" w:hAnsi="Times New Roman" w:eastAsia="黑体"/>
          <w:sz w:val="24"/>
          <w:szCs w:val="24"/>
        </w:rPr>
      </w:pPr>
      <w:r>
        <w:rPr>
          <w:rFonts w:ascii="Times New Roman" w:hAnsi="Times New Roman"/>
        </w:rPr>
        <w:object>
          <v:shape id="_x0000_i1031" o:spt="75" type="#_x0000_t75" style="height:181.05pt;width:446.95pt;" o:ole="t" filled="f" o:preferrelative="t" stroked="f" coordsize="21600,21600">
            <v:path/>
            <v:fill on="f" focussize="0,0"/>
            <v:stroke on="f" joinstyle="miter"/>
            <v:imagedata r:id="rId42" o:title=""/>
            <o:lock v:ext="edit" aspectratio="t"/>
            <w10:wrap type="none"/>
            <w10:anchorlock/>
          </v:shape>
          <o:OLEObject Type="Embed" ProgID="Visio.Drawing.11" ShapeID="_x0000_i1031" DrawAspect="Content" ObjectID="_1468075732" r:id="rId41">
            <o:LockedField>false</o:LockedField>
          </o:OLEObject>
        </w:object>
      </w:r>
      <w:r>
        <w:rPr>
          <w:rFonts w:ascii="Times New Roman" w:hAnsi="Times New Roman" w:eastAsia="黑体"/>
          <w:b/>
          <w:bCs/>
          <w:sz w:val="24"/>
          <w:szCs w:val="24"/>
        </w:rPr>
        <w:t>图3.1-7   项目二期装置营运期工艺流程及产污环节图</w:t>
      </w:r>
    </w:p>
    <w:p>
      <w:pPr>
        <w:pStyle w:val="33"/>
        <w:adjustRightInd w:val="0"/>
        <w:snapToGrid w:val="0"/>
      </w:pPr>
      <w:r>
        <w:t>3.1.4.3  污染物排放情况</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（1）废气</w:t>
      </w:r>
    </w:p>
    <w:p>
      <w:pPr>
        <w:spacing w:line="520" w:lineRule="exact"/>
        <w:ind w:firstLine="560" w:firstLineChars="200"/>
        <w:rPr>
          <w:rFonts w:ascii="Times New Roman" w:hAnsi="Times New Roman" w:eastAsiaTheme="minorEastAsia"/>
          <w:bCs/>
          <w:sz w:val="28"/>
          <w:szCs w:val="28"/>
          <w:lang w:eastAsia="zh-TW"/>
        </w:rPr>
      </w:pPr>
      <w:r>
        <w:rPr>
          <w:rFonts w:ascii="Times New Roman" w:hAnsi="Times New Roman" w:eastAsiaTheme="minorEastAsia"/>
          <w:bCs/>
          <w:iCs/>
          <w:sz w:val="28"/>
          <w:szCs w:val="28"/>
          <w:lang w:eastAsia="zh-TW"/>
        </w:rPr>
        <w:t>本项目正常运行排放气体仅为不凝气，一期排放气体量为1093m</w:t>
      </w:r>
      <w:r>
        <w:rPr>
          <w:rFonts w:ascii="Times New Roman" w:hAnsi="Times New Roman" w:eastAsiaTheme="minorEastAsia"/>
          <w:bCs/>
          <w:iCs/>
          <w:sz w:val="28"/>
          <w:szCs w:val="28"/>
          <w:vertAlign w:val="superscript"/>
          <w:lang w:eastAsia="zh-TW"/>
        </w:rPr>
        <w:t>3</w:t>
      </w:r>
      <w:r>
        <w:rPr>
          <w:rFonts w:ascii="Times New Roman" w:hAnsi="Times New Roman" w:eastAsiaTheme="minorEastAsia"/>
          <w:bCs/>
          <w:iCs/>
          <w:sz w:val="28"/>
          <w:szCs w:val="28"/>
          <w:lang w:eastAsia="zh-TW"/>
        </w:rPr>
        <w:t>/a，</w:t>
      </w:r>
      <w:r>
        <w:rPr>
          <w:rStyle w:val="25"/>
          <w:rFonts w:ascii="Times New Roman" w:hAnsi="Times New Roman" w:eastAsiaTheme="minorEastAsia"/>
          <w:bCs/>
          <w:sz w:val="28"/>
          <w:szCs w:val="28"/>
          <w:lang w:eastAsia="zh-TW"/>
        </w:rPr>
        <w:t>废气</w:t>
      </w:r>
      <w:r>
        <w:rPr>
          <w:rFonts w:ascii="Times New Roman" w:hAnsi="Times New Roman" w:eastAsiaTheme="minorEastAsia"/>
          <w:bCs/>
          <w:iCs/>
          <w:sz w:val="28"/>
          <w:szCs w:val="28"/>
          <w:lang w:eastAsia="zh-TW"/>
        </w:rPr>
        <w:t>主要成分为</w:t>
      </w:r>
      <w:r>
        <w:rPr>
          <w:rFonts w:ascii="Times New Roman" w:hAnsi="Times New Roman" w:eastAsiaTheme="minorEastAsia"/>
          <w:bCs/>
          <w:sz w:val="28"/>
          <w:szCs w:val="28"/>
          <w:lang w:eastAsia="zh-TW"/>
        </w:rPr>
        <w:t>CO、N</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、Ar、H</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S、COS，分离气体组分：59.8%N</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，6%CO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，4.67%O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+Ar，79.4ppmH</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S，28.95%CO，375ppmCOS；二</w:t>
      </w:r>
      <w:r>
        <w:rPr>
          <w:rFonts w:ascii="Times New Roman" w:hAnsi="Times New Roman" w:eastAsiaTheme="minorEastAsia"/>
          <w:bCs/>
          <w:iCs/>
          <w:sz w:val="28"/>
          <w:szCs w:val="28"/>
          <w:lang w:eastAsia="zh-TW"/>
        </w:rPr>
        <w:t>期排放气体量为117377m</w:t>
      </w:r>
      <w:r>
        <w:rPr>
          <w:rFonts w:ascii="Times New Roman" w:hAnsi="Times New Roman" w:eastAsiaTheme="minorEastAsia"/>
          <w:bCs/>
          <w:iCs/>
          <w:sz w:val="28"/>
          <w:szCs w:val="28"/>
          <w:vertAlign w:val="superscript"/>
          <w:lang w:eastAsia="zh-TW"/>
        </w:rPr>
        <w:t>3</w:t>
      </w:r>
      <w:r>
        <w:rPr>
          <w:rFonts w:ascii="Times New Roman" w:hAnsi="Times New Roman" w:eastAsiaTheme="minorEastAsia"/>
          <w:bCs/>
          <w:iCs/>
          <w:sz w:val="28"/>
          <w:szCs w:val="28"/>
          <w:lang w:eastAsia="zh-TW"/>
        </w:rPr>
        <w:t>/a，</w:t>
      </w:r>
      <w:r>
        <w:rPr>
          <w:rStyle w:val="25"/>
          <w:rFonts w:ascii="Times New Roman" w:hAnsi="Times New Roman" w:eastAsiaTheme="minorEastAsia"/>
          <w:bCs/>
          <w:sz w:val="28"/>
          <w:szCs w:val="28"/>
          <w:lang w:eastAsia="zh-TW"/>
        </w:rPr>
        <w:t>废气</w:t>
      </w:r>
      <w:r>
        <w:rPr>
          <w:rFonts w:ascii="Times New Roman" w:hAnsi="Times New Roman" w:eastAsiaTheme="minorEastAsia"/>
          <w:bCs/>
          <w:iCs/>
          <w:sz w:val="28"/>
          <w:szCs w:val="28"/>
          <w:lang w:eastAsia="zh-TW"/>
        </w:rPr>
        <w:t>主要成分为</w:t>
      </w:r>
      <w:r>
        <w:rPr>
          <w:rFonts w:ascii="Times New Roman" w:hAnsi="Times New Roman" w:eastAsiaTheme="minorEastAsia"/>
          <w:bCs/>
          <w:sz w:val="28"/>
          <w:szCs w:val="28"/>
          <w:lang w:eastAsia="zh-TW"/>
        </w:rPr>
        <w:t>CO、N</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、Ar、H</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S、COS，不含其他大气污染物，分离气体组分：57.9%N</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，42%CO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，0.072%O</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+Ar，0.9ppmH</w:t>
      </w:r>
      <w:r>
        <w:rPr>
          <w:rFonts w:ascii="Times New Roman" w:hAnsi="Times New Roman" w:eastAsiaTheme="minorEastAsia"/>
          <w:bCs/>
          <w:sz w:val="28"/>
          <w:szCs w:val="28"/>
          <w:vertAlign w:val="subscript"/>
          <w:lang w:eastAsia="zh-TW"/>
        </w:rPr>
        <w:t>2</w:t>
      </w:r>
      <w:r>
        <w:rPr>
          <w:rFonts w:ascii="Times New Roman" w:hAnsi="Times New Roman" w:eastAsiaTheme="minorEastAsia"/>
          <w:bCs/>
          <w:sz w:val="28"/>
          <w:szCs w:val="28"/>
          <w:lang w:eastAsia="zh-TW"/>
        </w:rPr>
        <w:t>S，0.13%CO，1.56ppmCOS，经30万吨/年甲醇项目86.3 m低温甲醇洗排气筒高空排放。</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（2）废水</w:t>
      </w:r>
    </w:p>
    <w:p>
      <w:pPr>
        <w:spacing w:line="520" w:lineRule="exact"/>
        <w:ind w:firstLine="560" w:firstLineChars="200"/>
        <w:rPr>
          <w:rFonts w:ascii="Times New Roman" w:hAnsi="Times New Roman" w:eastAsiaTheme="minorEastAsia"/>
          <w:bCs/>
          <w:sz w:val="28"/>
          <w:szCs w:val="28"/>
        </w:rPr>
      </w:pPr>
      <w:r>
        <w:rPr>
          <w:rFonts w:ascii="Times New Roman" w:hAnsi="Times New Roman" w:eastAsiaTheme="minorEastAsia"/>
          <w:bCs/>
          <w:sz w:val="28"/>
          <w:szCs w:val="28"/>
        </w:rPr>
        <w:t>项目一期废水主要为员工生活废水，二期废水主要为员工生活废水和少量冷凝水，项目总劳动定员为12人，依托大化集团原有职工，不新增人员，生活污水经大化原有污水处理站处理达标后通过总排污口排入濮阳市第二污水处理厂后排入顺河沟。二期装置原料气分离器可能产生少量冷凝水，产生量约0.15 t/h（396 t/a），作为清下水排入雨水管网。</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（3）噪声</w:t>
      </w:r>
    </w:p>
    <w:p>
      <w:pPr>
        <w:widowControl/>
        <w:snapToGrid w:val="0"/>
        <w:spacing w:line="500" w:lineRule="exact"/>
        <w:ind w:firstLine="480"/>
        <w:rPr>
          <w:rFonts w:ascii="Times New Roman" w:hAnsi="Times New Roman" w:eastAsiaTheme="minorEastAsia"/>
          <w:bCs/>
          <w:sz w:val="28"/>
          <w:szCs w:val="28"/>
        </w:rPr>
      </w:pPr>
      <w:r>
        <w:rPr>
          <w:rFonts w:ascii="Times New Roman" w:hAnsi="Times New Roman" w:eastAsiaTheme="minorEastAsia"/>
          <w:bCs/>
          <w:sz w:val="28"/>
          <w:szCs w:val="28"/>
        </w:rPr>
        <w:t>主要为氨蒸发器、分离器、二氧化碳装车泵等设备在工作时产生的机械噪声；设置减振垫进行降噪处理，可降低噪声值约10dB（A）。</w:t>
      </w:r>
    </w:p>
    <w:p>
      <w:pPr>
        <w:pStyle w:val="32"/>
        <w:ind w:firstLine="679" w:firstLineChars="282"/>
      </w:pPr>
      <w:r>
        <w:t>表3.1-23             项目主要高噪声设备源强一览表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2179"/>
        <w:gridCol w:w="2175"/>
        <w:gridCol w:w="2792"/>
        <w:gridCol w:w="193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1" w:hRule="atLeast"/>
          <w:jc w:val="center"/>
        </w:trPr>
        <w:tc>
          <w:tcPr>
            <w:tcW w:w="2179" w:type="dxa"/>
            <w:vAlign w:val="center"/>
          </w:tcPr>
          <w:p>
            <w:pPr>
              <w:widowControl/>
              <w:snapToGrid w:val="0"/>
              <w:jc w:val="center"/>
              <w:rPr>
                <w:rFonts w:ascii="Times New Roman" w:hAnsi="Times New Roman" w:eastAsiaTheme="minorEastAsia"/>
                <w:b/>
                <w:bCs/>
                <w:kern w:val="0"/>
                <w:szCs w:val="21"/>
              </w:rPr>
            </w:pPr>
            <w:r>
              <w:rPr>
                <w:rFonts w:ascii="Times New Roman" w:hAnsi="Times New Roman" w:eastAsiaTheme="minorEastAsia"/>
                <w:b/>
                <w:bCs/>
                <w:kern w:val="0"/>
                <w:szCs w:val="21"/>
              </w:rPr>
              <w:t>设备</w:t>
            </w:r>
          </w:p>
        </w:tc>
        <w:tc>
          <w:tcPr>
            <w:tcW w:w="2175" w:type="dxa"/>
            <w:vAlign w:val="center"/>
          </w:tcPr>
          <w:p>
            <w:pPr>
              <w:snapToGrid w:val="0"/>
              <w:jc w:val="center"/>
              <w:rPr>
                <w:rFonts w:ascii="Times New Roman" w:hAnsi="Times New Roman" w:eastAsiaTheme="minorEastAsia"/>
                <w:b/>
                <w:bCs/>
                <w:kern w:val="0"/>
                <w:szCs w:val="21"/>
              </w:rPr>
            </w:pPr>
            <w:r>
              <w:rPr>
                <w:rFonts w:ascii="Times New Roman" w:hAnsi="Times New Roman" w:eastAsiaTheme="minorEastAsia"/>
                <w:b/>
                <w:bCs/>
                <w:kern w:val="0"/>
                <w:szCs w:val="21"/>
              </w:rPr>
              <w:t>治理前设备声dB(A)</w:t>
            </w:r>
          </w:p>
        </w:tc>
        <w:tc>
          <w:tcPr>
            <w:tcW w:w="2792" w:type="dxa"/>
            <w:tcMar>
              <w:top w:w="0" w:type="dxa"/>
              <w:left w:w="108" w:type="dxa"/>
              <w:bottom w:w="0" w:type="dxa"/>
              <w:right w:w="108" w:type="dxa"/>
            </w:tcMar>
            <w:vAlign w:val="center"/>
          </w:tcPr>
          <w:p>
            <w:pPr>
              <w:widowControl/>
              <w:snapToGrid w:val="0"/>
              <w:jc w:val="center"/>
              <w:rPr>
                <w:rFonts w:ascii="Times New Roman" w:hAnsi="Times New Roman" w:eastAsiaTheme="minorEastAsia"/>
                <w:b/>
                <w:bCs/>
                <w:kern w:val="0"/>
                <w:szCs w:val="21"/>
              </w:rPr>
            </w:pPr>
            <w:r>
              <w:rPr>
                <w:rFonts w:ascii="Times New Roman" w:hAnsi="Times New Roman" w:eastAsiaTheme="minorEastAsia"/>
                <w:b/>
                <w:bCs/>
                <w:kern w:val="0"/>
                <w:szCs w:val="21"/>
              </w:rPr>
              <w:t>治理后设备声源值dB(A)</w:t>
            </w:r>
          </w:p>
        </w:tc>
        <w:tc>
          <w:tcPr>
            <w:tcW w:w="1936" w:type="dxa"/>
            <w:tcMar>
              <w:top w:w="0" w:type="dxa"/>
              <w:left w:w="108" w:type="dxa"/>
              <w:bottom w:w="0" w:type="dxa"/>
              <w:right w:w="108" w:type="dxa"/>
            </w:tcMar>
            <w:vAlign w:val="center"/>
          </w:tcPr>
          <w:p>
            <w:pPr>
              <w:widowControl/>
              <w:snapToGrid w:val="0"/>
              <w:jc w:val="center"/>
              <w:rPr>
                <w:rFonts w:ascii="Times New Roman" w:hAnsi="Times New Roman" w:eastAsiaTheme="minorEastAsia"/>
                <w:b/>
                <w:bCs/>
                <w:kern w:val="0"/>
                <w:szCs w:val="21"/>
              </w:rPr>
            </w:pPr>
            <w:r>
              <w:rPr>
                <w:rFonts w:ascii="Times New Roman" w:hAnsi="Times New Roman" w:eastAsiaTheme="minorEastAsia"/>
                <w:b/>
                <w:bCs/>
                <w:kern w:val="0"/>
                <w:szCs w:val="21"/>
              </w:rPr>
              <w:t>治理措施</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1" w:hRule="atLeast"/>
          <w:jc w:val="center"/>
        </w:trPr>
        <w:tc>
          <w:tcPr>
            <w:tcW w:w="2179" w:type="dxa"/>
            <w:vAlign w:val="center"/>
          </w:tcPr>
          <w:p>
            <w:pPr>
              <w:widowControl/>
              <w:snapToGrid w:val="0"/>
              <w:jc w:val="center"/>
              <w:rPr>
                <w:rFonts w:ascii="Times New Roman" w:hAnsi="Times New Roman" w:eastAsiaTheme="minorEastAsia"/>
                <w:kern w:val="0"/>
                <w:szCs w:val="21"/>
              </w:rPr>
            </w:pPr>
            <w:r>
              <w:rPr>
                <w:rFonts w:ascii="Times New Roman" w:hAnsi="Times New Roman" w:eastAsiaTheme="minorEastAsia"/>
                <w:kern w:val="0"/>
                <w:szCs w:val="21"/>
              </w:rPr>
              <w:t>氨蒸发器</w:t>
            </w:r>
          </w:p>
        </w:tc>
        <w:tc>
          <w:tcPr>
            <w:tcW w:w="2175" w:type="dxa"/>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70~80</w:t>
            </w:r>
          </w:p>
        </w:tc>
        <w:tc>
          <w:tcPr>
            <w:tcW w:w="2792" w:type="dxa"/>
            <w:tcMar>
              <w:top w:w="0" w:type="dxa"/>
              <w:left w:w="108" w:type="dxa"/>
              <w:bottom w:w="0" w:type="dxa"/>
              <w:right w:w="108" w:type="dxa"/>
            </w:tcMar>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60~70</w:t>
            </w:r>
          </w:p>
        </w:tc>
        <w:tc>
          <w:tcPr>
            <w:tcW w:w="1936" w:type="dxa"/>
            <w:vMerge w:val="restart"/>
            <w:tcMar>
              <w:top w:w="0" w:type="dxa"/>
              <w:left w:w="108" w:type="dxa"/>
              <w:bottom w:w="0" w:type="dxa"/>
              <w:right w:w="108" w:type="dxa"/>
            </w:tcMar>
            <w:vAlign w:val="center"/>
          </w:tcPr>
          <w:p>
            <w:pPr>
              <w:widowControl/>
              <w:snapToGrid w:val="0"/>
              <w:jc w:val="center"/>
              <w:rPr>
                <w:rFonts w:ascii="Times New Roman" w:hAnsi="Times New Roman" w:eastAsiaTheme="minorEastAsia"/>
                <w:kern w:val="0"/>
                <w:szCs w:val="21"/>
              </w:rPr>
            </w:pPr>
            <w:r>
              <w:rPr>
                <w:rFonts w:ascii="Times New Roman" w:hAnsi="Times New Roman" w:eastAsiaTheme="minorEastAsia"/>
                <w:kern w:val="0"/>
                <w:szCs w:val="21"/>
              </w:rPr>
              <w:t>减振垫</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56" w:hRule="atLeast"/>
          <w:jc w:val="center"/>
        </w:trPr>
        <w:tc>
          <w:tcPr>
            <w:tcW w:w="2179" w:type="dxa"/>
            <w:vAlign w:val="center"/>
          </w:tcPr>
          <w:p>
            <w:pPr>
              <w:widowControl/>
              <w:snapToGrid w:val="0"/>
              <w:jc w:val="center"/>
              <w:rPr>
                <w:rFonts w:ascii="Times New Roman" w:hAnsi="Times New Roman" w:eastAsiaTheme="minorEastAsia"/>
                <w:kern w:val="0"/>
                <w:szCs w:val="21"/>
              </w:rPr>
            </w:pPr>
            <w:r>
              <w:rPr>
                <w:rFonts w:ascii="Times New Roman" w:hAnsi="Times New Roman" w:eastAsiaTheme="minorEastAsia"/>
                <w:kern w:val="0"/>
                <w:szCs w:val="21"/>
              </w:rPr>
              <w:t>分离器</w:t>
            </w:r>
          </w:p>
        </w:tc>
        <w:tc>
          <w:tcPr>
            <w:tcW w:w="2175" w:type="dxa"/>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70~80</w:t>
            </w:r>
          </w:p>
        </w:tc>
        <w:tc>
          <w:tcPr>
            <w:tcW w:w="2792" w:type="dxa"/>
            <w:tcMar>
              <w:top w:w="0" w:type="dxa"/>
              <w:left w:w="108" w:type="dxa"/>
              <w:bottom w:w="0" w:type="dxa"/>
              <w:right w:w="108" w:type="dxa"/>
            </w:tcMar>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60~70</w:t>
            </w:r>
          </w:p>
        </w:tc>
        <w:tc>
          <w:tcPr>
            <w:tcW w:w="1936" w:type="dxa"/>
            <w:vMerge w:val="continue"/>
            <w:tcMar>
              <w:top w:w="0" w:type="dxa"/>
              <w:left w:w="108" w:type="dxa"/>
              <w:bottom w:w="0" w:type="dxa"/>
              <w:right w:w="108" w:type="dxa"/>
            </w:tcMar>
            <w:vAlign w:val="center"/>
          </w:tcPr>
          <w:p>
            <w:pPr>
              <w:widowControl/>
              <w:snapToGrid w:val="0"/>
              <w:jc w:val="center"/>
              <w:rPr>
                <w:rFonts w:ascii="Times New Roman" w:hAnsi="Times New Roman" w:eastAsiaTheme="minorEastAsia"/>
                <w:kern w:val="0"/>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56" w:hRule="atLeast"/>
          <w:jc w:val="center"/>
        </w:trPr>
        <w:tc>
          <w:tcPr>
            <w:tcW w:w="2179" w:type="dxa"/>
            <w:vAlign w:val="center"/>
          </w:tcPr>
          <w:p>
            <w:pPr>
              <w:widowControl/>
              <w:snapToGrid w:val="0"/>
              <w:jc w:val="center"/>
              <w:rPr>
                <w:rFonts w:ascii="Times New Roman" w:hAnsi="Times New Roman" w:eastAsiaTheme="minorEastAsia"/>
                <w:kern w:val="0"/>
                <w:szCs w:val="21"/>
              </w:rPr>
            </w:pPr>
            <w:r>
              <w:rPr>
                <w:rFonts w:ascii="Times New Roman" w:hAnsi="Times New Roman" w:eastAsiaTheme="minorEastAsia"/>
                <w:kern w:val="0"/>
                <w:szCs w:val="21"/>
              </w:rPr>
              <w:t>二氧化碳装车泵</w:t>
            </w:r>
          </w:p>
        </w:tc>
        <w:tc>
          <w:tcPr>
            <w:tcW w:w="2175" w:type="dxa"/>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80~85</w:t>
            </w:r>
          </w:p>
        </w:tc>
        <w:tc>
          <w:tcPr>
            <w:tcW w:w="2792" w:type="dxa"/>
            <w:tcMar>
              <w:top w:w="0" w:type="dxa"/>
              <w:left w:w="108" w:type="dxa"/>
              <w:bottom w:w="0" w:type="dxa"/>
              <w:right w:w="108" w:type="dxa"/>
            </w:tcMar>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70~75</w:t>
            </w:r>
          </w:p>
        </w:tc>
        <w:tc>
          <w:tcPr>
            <w:tcW w:w="1936" w:type="dxa"/>
            <w:vMerge w:val="continue"/>
            <w:tcMar>
              <w:top w:w="0" w:type="dxa"/>
              <w:left w:w="108" w:type="dxa"/>
              <w:bottom w:w="0" w:type="dxa"/>
              <w:right w:w="108" w:type="dxa"/>
            </w:tcMar>
            <w:vAlign w:val="center"/>
          </w:tcPr>
          <w:p>
            <w:pPr>
              <w:widowControl/>
              <w:snapToGrid w:val="0"/>
              <w:jc w:val="center"/>
              <w:rPr>
                <w:rFonts w:ascii="Times New Roman" w:hAnsi="Times New Roman" w:eastAsiaTheme="minorEastAsia"/>
                <w:kern w:val="0"/>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56" w:hRule="atLeast"/>
          <w:jc w:val="center"/>
        </w:trPr>
        <w:tc>
          <w:tcPr>
            <w:tcW w:w="2179" w:type="dxa"/>
            <w:vAlign w:val="center"/>
          </w:tcPr>
          <w:p>
            <w:pPr>
              <w:widowControl/>
              <w:snapToGrid w:val="0"/>
              <w:jc w:val="center"/>
              <w:rPr>
                <w:rFonts w:ascii="Times New Roman" w:hAnsi="Times New Roman" w:eastAsiaTheme="minorEastAsia"/>
                <w:kern w:val="0"/>
                <w:szCs w:val="21"/>
              </w:rPr>
            </w:pPr>
            <w:r>
              <w:rPr>
                <w:rFonts w:ascii="Times New Roman" w:hAnsi="Times New Roman" w:eastAsiaTheme="minorEastAsia"/>
                <w:kern w:val="0"/>
                <w:szCs w:val="21"/>
              </w:rPr>
              <w:t>二氧化碳压缩机</w:t>
            </w:r>
          </w:p>
        </w:tc>
        <w:tc>
          <w:tcPr>
            <w:tcW w:w="2175" w:type="dxa"/>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90~95</w:t>
            </w:r>
          </w:p>
        </w:tc>
        <w:tc>
          <w:tcPr>
            <w:tcW w:w="2792" w:type="dxa"/>
            <w:tcMar>
              <w:top w:w="0" w:type="dxa"/>
              <w:left w:w="108" w:type="dxa"/>
              <w:bottom w:w="0" w:type="dxa"/>
              <w:right w:w="108" w:type="dxa"/>
            </w:tcMar>
            <w:vAlign w:val="center"/>
          </w:tcPr>
          <w:p>
            <w:pPr>
              <w:snapToGrid w:val="0"/>
              <w:jc w:val="center"/>
              <w:rPr>
                <w:rFonts w:ascii="Times New Roman" w:hAnsi="Times New Roman" w:eastAsiaTheme="minorEastAsia"/>
                <w:kern w:val="0"/>
                <w:szCs w:val="21"/>
              </w:rPr>
            </w:pPr>
            <w:r>
              <w:rPr>
                <w:rFonts w:ascii="Times New Roman" w:hAnsi="Times New Roman" w:eastAsiaTheme="minorEastAsia"/>
                <w:kern w:val="0"/>
                <w:szCs w:val="21"/>
              </w:rPr>
              <w:t>80~85</w:t>
            </w:r>
          </w:p>
        </w:tc>
        <w:tc>
          <w:tcPr>
            <w:tcW w:w="1936" w:type="dxa"/>
            <w:vMerge w:val="continue"/>
            <w:tcMar>
              <w:top w:w="0" w:type="dxa"/>
              <w:left w:w="108" w:type="dxa"/>
              <w:bottom w:w="0" w:type="dxa"/>
              <w:right w:w="108" w:type="dxa"/>
            </w:tcMar>
            <w:vAlign w:val="center"/>
          </w:tcPr>
          <w:p>
            <w:pPr>
              <w:widowControl/>
              <w:snapToGrid w:val="0"/>
              <w:jc w:val="center"/>
              <w:rPr>
                <w:rFonts w:ascii="Times New Roman" w:hAnsi="Times New Roman" w:eastAsiaTheme="minorEastAsia"/>
                <w:kern w:val="0"/>
                <w:szCs w:val="21"/>
              </w:rPr>
            </w:pPr>
          </w:p>
        </w:tc>
      </w:tr>
    </w:tbl>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（4）固体废弃物</w:t>
      </w:r>
    </w:p>
    <w:p>
      <w:pPr>
        <w:spacing w:line="520" w:lineRule="exact"/>
        <w:ind w:firstLine="560" w:firstLineChars="200"/>
        <w:rPr>
          <w:rFonts w:ascii="Times New Roman" w:hAnsi="Times New Roman" w:eastAsiaTheme="minorEastAsia"/>
          <w:bCs/>
          <w:sz w:val="28"/>
          <w:szCs w:val="28"/>
        </w:rPr>
      </w:pPr>
      <w:r>
        <w:rPr>
          <w:rFonts w:ascii="Times New Roman" w:hAnsi="Times New Roman" w:eastAsiaTheme="minorEastAsia"/>
          <w:bCs/>
          <w:sz w:val="28"/>
          <w:szCs w:val="28"/>
        </w:rPr>
        <w:t>项目一期生产装置投产后主要固废类型为员工生活垃圾，二期生产装置投产后主要固废类型为员工生活垃圾及废分子筛。生活垃圾产生量约1.5kg/d，即0.55t/a，依托原有收集系统收集，最终由当地环卫部门统一清运；二期生产装置废分子筛的产生量约13.2t/a，不属于《国家危险废物名录》所列危废，由厂家回收。</w:t>
      </w:r>
    </w:p>
    <w:bookmarkEnd w:id="55"/>
    <w:bookmarkEnd w:id="56"/>
    <w:p>
      <w:pPr>
        <w:pStyle w:val="5"/>
        <w:numPr>
          <w:ilvl w:val="2"/>
          <w:numId w:val="2"/>
        </w:numPr>
        <w:spacing w:before="0" w:after="0" w:line="520" w:lineRule="exact"/>
        <w:rPr>
          <w:rFonts w:ascii="Times New Roman" w:hAnsi="Times New Roman"/>
          <w:sz w:val="24"/>
          <w:lang w:eastAsia="zh-CN"/>
        </w:rPr>
      </w:pPr>
      <w:r>
        <w:rPr>
          <w:rFonts w:ascii="Times New Roman" w:hAnsi="Times New Roman" w:eastAsia="楷体_GB2312"/>
          <w:sz w:val="28"/>
          <w:szCs w:val="28"/>
          <w:lang w:val="en-US" w:eastAsia="zh-CN"/>
        </w:rPr>
        <w:t xml:space="preserve"> 现有工程存在的主要环保问题</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 xml:space="preserve">根据调查，中原大化现有工程均已按各期环评文件要求建设了配套的污染防治设施，但随着环保要求的不断提高，目前企业存在与现行环保要求不一致或提高改进的问题，主要体现在以下两个方面： </w:t>
      </w:r>
    </w:p>
    <w:p>
      <w:pPr>
        <w:spacing w:line="520" w:lineRule="exact"/>
        <w:ind w:firstLine="560" w:firstLineChars="200"/>
        <w:rPr>
          <w:rFonts w:ascii="Times New Roman" w:hAnsi="Times New Roman" w:eastAsiaTheme="minorEastAsia"/>
          <w:sz w:val="28"/>
          <w:szCs w:val="28"/>
        </w:rPr>
      </w:pPr>
      <w:bookmarkStart w:id="57" w:name="_Hlk66351160"/>
      <w:r>
        <w:rPr>
          <w:rFonts w:ascii="Times New Roman" w:hAnsi="Times New Roman" w:eastAsiaTheme="minorEastAsia"/>
          <w:sz w:val="28"/>
          <w:szCs w:val="28"/>
        </w:rPr>
        <w:t>（1）低温甲醇洗排气口非甲烷总烃处理措施</w:t>
      </w:r>
    </w:p>
    <w:bookmarkEnd w:id="57"/>
    <w:p>
      <w:pPr>
        <w:pStyle w:val="28"/>
        <w:spacing w:line="520" w:lineRule="exact"/>
        <w:ind w:firstLine="560" w:firstLineChars="200"/>
        <w:rPr>
          <w:rFonts w:ascii="Times New Roman" w:hAnsi="Times New Roman" w:cs="Times New Roman" w:eastAsiaTheme="minorEastAsia"/>
          <w:color w:val="auto"/>
          <w:sz w:val="28"/>
          <w:szCs w:val="28"/>
        </w:rPr>
      </w:pPr>
      <w:r>
        <w:rPr>
          <w:rFonts w:ascii="Times New Roman" w:hAnsi="Times New Roman" w:cs="Times New Roman" w:eastAsiaTheme="minorEastAsia"/>
          <w:color w:val="auto"/>
          <w:sz w:val="28"/>
          <w:szCs w:val="28"/>
        </w:rPr>
        <w:t>根据调查，目前低温甲醇洗废气主要通过脱盐水吸收处理，经吸收塔吸收后由86.3m排气筒排放；根据在线监测数据，目前该排气筒非甲烷总烃的排放浓度为71.53~86.40 mg/m</w:t>
      </w:r>
      <w:r>
        <w:rPr>
          <w:rFonts w:ascii="Times New Roman" w:hAnsi="Times New Roman" w:cs="Times New Roman" w:eastAsiaTheme="minorEastAsia"/>
          <w:color w:val="auto"/>
          <w:sz w:val="28"/>
          <w:szCs w:val="28"/>
          <w:vertAlign w:val="superscript"/>
        </w:rPr>
        <w:t>3</w:t>
      </w:r>
      <w:r>
        <w:rPr>
          <w:rFonts w:ascii="Times New Roman" w:hAnsi="Times New Roman" w:cs="Times New Roman" w:eastAsiaTheme="minorEastAsia"/>
          <w:color w:val="auto"/>
          <w:sz w:val="28"/>
          <w:szCs w:val="28"/>
        </w:rPr>
        <w:t>，不能满足《关于全省开展工业企业挥发性有机物专项治理工作中排放建议值的通知》（豫环攻坚办〔2017〕162号）限值要求（80mg/m</w:t>
      </w:r>
      <w:r>
        <w:rPr>
          <w:rFonts w:ascii="Times New Roman" w:hAnsi="Times New Roman" w:cs="Times New Roman" w:eastAsiaTheme="minorEastAsia"/>
          <w:color w:val="auto"/>
          <w:sz w:val="28"/>
          <w:szCs w:val="28"/>
          <w:vertAlign w:val="superscript"/>
        </w:rPr>
        <w:t>3</w:t>
      </w:r>
      <w:r>
        <w:rPr>
          <w:rFonts w:ascii="Times New Roman" w:hAnsi="Times New Roman" w:cs="Times New Roman" w:eastAsiaTheme="minorEastAsia"/>
          <w:color w:val="auto"/>
          <w:sz w:val="28"/>
          <w:szCs w:val="28"/>
        </w:rPr>
        <w:t>）</w:t>
      </w:r>
      <w:r>
        <w:rPr>
          <w:rFonts w:hint="eastAsia" w:ascii="Times New Roman" w:hAnsi="Times New Roman" w:cs="Times New Roman" w:eastAsiaTheme="minorEastAsia"/>
          <w:color w:val="auto"/>
          <w:sz w:val="28"/>
          <w:szCs w:val="28"/>
        </w:rPr>
        <w:t>。</w:t>
      </w:r>
    </w:p>
    <w:p>
      <w:pPr>
        <w:pStyle w:val="28"/>
        <w:spacing w:line="520" w:lineRule="exact"/>
        <w:ind w:firstLine="560" w:firstLineChars="200"/>
        <w:rPr>
          <w:rFonts w:ascii="Times New Roman" w:hAnsi="Times New Roman" w:cs="Times New Roman" w:eastAsiaTheme="minorEastAsia"/>
          <w:color w:val="auto"/>
          <w:sz w:val="28"/>
          <w:szCs w:val="28"/>
        </w:rPr>
      </w:pPr>
      <w:r>
        <w:rPr>
          <w:rFonts w:ascii="Times New Roman" w:hAnsi="Times New Roman" w:cs="Times New Roman" w:eastAsiaTheme="minorEastAsia"/>
          <w:color w:val="auto"/>
          <w:sz w:val="28"/>
          <w:szCs w:val="28"/>
        </w:rPr>
        <w:t>为进一步减少厂区非甲烷总烃排放量，降低有机物影响，大化公司拟将</w:t>
      </w:r>
      <w:bookmarkStart w:id="58" w:name="_Hlk66351169"/>
      <w:r>
        <w:rPr>
          <w:rFonts w:ascii="Times New Roman" w:hAnsi="Times New Roman" w:cs="Times New Roman" w:eastAsiaTheme="minorEastAsia"/>
          <w:color w:val="auto"/>
          <w:sz w:val="28"/>
          <w:szCs w:val="28"/>
        </w:rPr>
        <w:t>低温甲醇洗排放口废气收集后进行焚烧或催化氧化处理。</w:t>
      </w:r>
      <w:bookmarkEnd w:id="58"/>
    </w:p>
    <w:p>
      <w:pPr>
        <w:pStyle w:val="28"/>
        <w:spacing w:line="520" w:lineRule="exact"/>
        <w:ind w:firstLine="560" w:firstLineChars="200"/>
        <w:rPr>
          <w:rFonts w:ascii="Times New Roman" w:hAnsi="Times New Roman" w:cs="Times New Roman" w:eastAsiaTheme="minorEastAsia"/>
          <w:color w:val="auto"/>
          <w:sz w:val="28"/>
          <w:szCs w:val="28"/>
        </w:rPr>
      </w:pPr>
      <w:r>
        <w:rPr>
          <w:rFonts w:ascii="Times New Roman" w:hAnsi="Times New Roman" w:cs="Times New Roman" w:eastAsiaTheme="minorEastAsia"/>
          <w:color w:val="auto"/>
          <w:sz w:val="28"/>
          <w:szCs w:val="28"/>
        </w:rPr>
        <w:t>（2）污水处理站废气收集治理措施</w:t>
      </w:r>
    </w:p>
    <w:p>
      <w:pPr>
        <w:pStyle w:val="28"/>
        <w:spacing w:line="520" w:lineRule="exact"/>
        <w:ind w:firstLine="560" w:firstLineChars="200"/>
        <w:rPr>
          <w:rFonts w:ascii="Times New Roman" w:hAnsi="Times New Roman" w:cs="Times New Roman" w:eastAsiaTheme="minorEastAsia"/>
          <w:color w:val="auto"/>
          <w:sz w:val="28"/>
          <w:szCs w:val="28"/>
        </w:rPr>
      </w:pPr>
      <w:r>
        <w:rPr>
          <w:rFonts w:ascii="Times New Roman" w:hAnsi="Times New Roman" w:cs="Times New Roman" w:eastAsiaTheme="minorEastAsia"/>
          <w:color w:val="auto"/>
          <w:sz w:val="28"/>
          <w:szCs w:val="28"/>
        </w:rPr>
        <w:t>厂区污水处理站目前大部分构筑物已加盖处理，废气收集后经碱洗+UV光解装置处理；</w:t>
      </w:r>
      <w:bookmarkStart w:id="59" w:name="_Hlk66351182"/>
      <w:r>
        <w:rPr>
          <w:rFonts w:ascii="Times New Roman" w:hAnsi="Times New Roman" w:cs="Times New Roman" w:eastAsiaTheme="minorEastAsia"/>
          <w:color w:val="auto"/>
          <w:sz w:val="28"/>
          <w:szCs w:val="28"/>
        </w:rPr>
        <w:t>为进一步厂区污水处理站影响，拟对全部构筑物进行加盖处置，废气收集后全部送入锅炉系统焚烧。</w:t>
      </w:r>
      <w:bookmarkEnd w:id="59"/>
    </w:p>
    <w:bookmarkEnd w:id="43"/>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3.2  本次工程概况</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3.2.1  </w:t>
      </w:r>
      <w:r>
        <w:rPr>
          <w:rFonts w:hint="eastAsia" w:ascii="Times New Roman" w:hAnsi="Times New Roman" w:eastAsia="楷体_GB2312"/>
          <w:sz w:val="28"/>
          <w:szCs w:val="28"/>
          <w:lang w:val="en-US" w:eastAsia="zh-CN"/>
        </w:rPr>
        <w:t>基本情况</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w:t>
      </w:r>
      <w:r>
        <w:rPr>
          <w:rFonts w:hint="eastAsia" w:ascii="Times New Roman" w:hAnsi="Times New Roman"/>
          <w:kern w:val="0"/>
          <w:sz w:val="28"/>
          <w:szCs w:val="28"/>
        </w:rPr>
        <w:t>依托中科柏易金(郑州)新能源科技有限责任公司</w:t>
      </w:r>
      <w:r>
        <w:rPr>
          <w:rFonts w:ascii="Times New Roman" w:hAnsi="Times New Roman"/>
          <w:kern w:val="0"/>
          <w:sz w:val="28"/>
          <w:szCs w:val="28"/>
        </w:rPr>
        <w:t>首创拥有自主知识产权的生物质制乙二醇新路线，由东华工程科技股份有限公司联合中科柏易金</w:t>
      </w:r>
      <w:r>
        <w:rPr>
          <w:rFonts w:hint="eastAsia" w:ascii="Times New Roman" w:hAnsi="Times New Roman"/>
          <w:kern w:val="0"/>
          <w:sz w:val="28"/>
          <w:szCs w:val="28"/>
        </w:rPr>
        <w:t>、</w:t>
      </w:r>
      <w:r>
        <w:rPr>
          <w:rFonts w:ascii="Times New Roman" w:hAnsi="Times New Roman"/>
          <w:kern w:val="0"/>
          <w:sz w:val="28"/>
          <w:szCs w:val="28"/>
        </w:rPr>
        <w:t>中原大化合作开发，进行中试放大设计</w:t>
      </w:r>
      <w:r>
        <w:rPr>
          <w:rFonts w:hint="eastAsia" w:ascii="Times New Roman" w:hAnsi="Times New Roman"/>
          <w:kern w:val="0"/>
          <w:sz w:val="28"/>
          <w:szCs w:val="28"/>
        </w:rPr>
        <w:t>；</w:t>
      </w:r>
      <w:r>
        <w:rPr>
          <w:rFonts w:ascii="Times New Roman" w:hAnsi="Times New Roman"/>
          <w:kern w:val="0"/>
          <w:sz w:val="28"/>
          <w:szCs w:val="28"/>
        </w:rPr>
        <w:t>将</w:t>
      </w:r>
      <w:r>
        <w:rPr>
          <w:rFonts w:hint="eastAsia" w:ascii="Times New Roman" w:hAnsi="Times New Roman"/>
          <w:kern w:val="0"/>
          <w:sz w:val="28"/>
          <w:szCs w:val="28"/>
        </w:rPr>
        <w:t>外购的</w:t>
      </w:r>
      <w:r>
        <w:rPr>
          <w:rFonts w:ascii="Times New Roman" w:hAnsi="Times New Roman"/>
          <w:kern w:val="0"/>
          <w:sz w:val="28"/>
          <w:szCs w:val="28"/>
        </w:rPr>
        <w:t>秸秆</w:t>
      </w:r>
      <w:r>
        <w:rPr>
          <w:rFonts w:hint="eastAsia" w:ascii="Times New Roman" w:hAnsi="Times New Roman"/>
          <w:kern w:val="0"/>
          <w:sz w:val="28"/>
          <w:szCs w:val="28"/>
        </w:rPr>
        <w:t>糖溶液</w:t>
      </w:r>
      <w:r>
        <w:rPr>
          <w:rFonts w:ascii="Times New Roman" w:hAnsi="Times New Roman"/>
          <w:kern w:val="0"/>
          <w:sz w:val="28"/>
          <w:szCs w:val="28"/>
        </w:rPr>
        <w:t>等生物质进行催化转化，实现约60-80%的乙二醇产物</w:t>
      </w:r>
      <w:r>
        <w:rPr>
          <w:rFonts w:hint="eastAsia" w:ascii="Times New Roman" w:hAnsi="Times New Roman"/>
          <w:kern w:val="0"/>
          <w:sz w:val="28"/>
          <w:szCs w:val="28"/>
        </w:rPr>
        <w:t>。</w:t>
      </w:r>
    </w:p>
    <w:p>
      <w:pPr>
        <w:pStyle w:val="40"/>
        <w:spacing w:line="520" w:lineRule="exact"/>
        <w:ind w:firstLine="560" w:firstLineChars="200"/>
        <w:jc w:val="both"/>
        <w:rPr>
          <w:rFonts w:ascii="宋体" w:cs="宋体"/>
          <w:kern w:val="0"/>
          <w:sz w:val="24"/>
          <w:szCs w:val="24"/>
        </w:rPr>
      </w:pPr>
      <w:r>
        <w:rPr>
          <w:rFonts w:eastAsiaTheme="minorEastAsia"/>
          <w:sz w:val="28"/>
          <w:szCs w:val="28"/>
        </w:rPr>
        <w:t>工程基本情况见表3.2-1。</w:t>
      </w:r>
    </w:p>
    <w:p>
      <w:pPr>
        <w:pStyle w:val="32"/>
        <w:ind w:left="851" w:firstLine="0" w:firstLineChars="0"/>
      </w:pPr>
      <w:r>
        <w:t>表3.2-1                 工程基本情况一览表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1598"/>
        <w:gridCol w:w="673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4"/>
            </w:pPr>
            <w:r>
              <w:t>序号</w:t>
            </w:r>
          </w:p>
        </w:tc>
        <w:tc>
          <w:tcPr>
            <w:tcW w:w="871" w:type="pct"/>
            <w:vAlign w:val="center"/>
          </w:tcPr>
          <w:p>
            <w:pPr>
              <w:pStyle w:val="34"/>
            </w:pPr>
            <w:r>
              <w:t>项目</w:t>
            </w:r>
          </w:p>
        </w:tc>
        <w:tc>
          <w:tcPr>
            <w:tcW w:w="3672" w:type="pct"/>
            <w:vAlign w:val="center"/>
          </w:tcPr>
          <w:p>
            <w:pPr>
              <w:pStyle w:val="34"/>
            </w:pPr>
            <w:r>
              <w:t>内容</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1</w:t>
            </w:r>
          </w:p>
        </w:tc>
        <w:tc>
          <w:tcPr>
            <w:tcW w:w="871" w:type="pct"/>
            <w:vAlign w:val="center"/>
          </w:tcPr>
          <w:p>
            <w:pPr>
              <w:pStyle w:val="35"/>
              <w:rPr>
                <w:szCs w:val="21"/>
              </w:rPr>
            </w:pPr>
            <w:r>
              <w:rPr>
                <w:szCs w:val="21"/>
              </w:rPr>
              <w:t>工程名称</w:t>
            </w:r>
          </w:p>
        </w:tc>
        <w:tc>
          <w:tcPr>
            <w:tcW w:w="3672" w:type="pct"/>
            <w:vAlign w:val="center"/>
          </w:tcPr>
          <w:p>
            <w:pPr>
              <w:pStyle w:val="40"/>
              <w:rPr>
                <w:szCs w:val="21"/>
              </w:rPr>
            </w:pPr>
            <w:r>
              <w:rPr>
                <w:rFonts w:hint="eastAsia" w:ascii="宋体" w:cs="宋体"/>
                <w:kern w:val="0"/>
                <w:szCs w:val="21"/>
              </w:rPr>
              <w:t>千吨级秸秆糖制乙二醇中试项目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2</w:t>
            </w:r>
          </w:p>
        </w:tc>
        <w:tc>
          <w:tcPr>
            <w:tcW w:w="871" w:type="pct"/>
            <w:vAlign w:val="center"/>
          </w:tcPr>
          <w:p>
            <w:pPr>
              <w:pStyle w:val="35"/>
            </w:pPr>
            <w:r>
              <w:t>建设性质</w:t>
            </w:r>
          </w:p>
        </w:tc>
        <w:tc>
          <w:tcPr>
            <w:tcW w:w="3672" w:type="pct"/>
            <w:vAlign w:val="center"/>
          </w:tcPr>
          <w:p>
            <w:pPr>
              <w:pStyle w:val="40"/>
            </w:pPr>
            <w:r>
              <w:t>扩建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3</w:t>
            </w:r>
          </w:p>
        </w:tc>
        <w:tc>
          <w:tcPr>
            <w:tcW w:w="871" w:type="pct"/>
            <w:vAlign w:val="center"/>
          </w:tcPr>
          <w:p>
            <w:pPr>
              <w:pStyle w:val="35"/>
            </w:pPr>
            <w:r>
              <w:t>产品方案</w:t>
            </w:r>
          </w:p>
        </w:tc>
        <w:tc>
          <w:tcPr>
            <w:tcW w:w="3672" w:type="pct"/>
            <w:vAlign w:val="center"/>
          </w:tcPr>
          <w:p>
            <w:pPr>
              <w:pStyle w:val="40"/>
            </w:pPr>
            <w:r>
              <w:rPr>
                <w:rFonts w:hint="eastAsia"/>
              </w:rPr>
              <w:t>乙二醇</w:t>
            </w:r>
            <w:r>
              <w:t>746.8</w:t>
            </w:r>
            <w:r>
              <w:rPr>
                <w:rFonts w:hint="eastAsia"/>
              </w:rPr>
              <w:t>t/a、副产丙二醇1</w:t>
            </w:r>
            <w:r>
              <w:t>94.4</w:t>
            </w:r>
            <w:r>
              <w:rPr>
                <w:rFonts w:hint="eastAsia"/>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4</w:t>
            </w:r>
          </w:p>
        </w:tc>
        <w:tc>
          <w:tcPr>
            <w:tcW w:w="871" w:type="pct"/>
            <w:vAlign w:val="center"/>
          </w:tcPr>
          <w:p>
            <w:pPr>
              <w:pStyle w:val="35"/>
            </w:pPr>
            <w:r>
              <w:t>建设单位</w:t>
            </w:r>
          </w:p>
        </w:tc>
        <w:tc>
          <w:tcPr>
            <w:tcW w:w="3672" w:type="pct"/>
            <w:vAlign w:val="center"/>
          </w:tcPr>
          <w:p>
            <w:pPr>
              <w:pStyle w:val="40"/>
            </w:pPr>
            <w:r>
              <w:t>河南省中原大化集团有限责任公司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5</w:t>
            </w:r>
          </w:p>
        </w:tc>
        <w:tc>
          <w:tcPr>
            <w:tcW w:w="871" w:type="pct"/>
            <w:vAlign w:val="center"/>
          </w:tcPr>
          <w:p>
            <w:pPr>
              <w:pStyle w:val="35"/>
            </w:pPr>
            <w:r>
              <w:t>建设地点</w:t>
            </w:r>
          </w:p>
        </w:tc>
        <w:tc>
          <w:tcPr>
            <w:tcW w:w="3672" w:type="pct"/>
            <w:vAlign w:val="center"/>
          </w:tcPr>
          <w:p>
            <w:pPr>
              <w:pStyle w:val="40"/>
            </w:pPr>
            <w:r>
              <w:rPr>
                <w:rFonts w:hint="eastAsia"/>
              </w:rPr>
              <w:t>濮阳市濮阳经济技术产业集聚区（含濮阳经济开发区）石化路与濮水路交叉口西南角（中原大化煤化工厂区内）</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6</w:t>
            </w:r>
          </w:p>
        </w:tc>
        <w:tc>
          <w:tcPr>
            <w:tcW w:w="871" w:type="pct"/>
            <w:vAlign w:val="center"/>
          </w:tcPr>
          <w:p>
            <w:pPr>
              <w:pStyle w:val="35"/>
            </w:pPr>
            <w:r>
              <w:t>占地面积</w:t>
            </w:r>
          </w:p>
        </w:tc>
        <w:tc>
          <w:tcPr>
            <w:tcW w:w="3672" w:type="pct"/>
            <w:vAlign w:val="center"/>
          </w:tcPr>
          <w:p>
            <w:pPr>
              <w:pStyle w:val="40"/>
            </w:pPr>
            <w:r>
              <w:t>2600</w:t>
            </w:r>
            <w:r>
              <w:rPr>
                <w:rFonts w:eastAsiaTheme="minorEastAsia"/>
                <w:szCs w:val="21"/>
              </w:rPr>
              <w:t>m</w:t>
            </w:r>
            <w:r>
              <w:rPr>
                <w:rFonts w:eastAsiaTheme="minorEastAsia"/>
                <w:szCs w:val="21"/>
                <w:vertAlign w:val="superscript"/>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7</w:t>
            </w:r>
          </w:p>
        </w:tc>
        <w:tc>
          <w:tcPr>
            <w:tcW w:w="871" w:type="pct"/>
            <w:vAlign w:val="center"/>
          </w:tcPr>
          <w:p>
            <w:pPr>
              <w:pStyle w:val="35"/>
            </w:pPr>
            <w:r>
              <w:t>技术经济指标</w:t>
            </w:r>
          </w:p>
        </w:tc>
        <w:tc>
          <w:tcPr>
            <w:tcW w:w="3672" w:type="pct"/>
            <w:vAlign w:val="center"/>
          </w:tcPr>
          <w:p>
            <w:pPr>
              <w:pStyle w:val="40"/>
            </w:pPr>
            <w:r>
              <w:rPr>
                <w:kern w:val="0"/>
              </w:rPr>
              <w:t>总投资2098万元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8</w:t>
            </w:r>
          </w:p>
        </w:tc>
        <w:tc>
          <w:tcPr>
            <w:tcW w:w="871" w:type="pct"/>
            <w:vAlign w:val="center"/>
          </w:tcPr>
          <w:p>
            <w:pPr>
              <w:pStyle w:val="35"/>
            </w:pPr>
            <w:r>
              <w:t>主要生产工艺</w:t>
            </w:r>
          </w:p>
        </w:tc>
        <w:tc>
          <w:tcPr>
            <w:tcW w:w="3672" w:type="pct"/>
            <w:vAlign w:val="center"/>
          </w:tcPr>
          <w:p>
            <w:pPr>
              <w:pStyle w:val="40"/>
              <w:rPr>
                <w:sz w:val="24"/>
              </w:rPr>
            </w:pPr>
            <w:r>
              <w:rPr>
                <w:rFonts w:hint="eastAsia"/>
              </w:rPr>
              <w:t>乙二醇合成、乙二醇精馏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9</w:t>
            </w:r>
          </w:p>
        </w:tc>
        <w:tc>
          <w:tcPr>
            <w:tcW w:w="871" w:type="pct"/>
            <w:vAlign w:val="center"/>
          </w:tcPr>
          <w:p>
            <w:pPr>
              <w:pStyle w:val="35"/>
            </w:pPr>
            <w:r>
              <w:t>工作制度</w:t>
            </w:r>
          </w:p>
        </w:tc>
        <w:tc>
          <w:tcPr>
            <w:tcW w:w="3672" w:type="pct"/>
            <w:vAlign w:val="center"/>
          </w:tcPr>
          <w:p>
            <w:pPr>
              <w:pStyle w:val="40"/>
              <w:rPr>
                <w:szCs w:val="21"/>
              </w:rPr>
            </w:pPr>
            <w:r>
              <w:rPr>
                <w:szCs w:val="21"/>
              </w:rPr>
              <w:t>四班三运转，年工作8000h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7" w:type="pct"/>
            <w:vAlign w:val="center"/>
          </w:tcPr>
          <w:p>
            <w:pPr>
              <w:pStyle w:val="35"/>
            </w:pPr>
            <w:r>
              <w:t>10</w:t>
            </w:r>
          </w:p>
        </w:tc>
        <w:tc>
          <w:tcPr>
            <w:tcW w:w="871" w:type="pct"/>
            <w:vAlign w:val="center"/>
          </w:tcPr>
          <w:p>
            <w:pPr>
              <w:pStyle w:val="35"/>
            </w:pPr>
            <w:r>
              <w:t>职工人数</w:t>
            </w:r>
          </w:p>
        </w:tc>
        <w:tc>
          <w:tcPr>
            <w:tcW w:w="3672" w:type="pct"/>
            <w:vAlign w:val="center"/>
          </w:tcPr>
          <w:p>
            <w:pPr>
              <w:pStyle w:val="40"/>
            </w:pPr>
            <w:r>
              <w:t>装置总定员10人</w:t>
            </w:r>
          </w:p>
        </w:tc>
      </w:tr>
    </w:tbl>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3.2.2  </w:t>
      </w:r>
      <w:r>
        <w:rPr>
          <w:rFonts w:hint="eastAsia" w:ascii="Times New Roman" w:hAnsi="Times New Roman" w:eastAsia="楷体_GB2312"/>
          <w:sz w:val="28"/>
          <w:szCs w:val="28"/>
          <w:lang w:val="en-US" w:eastAsia="zh-CN"/>
        </w:rPr>
        <w:t>中试方案及计划</w:t>
      </w:r>
    </w:p>
    <w:p>
      <w:pPr>
        <w:pStyle w:val="27"/>
        <w:ind w:firstLine="560"/>
        <w:rPr>
          <w:szCs w:val="28"/>
        </w:rPr>
      </w:pPr>
      <w:r>
        <w:rPr>
          <w:szCs w:val="28"/>
        </w:rPr>
        <w:t>（1）中试目的</w:t>
      </w:r>
    </w:p>
    <w:p>
      <w:pPr>
        <w:widowControl/>
        <w:adjustRightInd w:val="0"/>
        <w:spacing w:line="520" w:lineRule="exact"/>
        <w:ind w:firstLine="560" w:firstLineChars="200"/>
        <w:textAlignment w:val="baseline"/>
        <w:rPr>
          <w:rFonts w:ascii="Times New Roman" w:hAnsi="Times New Roman"/>
          <w:sz w:val="28"/>
          <w:szCs w:val="28"/>
        </w:rPr>
      </w:pPr>
      <w:r>
        <w:rPr>
          <w:rFonts w:hint="eastAsia" w:ascii="Times New Roman" w:hAnsi="Times New Roman"/>
          <w:sz w:val="28"/>
          <w:szCs w:val="28"/>
        </w:rPr>
        <w:t>中试的目的主要是验证工艺参数、流程和反应器结构的放大是否合理，精馏系统分离效果能否达到纯度指标，即</w:t>
      </w:r>
      <w:r>
        <w:rPr>
          <w:rFonts w:ascii="Times New Roman" w:hAnsi="Times New Roman"/>
          <w:sz w:val="28"/>
          <w:szCs w:val="28"/>
        </w:rPr>
        <w:t>经过中试放大试验，打通秸秆糖制乙二醇工艺流程，确定工艺放大参数，解决放大效应，编制万吨级秸秆糖制乙二醇工艺包，为生物质制乙二醇技术推向到大规模工业应用提供技术支持。</w:t>
      </w:r>
    </w:p>
    <w:p>
      <w:pPr>
        <w:pStyle w:val="27"/>
        <w:ind w:firstLine="560"/>
        <w:rPr>
          <w:szCs w:val="28"/>
        </w:rPr>
      </w:pPr>
      <w:r>
        <w:rPr>
          <w:szCs w:val="28"/>
        </w:rPr>
        <w:t>（2）中试内容</w:t>
      </w:r>
    </w:p>
    <w:p>
      <w:pPr>
        <w:widowControl/>
        <w:adjustRightInd w:val="0"/>
        <w:spacing w:line="520" w:lineRule="exact"/>
        <w:ind w:firstLine="560" w:firstLineChars="200"/>
        <w:textAlignment w:val="baseline"/>
        <w:rPr>
          <w:rFonts w:ascii="Times New Roman" w:hAnsi="Times New Roman"/>
          <w:sz w:val="28"/>
          <w:szCs w:val="28"/>
        </w:rPr>
      </w:pPr>
      <w:r>
        <w:rPr>
          <w:rFonts w:ascii="Times New Roman" w:hAnsi="Times New Roman"/>
          <w:sz w:val="28"/>
          <w:szCs w:val="28"/>
        </w:rPr>
        <w:t>依托厂区的公辅配套，以生物质秸秆糖水溶液和氢气为原料，在高温、高压下、釜式反应器中经催化转化获得粗乙二醇，然后通过精馏工艺得到优等乙二醇产品，同时副产工业级丙二醇</w:t>
      </w:r>
      <w:r>
        <w:rPr>
          <w:rFonts w:hint="eastAsia" w:ascii="Times New Roman" w:hAnsi="Times New Roman"/>
          <w:sz w:val="28"/>
          <w:szCs w:val="28"/>
        </w:rPr>
        <w:t>等</w:t>
      </w:r>
      <w:r>
        <w:rPr>
          <w:rFonts w:ascii="Times New Roman" w:hAnsi="Times New Roman"/>
          <w:sz w:val="28"/>
          <w:szCs w:val="28"/>
        </w:rPr>
        <w:t>产品。</w:t>
      </w:r>
    </w:p>
    <w:p>
      <w:pPr>
        <w:pStyle w:val="27"/>
        <w:ind w:firstLine="560"/>
        <w:rPr>
          <w:szCs w:val="28"/>
        </w:rPr>
      </w:pPr>
      <w:r>
        <w:rPr>
          <w:szCs w:val="28"/>
        </w:rPr>
        <w:t>（3）中试方案</w:t>
      </w:r>
    </w:p>
    <w:p>
      <w:pPr>
        <w:pStyle w:val="27"/>
        <w:ind w:firstLine="560"/>
        <w:rPr>
          <w:szCs w:val="21"/>
        </w:rPr>
      </w:pPr>
      <w:r>
        <w:rPr>
          <w:szCs w:val="21"/>
        </w:rPr>
        <w:t>本项目</w:t>
      </w:r>
      <w:r>
        <w:rPr>
          <w:rFonts w:hint="eastAsia"/>
          <w:szCs w:val="21"/>
        </w:rPr>
        <w:t>为</w:t>
      </w:r>
      <w:r>
        <w:rPr>
          <w:szCs w:val="21"/>
        </w:rPr>
        <w:t>千吨级中试装置，主要</w:t>
      </w:r>
      <w:r>
        <w:rPr>
          <w:rFonts w:hint="eastAsia"/>
          <w:szCs w:val="21"/>
        </w:rPr>
        <w:t>目的是</w:t>
      </w:r>
      <w:r>
        <w:rPr>
          <w:szCs w:val="21"/>
        </w:rPr>
        <w:t>进一步验证工艺参数、流程和反应器结构的放大是否合理，精馏系统分离效果能否达到纯度指标，</w:t>
      </w:r>
      <w:r>
        <w:rPr>
          <w:rFonts w:hint="eastAsia"/>
          <w:szCs w:val="21"/>
        </w:rPr>
        <w:t>属于</w:t>
      </w:r>
      <w:r>
        <w:rPr>
          <w:szCs w:val="21"/>
        </w:rPr>
        <w:t>非连续运行的科研试验装置</w:t>
      </w:r>
      <w:r>
        <w:rPr>
          <w:rFonts w:hint="eastAsia"/>
          <w:szCs w:val="21"/>
        </w:rPr>
        <w:t>。</w:t>
      </w:r>
    </w:p>
    <w:p>
      <w:pPr>
        <w:pStyle w:val="28"/>
        <w:spacing w:line="520" w:lineRule="exact"/>
        <w:ind w:firstLine="560" w:firstLineChars="200"/>
        <w:rPr>
          <w:rFonts w:ascii="Times New Roman" w:hAnsi="Times New Roman" w:cs="Times New Roman"/>
          <w:color w:val="auto"/>
          <w:kern w:val="2"/>
          <w:sz w:val="28"/>
          <w:szCs w:val="28"/>
        </w:rPr>
      </w:pPr>
      <w:r>
        <w:rPr>
          <w:rFonts w:ascii="Times New Roman" w:hAnsi="Times New Roman" w:cs="Times New Roman"/>
          <w:color w:val="auto"/>
          <w:kern w:val="2"/>
          <w:sz w:val="28"/>
          <w:szCs w:val="28"/>
        </w:rPr>
        <w:t>第一阶段：反应系统及精馏系统调试、试运行</w:t>
      </w:r>
    </w:p>
    <w:p>
      <w:pPr>
        <w:pStyle w:val="28"/>
        <w:spacing w:line="520" w:lineRule="exact"/>
        <w:ind w:firstLine="560" w:firstLineChars="200"/>
        <w:rPr>
          <w:rFonts w:ascii="Times New Roman" w:hAnsi="Times New Roman" w:cs="Times New Roman"/>
          <w:color w:val="auto"/>
          <w:kern w:val="2"/>
          <w:sz w:val="28"/>
          <w:szCs w:val="28"/>
        </w:rPr>
      </w:pPr>
      <w:r>
        <w:rPr>
          <w:rFonts w:ascii="Times New Roman" w:hAnsi="Times New Roman" w:cs="Times New Roman"/>
          <w:color w:val="auto"/>
          <w:kern w:val="2"/>
          <w:sz w:val="28"/>
          <w:szCs w:val="28"/>
        </w:rPr>
        <w:t>第二阶段：反应与精馏分段进行</w:t>
      </w:r>
    </w:p>
    <w:p>
      <w:pPr>
        <w:pStyle w:val="28"/>
        <w:spacing w:line="520" w:lineRule="exact"/>
        <w:ind w:firstLine="560" w:firstLineChars="200"/>
        <w:rPr>
          <w:rFonts w:ascii="Times New Roman" w:hAnsi="Times New Roman" w:cs="Times New Roman"/>
          <w:color w:val="auto"/>
          <w:kern w:val="2"/>
          <w:sz w:val="28"/>
          <w:szCs w:val="28"/>
        </w:rPr>
      </w:pPr>
      <w:r>
        <w:rPr>
          <w:rFonts w:ascii="Times New Roman" w:hAnsi="Times New Roman" w:cs="Times New Roman"/>
          <w:color w:val="auto"/>
          <w:kern w:val="2"/>
          <w:sz w:val="28"/>
          <w:szCs w:val="28"/>
        </w:rPr>
        <w:t>第三阶段：反应与精馏联动试验</w:t>
      </w:r>
    </w:p>
    <w:p>
      <w:pPr>
        <w:pStyle w:val="28"/>
        <w:spacing w:line="520" w:lineRule="exact"/>
        <w:ind w:firstLine="560" w:firstLineChars="200"/>
        <w:rPr>
          <w:rFonts w:ascii="Times New Roman" w:hAnsi="Times New Roman" w:cs="Times New Roman"/>
          <w:color w:val="auto"/>
          <w:kern w:val="2"/>
          <w:sz w:val="28"/>
          <w:szCs w:val="28"/>
        </w:rPr>
      </w:pPr>
      <w:r>
        <w:rPr>
          <w:rFonts w:ascii="Times New Roman" w:hAnsi="Times New Roman" w:cs="Times New Roman"/>
          <w:color w:val="auto"/>
          <w:kern w:val="2"/>
          <w:sz w:val="28"/>
          <w:szCs w:val="28"/>
        </w:rPr>
        <w:t>第四阶段：系统优化试验</w:t>
      </w:r>
    </w:p>
    <w:p>
      <w:pPr>
        <w:spacing w:line="520" w:lineRule="exact"/>
        <w:ind w:firstLine="560" w:firstLineChars="200"/>
        <w:rPr>
          <w:rFonts w:ascii="Times New Roman" w:hAnsi="Times New Roman"/>
          <w:sz w:val="28"/>
          <w:szCs w:val="21"/>
        </w:rPr>
      </w:pPr>
      <w:r>
        <w:rPr>
          <w:rFonts w:hint="eastAsia" w:ascii="Times New Roman" w:hAnsi="Times New Roman"/>
          <w:sz w:val="28"/>
          <w:szCs w:val="21"/>
        </w:rPr>
        <w:t>本次中试项目实验条件相对固定，在温度、压力上会稍有改动，对产品的产量和质量影响不大</w:t>
      </w:r>
      <w:r>
        <w:rPr>
          <w:rFonts w:ascii="Times New Roman" w:hAnsi="Times New Roman"/>
          <w:sz w:val="28"/>
          <w:szCs w:val="21"/>
        </w:rPr>
        <w:t>。</w:t>
      </w:r>
    </w:p>
    <w:p>
      <w:pPr>
        <w:pStyle w:val="27"/>
        <w:ind w:firstLine="560"/>
        <w:rPr>
          <w:szCs w:val="28"/>
        </w:rPr>
      </w:pPr>
      <w:r>
        <w:rPr>
          <w:szCs w:val="28"/>
        </w:rPr>
        <w:t>（4）技术支撑</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本项目依托中科柏易金提供的实验室研究成果及经验积累（主要为乙二醇合成部分），进行中试放大设计。</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中科柏易金是一家以生物质制乙二醇技术开发、授权转让、工艺包许可、催化剂销售、技术咨询为主要经营项目的高新技术企业</w:t>
      </w:r>
      <w:r>
        <w:rPr>
          <w:rFonts w:hint="eastAsia" w:ascii="Times New Roman" w:hAnsi="Times New Roman"/>
          <w:kern w:val="0"/>
          <w:sz w:val="28"/>
          <w:szCs w:val="28"/>
        </w:rPr>
        <w:t>；</w:t>
      </w:r>
      <w:r>
        <w:rPr>
          <w:rFonts w:ascii="Times New Roman" w:hAnsi="Times New Roman"/>
          <w:kern w:val="0"/>
          <w:sz w:val="28"/>
          <w:szCs w:val="28"/>
        </w:rPr>
        <w:t>其重要股东大连化学物理研究所</w:t>
      </w:r>
      <w:r>
        <w:rPr>
          <w:rFonts w:hint="eastAsia" w:ascii="Times New Roman" w:hAnsi="Times New Roman"/>
          <w:kern w:val="0"/>
          <w:sz w:val="28"/>
          <w:szCs w:val="28"/>
        </w:rPr>
        <w:t>（大化所）</w:t>
      </w:r>
      <w:r>
        <w:rPr>
          <w:rFonts w:ascii="Times New Roman" w:hAnsi="Times New Roman"/>
          <w:kern w:val="0"/>
          <w:sz w:val="28"/>
          <w:szCs w:val="28"/>
        </w:rPr>
        <w:t>创建于1949年3月，是一个基础研究与应用研究并重、应用研究和技术转化相结合，以任务带学科为主要特色的综合性研究所。</w:t>
      </w:r>
      <w:r>
        <w:rPr>
          <w:rFonts w:hint="eastAsia" w:ascii="Times New Roman" w:hAnsi="Times New Roman"/>
          <w:kern w:val="0"/>
          <w:sz w:val="28"/>
          <w:szCs w:val="28"/>
        </w:rPr>
        <w:t>大化所开发的生物质制乙二醇这一新路线，将秸秆糖水溶液等生物质进行催化转化，目前能够实现约</w:t>
      </w:r>
      <w:r>
        <w:rPr>
          <w:rFonts w:ascii="Times New Roman" w:hAnsi="Times New Roman"/>
          <w:kern w:val="0"/>
          <w:sz w:val="28"/>
          <w:szCs w:val="28"/>
        </w:rPr>
        <w:t>60%</w:t>
      </w:r>
      <w:r>
        <w:rPr>
          <w:rFonts w:hint="eastAsia" w:ascii="Times New Roman" w:hAnsi="Times New Roman"/>
          <w:kern w:val="0"/>
          <w:sz w:val="28"/>
          <w:szCs w:val="28"/>
        </w:rPr>
        <w:t>～</w:t>
      </w:r>
      <w:r>
        <w:rPr>
          <w:rFonts w:ascii="Times New Roman" w:hAnsi="Times New Roman"/>
          <w:kern w:val="0"/>
          <w:sz w:val="28"/>
          <w:szCs w:val="28"/>
        </w:rPr>
        <w:t>80%</w:t>
      </w:r>
      <w:r>
        <w:rPr>
          <w:rFonts w:hint="eastAsia" w:ascii="Times New Roman" w:hAnsi="Times New Roman"/>
          <w:kern w:val="0"/>
          <w:sz w:val="28"/>
          <w:szCs w:val="28"/>
        </w:rPr>
        <w:t>的乙二醇产物选择性；目前千克级别的小试已取得成功，本次中试项目是以千克级试验成功结果以及4项发明专利作为技术支撑，相关专利的信息如下：《一种多羟基化合物制乙二醇的方法》（</w:t>
      </w:r>
      <w:r>
        <w:rPr>
          <w:rFonts w:ascii="Times New Roman" w:hAnsi="Times New Roman"/>
          <w:kern w:val="0"/>
          <w:sz w:val="28"/>
          <w:szCs w:val="28"/>
        </w:rPr>
        <w:t>ZL</w:t>
      </w:r>
      <w:r>
        <w:rPr>
          <w:rFonts w:hint="eastAsia" w:ascii="Times New Roman" w:hAnsi="Times New Roman"/>
          <w:kern w:val="0"/>
          <w:sz w:val="28"/>
          <w:szCs w:val="28"/>
        </w:rPr>
        <w:t>201010125806.5）、《一种糖溶液制备乙二醇、1，2-丙二醇的方法》（</w:t>
      </w:r>
      <w:r>
        <w:rPr>
          <w:rFonts w:ascii="Times New Roman" w:hAnsi="Times New Roman"/>
          <w:kern w:val="0"/>
          <w:sz w:val="28"/>
          <w:szCs w:val="28"/>
        </w:rPr>
        <w:t>ZL</w:t>
      </w:r>
      <w:r>
        <w:rPr>
          <w:rFonts w:hint="eastAsia" w:ascii="Times New Roman" w:hAnsi="Times New Roman"/>
          <w:kern w:val="0"/>
          <w:sz w:val="28"/>
          <w:szCs w:val="28"/>
        </w:rPr>
        <w:t>201110062346.0）、《连续加氢裂解纤维素生产乙二醇及1，2-丙二醇的方法》（</w:t>
      </w:r>
      <w:r>
        <w:rPr>
          <w:rFonts w:ascii="Times New Roman" w:hAnsi="Times New Roman"/>
          <w:kern w:val="0"/>
          <w:sz w:val="28"/>
          <w:szCs w:val="28"/>
        </w:rPr>
        <w:t>ZL</w:t>
      </w:r>
      <w:r>
        <w:rPr>
          <w:rFonts w:hint="eastAsia" w:ascii="Times New Roman" w:hAnsi="Times New Roman"/>
          <w:kern w:val="0"/>
          <w:sz w:val="28"/>
          <w:szCs w:val="28"/>
        </w:rPr>
        <w:t>201110176082.1）、《一种木质纤维素生物质综合利用制备能源化学品的方法》（</w:t>
      </w:r>
      <w:r>
        <w:rPr>
          <w:rFonts w:ascii="Times New Roman" w:hAnsi="Times New Roman"/>
          <w:kern w:val="0"/>
          <w:sz w:val="28"/>
          <w:szCs w:val="28"/>
        </w:rPr>
        <w:t>ZL</w:t>
      </w:r>
      <w:r>
        <w:rPr>
          <w:rFonts w:hint="eastAsia" w:ascii="Times New Roman" w:hAnsi="Times New Roman"/>
          <w:kern w:val="0"/>
          <w:sz w:val="28"/>
          <w:szCs w:val="28"/>
        </w:rPr>
        <w:t>201310670125.0）</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因此，大连化学物理研究所</w:t>
      </w:r>
      <w:r>
        <w:rPr>
          <w:rFonts w:hint="eastAsia" w:ascii="Times New Roman" w:hAnsi="Times New Roman"/>
          <w:kern w:val="0"/>
          <w:sz w:val="28"/>
          <w:szCs w:val="28"/>
        </w:rPr>
        <w:t>拟与中原大化公司合作，建设中试</w:t>
      </w:r>
      <w:r>
        <w:rPr>
          <w:rFonts w:ascii="Times New Roman" w:hAnsi="Times New Roman"/>
          <w:kern w:val="0"/>
          <w:sz w:val="28"/>
          <w:szCs w:val="28"/>
        </w:rPr>
        <w:t>研发装置</w:t>
      </w:r>
      <w:r>
        <w:rPr>
          <w:rFonts w:hint="eastAsia" w:ascii="Times New Roman" w:hAnsi="Times New Roman"/>
          <w:kern w:val="0"/>
          <w:sz w:val="28"/>
          <w:szCs w:val="28"/>
        </w:rPr>
        <w:t>，</w:t>
      </w:r>
      <w:r>
        <w:rPr>
          <w:rFonts w:ascii="Times New Roman" w:hAnsi="Times New Roman"/>
          <w:kern w:val="0"/>
          <w:sz w:val="28"/>
          <w:szCs w:val="28"/>
        </w:rPr>
        <w:t>发现和解决中试过程中出现的工业放大问题，得到用于工业化生产的试验数据。</w:t>
      </w:r>
    </w:p>
    <w:p>
      <w:pPr>
        <w:pStyle w:val="27"/>
        <w:ind w:firstLine="560"/>
        <w:rPr>
          <w:szCs w:val="28"/>
        </w:rPr>
      </w:pPr>
      <w:r>
        <w:rPr>
          <w:szCs w:val="28"/>
        </w:rPr>
        <w:t>（5）中试计划</w:t>
      </w:r>
    </w:p>
    <w:p>
      <w:pPr>
        <w:pStyle w:val="27"/>
        <w:ind w:firstLine="560"/>
        <w:rPr>
          <w:kern w:val="0"/>
          <w:szCs w:val="28"/>
        </w:rPr>
      </w:pPr>
      <w:r>
        <w:rPr>
          <w:szCs w:val="21"/>
        </w:rPr>
        <w:t>该中试项目力争在2021年11月前完成专家组评议，通过验收后即可标志该中试项目成功；中试项目的结束时间以系统优化试验完成为准，预计在2022年6月前完成；中试结束后依据试验优化的需求决定是否拆除该中试装置。</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3.2.3  工程主要建设内容</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工程主要建设1套</w:t>
      </w:r>
      <w:r>
        <w:rPr>
          <w:rFonts w:hint="eastAsia" w:ascii="Times New Roman" w:hAnsi="Times New Roman" w:eastAsiaTheme="minorEastAsia"/>
          <w:sz w:val="28"/>
          <w:szCs w:val="28"/>
        </w:rPr>
        <w:t>千吨级秸秆糖制乙二醇中试装置，</w:t>
      </w:r>
      <w:r>
        <w:rPr>
          <w:rFonts w:ascii="Times New Roman" w:hAnsi="Times New Roman" w:eastAsiaTheme="minorEastAsia"/>
          <w:sz w:val="28"/>
          <w:szCs w:val="28"/>
        </w:rPr>
        <w:t>具体情况见表3.2-2。</w:t>
      </w:r>
    </w:p>
    <w:p>
      <w:pPr>
        <w:pStyle w:val="32"/>
        <w:ind w:left="851" w:firstLine="0" w:firstLineChars="0"/>
      </w:pPr>
      <w:r>
        <w:t>表3.2-2                 工程主要建设内容一览表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46"/>
        <w:gridCol w:w="849"/>
        <w:gridCol w:w="1561"/>
        <w:gridCol w:w="515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Align w:val="center"/>
          </w:tcPr>
          <w:p>
            <w:pPr>
              <w:pStyle w:val="34"/>
              <w:adjustRightInd/>
              <w:snapToGrid/>
              <w:rPr>
                <w:rFonts w:eastAsiaTheme="minorEastAsia"/>
                <w:szCs w:val="21"/>
              </w:rPr>
            </w:pPr>
            <w:r>
              <w:rPr>
                <w:rFonts w:eastAsiaTheme="minorEastAsia"/>
                <w:szCs w:val="21"/>
              </w:rPr>
              <w:t>类别</w:t>
            </w:r>
          </w:p>
        </w:tc>
        <w:tc>
          <w:tcPr>
            <w:tcW w:w="1337" w:type="pct"/>
            <w:gridSpan w:val="2"/>
            <w:vAlign w:val="center"/>
          </w:tcPr>
          <w:p>
            <w:pPr>
              <w:pStyle w:val="34"/>
              <w:adjustRightInd/>
              <w:snapToGrid/>
              <w:rPr>
                <w:rFonts w:eastAsiaTheme="minorEastAsia"/>
                <w:szCs w:val="21"/>
              </w:rPr>
            </w:pPr>
            <w:r>
              <w:rPr>
                <w:rFonts w:eastAsiaTheme="minorEastAsia"/>
                <w:szCs w:val="21"/>
              </w:rPr>
              <w:t>系统名称</w:t>
            </w:r>
          </w:p>
        </w:tc>
        <w:tc>
          <w:tcPr>
            <w:tcW w:w="2861" w:type="pct"/>
            <w:vAlign w:val="center"/>
          </w:tcPr>
          <w:p>
            <w:pPr>
              <w:pStyle w:val="34"/>
              <w:adjustRightInd/>
              <w:snapToGrid/>
              <w:rPr>
                <w:rFonts w:eastAsiaTheme="minorEastAsia"/>
                <w:szCs w:val="21"/>
              </w:rPr>
            </w:pPr>
            <w:r>
              <w:rPr>
                <w:rFonts w:eastAsiaTheme="minorEastAsia"/>
                <w:szCs w:val="21"/>
              </w:rPr>
              <w:t>建设内容</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restart"/>
            <w:vAlign w:val="center"/>
          </w:tcPr>
          <w:p>
            <w:pPr>
              <w:pStyle w:val="35"/>
              <w:rPr>
                <w:rFonts w:eastAsiaTheme="minorEastAsia"/>
                <w:szCs w:val="21"/>
              </w:rPr>
            </w:pPr>
            <w:r>
              <w:rPr>
                <w:rFonts w:eastAsiaTheme="minorEastAsia"/>
                <w:szCs w:val="21"/>
              </w:rPr>
              <w:t>主体工程</w:t>
            </w:r>
          </w:p>
        </w:tc>
        <w:tc>
          <w:tcPr>
            <w:tcW w:w="1337" w:type="pct"/>
            <w:gridSpan w:val="2"/>
            <w:vAlign w:val="center"/>
          </w:tcPr>
          <w:p>
            <w:pPr>
              <w:pStyle w:val="35"/>
              <w:rPr>
                <w:rFonts w:eastAsiaTheme="minorEastAsia"/>
                <w:szCs w:val="21"/>
              </w:rPr>
            </w:pPr>
            <w:r>
              <w:rPr>
                <w:rStyle w:val="37"/>
                <w:rFonts w:hint="eastAsia" w:eastAsiaTheme="minorEastAsia"/>
                <w:sz w:val="21"/>
                <w:szCs w:val="21"/>
                <w:lang w:val="zh-TW"/>
              </w:rPr>
              <w:t>乙二醇合成</w:t>
            </w:r>
            <w:r>
              <w:rPr>
                <w:rStyle w:val="37"/>
                <w:rFonts w:eastAsiaTheme="minorEastAsia"/>
                <w:sz w:val="21"/>
                <w:szCs w:val="21"/>
                <w:lang w:val="zh-TW"/>
              </w:rPr>
              <w:t>工序</w:t>
            </w:r>
          </w:p>
        </w:tc>
        <w:tc>
          <w:tcPr>
            <w:tcW w:w="2861" w:type="pct"/>
            <w:vAlign w:val="center"/>
          </w:tcPr>
          <w:p>
            <w:pPr>
              <w:pStyle w:val="41"/>
              <w:spacing w:line="240" w:lineRule="auto"/>
              <w:jc w:val="left"/>
              <w:rPr>
                <w:rFonts w:eastAsiaTheme="minorEastAsia"/>
                <w:sz w:val="21"/>
                <w:szCs w:val="21"/>
              </w:rPr>
            </w:pPr>
            <w:r>
              <w:rPr>
                <w:rFonts w:hint="eastAsia" w:eastAsiaTheme="minorEastAsia"/>
                <w:sz w:val="21"/>
                <w:szCs w:val="21"/>
              </w:rPr>
              <w:t>合成反应釜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Style w:val="37"/>
                <w:rFonts w:hint="eastAsia" w:eastAsiaTheme="minorEastAsia"/>
                <w:sz w:val="21"/>
                <w:szCs w:val="21"/>
                <w:lang w:val="zh-TW"/>
              </w:rPr>
              <w:t>乙二醇精馏</w:t>
            </w:r>
            <w:r>
              <w:rPr>
                <w:rStyle w:val="37"/>
                <w:rFonts w:eastAsiaTheme="minorEastAsia"/>
                <w:sz w:val="21"/>
                <w:szCs w:val="21"/>
                <w:lang w:val="zh-TW"/>
              </w:rPr>
              <w:t>工序</w:t>
            </w:r>
          </w:p>
        </w:tc>
        <w:tc>
          <w:tcPr>
            <w:tcW w:w="2861" w:type="pct"/>
            <w:vAlign w:val="center"/>
          </w:tcPr>
          <w:p>
            <w:pPr>
              <w:pStyle w:val="41"/>
              <w:spacing w:line="240" w:lineRule="auto"/>
              <w:jc w:val="left"/>
              <w:rPr>
                <w:rFonts w:eastAsiaTheme="minorEastAsia"/>
                <w:sz w:val="21"/>
                <w:szCs w:val="21"/>
              </w:rPr>
            </w:pPr>
            <w:r>
              <w:rPr>
                <w:rFonts w:hint="eastAsia" w:eastAsiaTheme="minorEastAsia"/>
                <w:sz w:val="21"/>
                <w:szCs w:val="21"/>
              </w:rPr>
              <w:t>闪蒸罐、脱轻塔、脱重塔、精制塔、尾气洗涤塔等</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restart"/>
            <w:vAlign w:val="center"/>
          </w:tcPr>
          <w:p>
            <w:pPr>
              <w:pStyle w:val="35"/>
              <w:rPr>
                <w:rFonts w:eastAsiaTheme="minorEastAsia"/>
                <w:szCs w:val="21"/>
              </w:rPr>
            </w:pPr>
            <w:r>
              <w:rPr>
                <w:rFonts w:eastAsiaTheme="minorEastAsia"/>
                <w:szCs w:val="21"/>
              </w:rPr>
              <w:t>公辅工程</w:t>
            </w:r>
          </w:p>
        </w:tc>
        <w:tc>
          <w:tcPr>
            <w:tcW w:w="1337" w:type="pct"/>
            <w:gridSpan w:val="2"/>
            <w:vAlign w:val="center"/>
          </w:tcPr>
          <w:p>
            <w:pPr>
              <w:pStyle w:val="35"/>
              <w:rPr>
                <w:rFonts w:eastAsiaTheme="minorEastAsia"/>
                <w:szCs w:val="21"/>
              </w:rPr>
            </w:pPr>
            <w:r>
              <w:rPr>
                <w:rFonts w:eastAsiaTheme="minorEastAsia"/>
                <w:szCs w:val="21"/>
              </w:rPr>
              <w:t>供水</w:t>
            </w:r>
          </w:p>
        </w:tc>
        <w:tc>
          <w:tcPr>
            <w:tcW w:w="2861" w:type="pct"/>
            <w:vAlign w:val="center"/>
          </w:tcPr>
          <w:p>
            <w:pPr>
              <w:pStyle w:val="41"/>
              <w:spacing w:line="240" w:lineRule="auto"/>
              <w:jc w:val="left"/>
              <w:rPr>
                <w:rFonts w:eastAsiaTheme="minorEastAsia"/>
                <w:sz w:val="21"/>
                <w:szCs w:val="21"/>
              </w:rPr>
            </w:pPr>
            <w:r>
              <w:rPr>
                <w:rStyle w:val="42"/>
                <w:rFonts w:ascii="Times New Roman" w:hAnsi="Times New Roman" w:cs="Times New Roman" w:eastAsiaTheme="minorEastAsia"/>
                <w:color w:val="auto"/>
                <w:lang w:eastAsia="zh-CN"/>
              </w:rPr>
              <w:t>依托煤化工厂区现有供水系统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Style w:val="42"/>
                <w:rFonts w:ascii="Times New Roman" w:hAnsi="Times New Roman" w:cs="Times New Roman" w:eastAsiaTheme="minorEastAsia"/>
                <w:color w:val="auto"/>
                <w:lang w:eastAsia="zh-CN"/>
              </w:rPr>
              <w:t>循环冷却水</w:t>
            </w:r>
          </w:p>
        </w:tc>
        <w:tc>
          <w:tcPr>
            <w:tcW w:w="2861" w:type="pct"/>
            <w:vAlign w:val="center"/>
          </w:tcPr>
          <w:p>
            <w:pPr>
              <w:pStyle w:val="41"/>
              <w:spacing w:line="240" w:lineRule="auto"/>
              <w:jc w:val="left"/>
              <w:rPr>
                <w:rFonts w:eastAsiaTheme="minorEastAsia"/>
                <w:sz w:val="21"/>
                <w:szCs w:val="21"/>
              </w:rPr>
            </w:pPr>
            <w:r>
              <w:rPr>
                <w:rFonts w:hint="eastAsia" w:eastAsiaTheme="minorEastAsia"/>
                <w:sz w:val="21"/>
                <w:szCs w:val="21"/>
              </w:rPr>
              <w:t>项目循环冷却系统水循环均量为1</w:t>
            </w:r>
            <w:r>
              <w:rPr>
                <w:rFonts w:eastAsiaTheme="minorEastAsia"/>
                <w:sz w:val="21"/>
                <w:szCs w:val="21"/>
              </w:rPr>
              <w:t>64.8m</w:t>
            </w:r>
            <w:r>
              <w:rPr>
                <w:rFonts w:eastAsiaTheme="minorEastAsia"/>
                <w:sz w:val="21"/>
                <w:szCs w:val="21"/>
                <w:vertAlign w:val="superscript"/>
              </w:rPr>
              <w:t>3</w:t>
            </w:r>
            <w:r>
              <w:rPr>
                <w:rFonts w:eastAsiaTheme="minorEastAsia"/>
                <w:sz w:val="21"/>
                <w:szCs w:val="21"/>
              </w:rPr>
              <w:t>/h</w:t>
            </w:r>
            <w:r>
              <w:rPr>
                <w:rFonts w:hint="eastAsia" w:eastAsiaTheme="minorEastAsia"/>
                <w:sz w:val="21"/>
                <w:szCs w:val="21"/>
              </w:rPr>
              <w:t>，依托厂区循环水系统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autoSpaceDE w:val="0"/>
              <w:autoSpaceDN w:val="0"/>
              <w:adjustRightInd w:val="0"/>
              <w:jc w:val="center"/>
              <w:rPr>
                <w:rFonts w:ascii="Times New Roman" w:hAnsi="Times New Roman" w:eastAsiaTheme="minorEastAsia"/>
                <w:kern w:val="0"/>
                <w:szCs w:val="21"/>
              </w:rPr>
            </w:pPr>
            <w:r>
              <w:rPr>
                <w:rFonts w:ascii="Times New Roman" w:hAnsi="Times New Roman" w:eastAsiaTheme="minorEastAsia"/>
                <w:kern w:val="0"/>
                <w:szCs w:val="21"/>
              </w:rPr>
              <w:t>供电</w:t>
            </w:r>
          </w:p>
        </w:tc>
        <w:tc>
          <w:tcPr>
            <w:tcW w:w="2861" w:type="pct"/>
            <w:vAlign w:val="center"/>
          </w:tcPr>
          <w:p>
            <w:pPr>
              <w:autoSpaceDE w:val="0"/>
              <w:autoSpaceDN w:val="0"/>
              <w:adjustRightInd w:val="0"/>
              <w:jc w:val="left"/>
              <w:rPr>
                <w:rFonts w:ascii="Times New Roman" w:hAnsi="Times New Roman" w:eastAsiaTheme="minorEastAsia"/>
                <w:kern w:val="0"/>
                <w:szCs w:val="21"/>
              </w:rPr>
            </w:pPr>
            <w:r>
              <w:rPr>
                <w:rFonts w:hint="eastAsia" w:ascii="Times New Roman" w:hAnsi="Times New Roman" w:eastAsiaTheme="minorEastAsia"/>
                <w:kern w:val="0"/>
                <w:szCs w:val="21"/>
              </w:rPr>
              <w:t>年消耗量约</w:t>
            </w:r>
            <w:r>
              <w:rPr>
                <w:rFonts w:ascii="Times New Roman" w:hAnsi="Times New Roman" w:eastAsiaTheme="minorEastAsia"/>
                <w:kern w:val="0"/>
                <w:szCs w:val="21"/>
              </w:rPr>
              <w:t>1132000</w:t>
            </w:r>
            <w:r>
              <w:rPr>
                <w:rFonts w:hint="eastAsia" w:ascii="Times New Roman" w:hAnsi="Times New Roman" w:eastAsiaTheme="minorEastAsia"/>
                <w:kern w:val="0"/>
                <w:szCs w:val="21"/>
              </w:rPr>
              <w:t>kwh，</w:t>
            </w:r>
            <w:r>
              <w:rPr>
                <w:kern w:val="0"/>
              </w:rPr>
              <w:t>依托煤化工厂区现有供电系统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Fonts w:eastAsiaTheme="minorEastAsia"/>
                <w:szCs w:val="21"/>
              </w:rPr>
              <w:t>供热</w:t>
            </w:r>
          </w:p>
        </w:tc>
        <w:tc>
          <w:tcPr>
            <w:tcW w:w="2861" w:type="pct"/>
            <w:vAlign w:val="center"/>
          </w:tcPr>
          <w:p>
            <w:pPr>
              <w:pStyle w:val="41"/>
              <w:spacing w:line="240" w:lineRule="auto"/>
              <w:jc w:val="left"/>
              <w:rPr>
                <w:rFonts w:eastAsiaTheme="minorEastAsia"/>
                <w:sz w:val="21"/>
                <w:szCs w:val="21"/>
              </w:rPr>
            </w:pPr>
            <w:r>
              <w:rPr>
                <w:rStyle w:val="42"/>
                <w:rFonts w:ascii="Times New Roman" w:hAnsi="Times New Roman" w:cs="Times New Roman" w:eastAsiaTheme="minorEastAsia"/>
                <w:color w:val="auto"/>
                <w:lang w:eastAsia="zh-CN"/>
              </w:rPr>
              <w:t>依托煤化工厂区现有</w:t>
            </w:r>
            <w:r>
              <w:rPr>
                <w:rStyle w:val="42"/>
                <w:rFonts w:hint="eastAsia" w:ascii="Times New Roman" w:hAnsi="Times New Roman" w:cs="Times New Roman" w:eastAsiaTheme="minorEastAsia"/>
                <w:color w:val="auto"/>
                <w:lang w:eastAsia="zh-CN"/>
              </w:rPr>
              <w:t>蒸汽供热</w:t>
            </w:r>
            <w:r>
              <w:rPr>
                <w:rStyle w:val="42"/>
                <w:rFonts w:ascii="Times New Roman" w:hAnsi="Times New Roman" w:cs="Times New Roman" w:eastAsiaTheme="minorEastAsia"/>
                <w:color w:val="auto"/>
                <w:lang w:eastAsia="zh-CN"/>
              </w:rPr>
              <w:t>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Fonts w:eastAsiaTheme="minorEastAsia"/>
                <w:szCs w:val="21"/>
              </w:rPr>
              <w:t>脱盐水</w:t>
            </w:r>
          </w:p>
        </w:tc>
        <w:tc>
          <w:tcPr>
            <w:tcW w:w="2861" w:type="pct"/>
            <w:vAlign w:val="center"/>
          </w:tcPr>
          <w:p>
            <w:pPr>
              <w:pStyle w:val="41"/>
              <w:spacing w:line="240" w:lineRule="auto"/>
              <w:jc w:val="left"/>
              <w:rPr>
                <w:rFonts w:eastAsiaTheme="minorEastAsia"/>
                <w:sz w:val="21"/>
                <w:szCs w:val="21"/>
              </w:rPr>
            </w:pPr>
            <w:r>
              <w:rPr>
                <w:rStyle w:val="42"/>
                <w:rFonts w:hint="eastAsia" w:ascii="Times New Roman" w:hAnsi="Times New Roman" w:cs="Times New Roman" w:eastAsiaTheme="minorEastAsia"/>
                <w:color w:val="auto"/>
                <w:lang w:eastAsia="zh-CN"/>
              </w:rPr>
              <w:t>消耗量约0</w:t>
            </w:r>
            <w:r>
              <w:rPr>
                <w:rStyle w:val="42"/>
                <w:rFonts w:ascii="Times New Roman" w:hAnsi="Times New Roman"/>
                <w:color w:val="auto"/>
                <w:lang w:eastAsia="zh-CN"/>
              </w:rPr>
              <w:t>.36t/</w:t>
            </w:r>
            <w:r>
              <w:rPr>
                <w:rStyle w:val="42"/>
                <w:rFonts w:hint="eastAsia" w:asciiTheme="minorEastAsia" w:hAnsiTheme="minorEastAsia" w:eastAsiaTheme="minorEastAsia"/>
                <w:color w:val="auto"/>
                <w:lang w:eastAsia="zh-CN"/>
              </w:rPr>
              <w:t>h，</w:t>
            </w:r>
            <w:r>
              <w:rPr>
                <w:rStyle w:val="42"/>
                <w:rFonts w:ascii="Times New Roman" w:hAnsi="Times New Roman" w:cs="Times New Roman" w:eastAsiaTheme="minorEastAsia"/>
                <w:color w:val="auto"/>
                <w:lang w:eastAsia="zh-CN"/>
              </w:rPr>
              <w:t>依托煤化工厂区现有脱盐水系统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Style w:val="42"/>
                <w:rFonts w:ascii="Times New Roman" w:hAnsi="Times New Roman" w:cs="Times New Roman" w:eastAsiaTheme="minorEastAsia"/>
                <w:color w:val="auto"/>
                <w:lang w:eastAsia="zh-CN"/>
              </w:rPr>
            </w:pPr>
            <w:r>
              <w:rPr>
                <w:rStyle w:val="42"/>
                <w:rFonts w:ascii="Times New Roman" w:hAnsi="Times New Roman" w:cs="Times New Roman" w:eastAsiaTheme="minorEastAsia"/>
                <w:color w:val="auto"/>
                <w:lang w:eastAsia="zh-CN"/>
              </w:rPr>
              <w:t>氮气</w:t>
            </w:r>
          </w:p>
        </w:tc>
        <w:tc>
          <w:tcPr>
            <w:tcW w:w="2861" w:type="pct"/>
            <w:vAlign w:val="center"/>
          </w:tcPr>
          <w:p>
            <w:pPr>
              <w:autoSpaceDE w:val="0"/>
              <w:autoSpaceDN w:val="0"/>
              <w:adjustRightInd w:val="0"/>
              <w:jc w:val="left"/>
              <w:rPr>
                <w:rStyle w:val="42"/>
                <w:rFonts w:ascii="Times New Roman" w:hAnsi="Times New Roman" w:cs="Times New Roman" w:eastAsiaTheme="minorEastAsia"/>
                <w:color w:val="auto"/>
                <w:kern w:val="0"/>
                <w:shd w:val="clear" w:color="auto" w:fill="auto"/>
                <w:lang w:eastAsia="zh-CN"/>
              </w:rPr>
            </w:pPr>
            <w:r>
              <w:rPr>
                <w:rFonts w:ascii="Times New Roman" w:hAnsi="Times New Roman" w:eastAsiaTheme="minorEastAsia"/>
                <w:kern w:val="0"/>
                <w:szCs w:val="21"/>
              </w:rPr>
              <w:t>间断，最大150Nm</w:t>
            </w:r>
            <w:r>
              <w:rPr>
                <w:rFonts w:ascii="Times New Roman" w:hAnsi="Times New Roman" w:eastAsiaTheme="minorEastAsia"/>
                <w:kern w:val="0"/>
                <w:szCs w:val="21"/>
                <w:vertAlign w:val="superscript"/>
              </w:rPr>
              <w:t>3</w:t>
            </w:r>
            <w:r>
              <w:rPr>
                <w:rFonts w:ascii="Times New Roman" w:hAnsi="Times New Roman" w:eastAsiaTheme="minorEastAsia"/>
                <w:kern w:val="0"/>
                <w:szCs w:val="21"/>
              </w:rPr>
              <w:t>/h，</w:t>
            </w:r>
            <w:r>
              <w:rPr>
                <w:rStyle w:val="42"/>
                <w:rFonts w:ascii="Times New Roman" w:hAnsi="Times New Roman" w:cs="Times New Roman" w:eastAsiaTheme="minorEastAsia"/>
                <w:color w:val="auto"/>
                <w:lang w:eastAsia="zh-CN"/>
              </w:rPr>
              <w:t>依托厂区现有氮气供应设施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Style w:val="42"/>
                <w:rFonts w:ascii="Times New Roman" w:hAnsi="Times New Roman" w:cs="Times New Roman" w:eastAsiaTheme="minorEastAsia"/>
                <w:color w:val="auto"/>
                <w:lang w:eastAsia="zh-CN"/>
              </w:rPr>
            </w:pPr>
            <w:r>
              <w:rPr>
                <w:rStyle w:val="42"/>
                <w:rFonts w:ascii="Times New Roman" w:hAnsi="Times New Roman" w:cs="Times New Roman" w:eastAsiaTheme="minorEastAsia"/>
                <w:color w:val="auto"/>
                <w:lang w:eastAsia="zh-CN"/>
              </w:rPr>
              <w:t>仪表空气</w:t>
            </w:r>
          </w:p>
        </w:tc>
        <w:tc>
          <w:tcPr>
            <w:tcW w:w="2861" w:type="pct"/>
            <w:vAlign w:val="center"/>
          </w:tcPr>
          <w:p>
            <w:pPr>
              <w:pStyle w:val="41"/>
              <w:spacing w:line="240" w:lineRule="auto"/>
              <w:jc w:val="left"/>
              <w:rPr>
                <w:rStyle w:val="42"/>
                <w:rFonts w:ascii="Times New Roman" w:hAnsi="Times New Roman" w:cs="Times New Roman" w:eastAsiaTheme="minorEastAsia"/>
                <w:color w:val="auto"/>
                <w:lang w:eastAsia="zh-CN"/>
              </w:rPr>
            </w:pPr>
            <w:r>
              <w:rPr>
                <w:rFonts w:eastAsiaTheme="minorEastAsia"/>
                <w:kern w:val="0"/>
                <w:sz w:val="21"/>
                <w:szCs w:val="21"/>
              </w:rPr>
              <w:t>最大用量100Nm</w:t>
            </w:r>
            <w:r>
              <w:rPr>
                <w:rFonts w:eastAsiaTheme="minorEastAsia"/>
                <w:kern w:val="0"/>
                <w:sz w:val="21"/>
                <w:szCs w:val="21"/>
                <w:vertAlign w:val="superscript"/>
              </w:rPr>
              <w:t>3</w:t>
            </w:r>
            <w:r>
              <w:rPr>
                <w:rFonts w:eastAsiaTheme="minorEastAsia"/>
                <w:kern w:val="0"/>
                <w:sz w:val="21"/>
                <w:szCs w:val="21"/>
              </w:rPr>
              <w:t>/h，</w:t>
            </w:r>
            <w:r>
              <w:rPr>
                <w:rStyle w:val="42"/>
                <w:rFonts w:ascii="Times New Roman" w:hAnsi="Times New Roman" w:cs="Times New Roman" w:eastAsiaTheme="minorEastAsia"/>
                <w:color w:val="auto"/>
                <w:lang w:eastAsia="zh-CN"/>
              </w:rPr>
              <w:t>依托厂区现有仪表空气供应设施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Style w:val="42"/>
                <w:rFonts w:ascii="Times New Roman" w:hAnsi="Times New Roman" w:cs="Times New Roman" w:eastAsiaTheme="minorEastAsia"/>
                <w:color w:val="auto"/>
                <w:lang w:eastAsia="zh-CN"/>
              </w:rPr>
            </w:pPr>
            <w:r>
              <w:rPr>
                <w:rStyle w:val="42"/>
                <w:rFonts w:ascii="Times New Roman" w:hAnsi="Times New Roman" w:cs="Times New Roman" w:eastAsiaTheme="minorEastAsia"/>
                <w:color w:val="auto"/>
                <w:lang w:eastAsia="zh-CN"/>
              </w:rPr>
              <w:t>化验室</w:t>
            </w:r>
          </w:p>
        </w:tc>
        <w:tc>
          <w:tcPr>
            <w:tcW w:w="2861" w:type="pct"/>
            <w:vAlign w:val="center"/>
          </w:tcPr>
          <w:p>
            <w:pPr>
              <w:pStyle w:val="35"/>
              <w:jc w:val="both"/>
              <w:rPr>
                <w:rStyle w:val="42"/>
                <w:rFonts w:ascii="Times New Roman" w:hAnsi="Times New Roman" w:cs="Times New Roman" w:eastAsiaTheme="minorEastAsia"/>
                <w:color w:val="auto"/>
                <w:lang w:eastAsia="zh-CN"/>
              </w:rPr>
            </w:pPr>
            <w:r>
              <w:rPr>
                <w:rStyle w:val="42"/>
                <w:rFonts w:ascii="Times New Roman" w:hAnsi="Times New Roman" w:cs="Times New Roman" w:eastAsiaTheme="minorEastAsia"/>
                <w:color w:val="auto"/>
                <w:lang w:eastAsia="zh-CN"/>
              </w:rPr>
              <w:t>依托厂区现有分析化验室</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802" w:type="pct"/>
            <w:vMerge w:val="restart"/>
            <w:vAlign w:val="center"/>
          </w:tcPr>
          <w:p>
            <w:pPr>
              <w:pStyle w:val="35"/>
              <w:rPr>
                <w:rFonts w:eastAsiaTheme="minorEastAsia"/>
                <w:szCs w:val="21"/>
              </w:rPr>
            </w:pPr>
            <w:r>
              <w:rPr>
                <w:rFonts w:eastAsiaTheme="minorEastAsia"/>
                <w:szCs w:val="21"/>
              </w:rPr>
              <w:t>环保工程</w:t>
            </w:r>
          </w:p>
        </w:tc>
        <w:tc>
          <w:tcPr>
            <w:tcW w:w="471" w:type="pct"/>
            <w:vMerge w:val="restart"/>
            <w:vAlign w:val="center"/>
          </w:tcPr>
          <w:p>
            <w:pPr>
              <w:pStyle w:val="35"/>
              <w:rPr>
                <w:rFonts w:eastAsiaTheme="minorEastAsia"/>
                <w:szCs w:val="21"/>
              </w:rPr>
            </w:pPr>
            <w:r>
              <w:rPr>
                <w:rFonts w:eastAsiaTheme="minorEastAsia"/>
                <w:szCs w:val="21"/>
              </w:rPr>
              <w:t>废气</w:t>
            </w:r>
          </w:p>
        </w:tc>
        <w:tc>
          <w:tcPr>
            <w:tcW w:w="866" w:type="pct"/>
            <w:vAlign w:val="center"/>
          </w:tcPr>
          <w:p>
            <w:pPr>
              <w:pStyle w:val="35"/>
              <w:jc w:val="left"/>
              <w:rPr>
                <w:rFonts w:eastAsiaTheme="minorEastAsia"/>
                <w:szCs w:val="21"/>
              </w:rPr>
            </w:pPr>
            <w:r>
              <w:rPr>
                <w:rFonts w:hint="eastAsia" w:eastAsiaTheme="minorEastAsia"/>
                <w:szCs w:val="21"/>
              </w:rPr>
              <w:t>反应氢气驰放气</w:t>
            </w:r>
          </w:p>
        </w:tc>
        <w:tc>
          <w:tcPr>
            <w:tcW w:w="2861" w:type="pct"/>
            <w:vAlign w:val="center"/>
          </w:tcPr>
          <w:p>
            <w:pPr>
              <w:pStyle w:val="40"/>
              <w:rPr>
                <w:rFonts w:eastAsiaTheme="minorEastAsia"/>
                <w:szCs w:val="21"/>
              </w:rPr>
            </w:pPr>
            <w:r>
              <w:rPr>
                <w:rFonts w:hint="eastAsia" w:eastAsiaTheme="minorEastAsia"/>
                <w:szCs w:val="21"/>
              </w:rPr>
              <w:t>现有火炬系统焚烧处理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802" w:type="pct"/>
            <w:vMerge w:val="continue"/>
            <w:vAlign w:val="center"/>
          </w:tcPr>
          <w:p>
            <w:pPr>
              <w:pStyle w:val="35"/>
              <w:rPr>
                <w:rFonts w:eastAsiaTheme="minorEastAsia"/>
                <w:szCs w:val="21"/>
              </w:rPr>
            </w:pPr>
          </w:p>
        </w:tc>
        <w:tc>
          <w:tcPr>
            <w:tcW w:w="471" w:type="pct"/>
            <w:vMerge w:val="continue"/>
            <w:vAlign w:val="center"/>
          </w:tcPr>
          <w:p>
            <w:pPr>
              <w:pStyle w:val="35"/>
              <w:rPr>
                <w:rFonts w:eastAsiaTheme="minorEastAsia"/>
                <w:szCs w:val="21"/>
              </w:rPr>
            </w:pPr>
          </w:p>
        </w:tc>
        <w:tc>
          <w:tcPr>
            <w:tcW w:w="866" w:type="pct"/>
            <w:vAlign w:val="center"/>
          </w:tcPr>
          <w:p>
            <w:pPr>
              <w:pStyle w:val="35"/>
              <w:jc w:val="left"/>
              <w:rPr>
                <w:rFonts w:eastAsiaTheme="minorEastAsia"/>
                <w:szCs w:val="21"/>
              </w:rPr>
            </w:pPr>
            <w:r>
              <w:rPr>
                <w:rFonts w:hint="eastAsia" w:eastAsiaTheme="minorEastAsia"/>
                <w:szCs w:val="21"/>
              </w:rPr>
              <w:t>闪蒸不凝气</w:t>
            </w:r>
          </w:p>
        </w:tc>
        <w:tc>
          <w:tcPr>
            <w:tcW w:w="2861" w:type="pct"/>
            <w:vAlign w:val="center"/>
          </w:tcPr>
          <w:p>
            <w:pPr>
              <w:pStyle w:val="40"/>
              <w:rPr>
                <w:rFonts w:eastAsiaTheme="minorEastAsia"/>
                <w:szCs w:val="21"/>
              </w:rPr>
            </w:pPr>
            <w:r>
              <w:rPr>
                <w:rFonts w:hint="eastAsia" w:eastAsiaTheme="minorEastAsia"/>
                <w:szCs w:val="21"/>
              </w:rPr>
              <w:t>现有火炬系统焚烧处理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802" w:type="pct"/>
            <w:vMerge w:val="continue"/>
            <w:vAlign w:val="center"/>
          </w:tcPr>
          <w:p>
            <w:pPr>
              <w:pStyle w:val="35"/>
              <w:rPr>
                <w:rFonts w:eastAsiaTheme="minorEastAsia"/>
                <w:szCs w:val="21"/>
              </w:rPr>
            </w:pPr>
          </w:p>
        </w:tc>
        <w:tc>
          <w:tcPr>
            <w:tcW w:w="471" w:type="pct"/>
            <w:vMerge w:val="continue"/>
            <w:vAlign w:val="center"/>
          </w:tcPr>
          <w:p>
            <w:pPr>
              <w:pStyle w:val="35"/>
              <w:rPr>
                <w:rFonts w:eastAsiaTheme="minorEastAsia"/>
                <w:szCs w:val="21"/>
              </w:rPr>
            </w:pPr>
          </w:p>
        </w:tc>
        <w:tc>
          <w:tcPr>
            <w:tcW w:w="866" w:type="pct"/>
            <w:vAlign w:val="center"/>
          </w:tcPr>
          <w:p>
            <w:pPr>
              <w:pStyle w:val="35"/>
              <w:jc w:val="left"/>
              <w:rPr>
                <w:rFonts w:eastAsiaTheme="minorEastAsia"/>
                <w:szCs w:val="21"/>
              </w:rPr>
            </w:pPr>
            <w:r>
              <w:rPr>
                <w:rFonts w:hint="eastAsia" w:eastAsiaTheme="minorEastAsia"/>
                <w:szCs w:val="21"/>
              </w:rPr>
              <w:t>真空泵尾气</w:t>
            </w:r>
          </w:p>
        </w:tc>
        <w:tc>
          <w:tcPr>
            <w:tcW w:w="2861" w:type="pct"/>
            <w:vAlign w:val="center"/>
          </w:tcPr>
          <w:p>
            <w:pPr>
              <w:pStyle w:val="40"/>
              <w:rPr>
                <w:rFonts w:eastAsiaTheme="minorEastAsia"/>
                <w:szCs w:val="21"/>
              </w:rPr>
            </w:pPr>
            <w:r>
              <w:rPr>
                <w:rFonts w:hint="eastAsia" w:eastAsiaTheme="minorEastAsia"/>
                <w:szCs w:val="21"/>
              </w:rPr>
              <w:t>尾气洗涤塔+活性炭吸附罐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802" w:type="pct"/>
            <w:vMerge w:val="continue"/>
            <w:vAlign w:val="center"/>
          </w:tcPr>
          <w:p>
            <w:pPr>
              <w:pStyle w:val="35"/>
              <w:rPr>
                <w:rFonts w:eastAsiaTheme="minorEastAsia"/>
                <w:szCs w:val="21"/>
              </w:rPr>
            </w:pPr>
          </w:p>
        </w:tc>
        <w:tc>
          <w:tcPr>
            <w:tcW w:w="471" w:type="pct"/>
            <w:vMerge w:val="restart"/>
            <w:vAlign w:val="center"/>
          </w:tcPr>
          <w:p>
            <w:pPr>
              <w:pStyle w:val="35"/>
              <w:rPr>
                <w:rFonts w:eastAsiaTheme="minorEastAsia"/>
                <w:szCs w:val="21"/>
              </w:rPr>
            </w:pPr>
            <w:r>
              <w:rPr>
                <w:rFonts w:eastAsiaTheme="minorEastAsia"/>
                <w:szCs w:val="21"/>
              </w:rPr>
              <w:t>废水</w:t>
            </w:r>
          </w:p>
        </w:tc>
        <w:tc>
          <w:tcPr>
            <w:tcW w:w="866" w:type="pct"/>
            <w:vAlign w:val="center"/>
          </w:tcPr>
          <w:p>
            <w:pPr>
              <w:pStyle w:val="35"/>
              <w:rPr>
                <w:rFonts w:eastAsiaTheme="minorEastAsia"/>
                <w:szCs w:val="21"/>
              </w:rPr>
            </w:pPr>
            <w:r>
              <w:rPr>
                <w:rFonts w:hint="eastAsia" w:eastAsiaTheme="minorEastAsia"/>
                <w:szCs w:val="21"/>
              </w:rPr>
              <w:t>尾气洗涤塔外排水、真空泵废水、地坪冲洗废水</w:t>
            </w:r>
          </w:p>
        </w:tc>
        <w:tc>
          <w:tcPr>
            <w:tcW w:w="2861" w:type="pct"/>
            <w:vAlign w:val="center"/>
          </w:tcPr>
          <w:p>
            <w:pPr>
              <w:pStyle w:val="40"/>
              <w:rPr>
                <w:rFonts w:eastAsiaTheme="minorEastAsia"/>
                <w:szCs w:val="21"/>
              </w:rPr>
            </w:pPr>
            <w:r>
              <w:rPr>
                <w:rFonts w:hint="eastAsia" w:eastAsiaTheme="minorEastAsia"/>
                <w:szCs w:val="21"/>
              </w:rPr>
              <w:t>依托甲醇项目污水处理站处理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9" w:hRule="atLeast"/>
          <w:jc w:val="center"/>
        </w:trPr>
        <w:tc>
          <w:tcPr>
            <w:tcW w:w="802" w:type="pct"/>
            <w:vMerge w:val="continue"/>
            <w:vAlign w:val="center"/>
          </w:tcPr>
          <w:p>
            <w:pPr>
              <w:pStyle w:val="35"/>
              <w:rPr>
                <w:rFonts w:eastAsiaTheme="minorEastAsia"/>
                <w:szCs w:val="21"/>
              </w:rPr>
            </w:pPr>
          </w:p>
        </w:tc>
        <w:tc>
          <w:tcPr>
            <w:tcW w:w="471" w:type="pct"/>
            <w:vMerge w:val="continue"/>
            <w:vAlign w:val="center"/>
          </w:tcPr>
          <w:p>
            <w:pPr>
              <w:pStyle w:val="35"/>
              <w:rPr>
                <w:rFonts w:eastAsiaTheme="minorEastAsia"/>
                <w:szCs w:val="21"/>
              </w:rPr>
            </w:pPr>
          </w:p>
        </w:tc>
        <w:tc>
          <w:tcPr>
            <w:tcW w:w="866" w:type="pct"/>
            <w:vAlign w:val="center"/>
          </w:tcPr>
          <w:p>
            <w:pPr>
              <w:pStyle w:val="35"/>
              <w:rPr>
                <w:rFonts w:eastAsiaTheme="minorEastAsia"/>
                <w:szCs w:val="21"/>
              </w:rPr>
            </w:pPr>
            <w:r>
              <w:rPr>
                <w:rFonts w:hint="eastAsia" w:eastAsiaTheme="minorEastAsia"/>
                <w:szCs w:val="21"/>
              </w:rPr>
              <w:t>清净下水</w:t>
            </w:r>
          </w:p>
        </w:tc>
        <w:tc>
          <w:tcPr>
            <w:tcW w:w="2861" w:type="pct"/>
            <w:vAlign w:val="center"/>
          </w:tcPr>
          <w:p>
            <w:pPr>
              <w:pStyle w:val="40"/>
              <w:rPr>
                <w:rFonts w:eastAsiaTheme="minorEastAsia"/>
                <w:szCs w:val="21"/>
              </w:rPr>
            </w:pPr>
            <w:r>
              <w:rPr>
                <w:rFonts w:hint="eastAsia" w:eastAsiaTheme="minorEastAsia"/>
                <w:szCs w:val="21"/>
              </w:rPr>
              <w:t>直接排入濮阳市第二污水处理厂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Fonts w:eastAsiaTheme="minorEastAsia"/>
                <w:szCs w:val="21"/>
              </w:rPr>
              <w:t>噪声</w:t>
            </w:r>
          </w:p>
        </w:tc>
        <w:tc>
          <w:tcPr>
            <w:tcW w:w="2861" w:type="pct"/>
            <w:vAlign w:val="center"/>
          </w:tcPr>
          <w:p>
            <w:pPr>
              <w:pStyle w:val="40"/>
              <w:rPr>
                <w:rFonts w:eastAsiaTheme="minorEastAsia"/>
                <w:szCs w:val="21"/>
              </w:rPr>
            </w:pPr>
            <w:r>
              <w:rPr>
                <w:rFonts w:eastAsiaTheme="minorEastAsia"/>
                <w:szCs w:val="21"/>
              </w:rPr>
              <w:t>消声、减振、隔声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2" w:type="pct"/>
            <w:vMerge w:val="continue"/>
            <w:vAlign w:val="center"/>
          </w:tcPr>
          <w:p>
            <w:pPr>
              <w:pStyle w:val="35"/>
              <w:rPr>
                <w:rFonts w:eastAsiaTheme="minorEastAsia"/>
                <w:szCs w:val="21"/>
              </w:rPr>
            </w:pPr>
          </w:p>
        </w:tc>
        <w:tc>
          <w:tcPr>
            <w:tcW w:w="1337" w:type="pct"/>
            <w:gridSpan w:val="2"/>
            <w:vAlign w:val="center"/>
          </w:tcPr>
          <w:p>
            <w:pPr>
              <w:pStyle w:val="35"/>
              <w:rPr>
                <w:rFonts w:eastAsiaTheme="minorEastAsia"/>
                <w:szCs w:val="21"/>
              </w:rPr>
            </w:pPr>
            <w:r>
              <w:rPr>
                <w:rFonts w:eastAsiaTheme="minorEastAsia"/>
                <w:szCs w:val="21"/>
              </w:rPr>
              <w:t>固废</w:t>
            </w:r>
          </w:p>
        </w:tc>
        <w:tc>
          <w:tcPr>
            <w:tcW w:w="2861" w:type="pct"/>
            <w:vAlign w:val="center"/>
          </w:tcPr>
          <w:p>
            <w:pPr>
              <w:pStyle w:val="40"/>
              <w:rPr>
                <w:rFonts w:eastAsiaTheme="minorEastAsia"/>
                <w:szCs w:val="21"/>
              </w:rPr>
            </w:pPr>
            <w:r>
              <w:rPr>
                <w:rFonts w:eastAsiaTheme="minorEastAsia"/>
                <w:szCs w:val="21"/>
              </w:rPr>
              <w:t>危险固废（废催化剂、废润滑油）委托有资质单位安全处置</w:t>
            </w:r>
            <w:r>
              <w:rPr>
                <w:rFonts w:hint="eastAsia" w:eastAsiaTheme="minorEastAsia"/>
                <w:szCs w:val="21"/>
              </w:rPr>
              <w:t>。</w:t>
            </w:r>
          </w:p>
        </w:tc>
      </w:tr>
    </w:tbl>
    <w:p>
      <w:pPr>
        <w:pStyle w:val="5"/>
        <w:spacing w:before="0" w:after="0" w:line="520" w:lineRule="exact"/>
        <w:rPr>
          <w:rFonts w:ascii="Times New Roman" w:hAnsi="Times New Roman" w:eastAsia="楷体_GB2312"/>
          <w:sz w:val="28"/>
          <w:szCs w:val="28"/>
          <w:lang w:val="en-US" w:eastAsia="zh-CN"/>
        </w:rPr>
      </w:pPr>
      <w:bookmarkStart w:id="60" w:name="_Toc439060535"/>
      <w:r>
        <w:rPr>
          <w:rFonts w:ascii="Times New Roman" w:hAnsi="Times New Roman" w:eastAsia="楷体_GB2312"/>
          <w:sz w:val="28"/>
          <w:szCs w:val="28"/>
          <w:lang w:val="en-US" w:eastAsia="zh-CN"/>
        </w:rPr>
        <w:t>3.2.4  产品方案及生产规模</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（1）产品产量</w:t>
      </w:r>
    </w:p>
    <w:p>
      <w:pPr>
        <w:pStyle w:val="45"/>
        <w:ind w:firstLine="560"/>
      </w:pPr>
      <w:r>
        <w:t>项目</w:t>
      </w:r>
      <w:r>
        <w:rPr>
          <w:rFonts w:hint="eastAsia"/>
        </w:rPr>
        <w:t>主要</w:t>
      </w:r>
      <w:r>
        <w:t>产品为</w:t>
      </w:r>
      <w:r>
        <w:rPr>
          <w:rFonts w:hint="eastAsia"/>
        </w:rPr>
        <w:t>乙二醇，</w:t>
      </w:r>
      <w:r>
        <w:t>年产746.8吨；</w:t>
      </w:r>
      <w:r>
        <w:rPr>
          <w:rFonts w:hint="eastAsia"/>
        </w:rPr>
        <w:t>副产品丙二醇、轻馏分和重组分。</w:t>
      </w:r>
    </w:p>
    <w:p>
      <w:pPr>
        <w:pStyle w:val="45"/>
        <w:ind w:firstLine="560"/>
      </w:pPr>
      <w:r>
        <w:t>项目产品产量见表3.2-3。</w:t>
      </w:r>
    </w:p>
    <w:p>
      <w:pPr>
        <w:pStyle w:val="32"/>
        <w:ind w:left="851" w:firstLine="0" w:firstLineChars="0"/>
      </w:pPr>
      <w:r>
        <w:t>表3.2-3             项目产品产量一览表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2268"/>
        <w:gridCol w:w="1418"/>
        <w:gridCol w:w="1134"/>
        <w:gridCol w:w="1276"/>
        <w:gridCol w:w="240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tcPr>
          <w:p>
            <w:pPr>
              <w:pStyle w:val="41"/>
              <w:rPr>
                <w:b/>
                <w:sz w:val="21"/>
                <w:szCs w:val="21"/>
              </w:rPr>
            </w:pPr>
            <w:r>
              <w:rPr>
                <w:b/>
                <w:kern w:val="0"/>
                <w:sz w:val="21"/>
                <w:szCs w:val="21"/>
              </w:rPr>
              <w:t>序号</w:t>
            </w:r>
          </w:p>
        </w:tc>
        <w:tc>
          <w:tcPr>
            <w:tcW w:w="2268" w:type="dxa"/>
            <w:vAlign w:val="center"/>
          </w:tcPr>
          <w:p>
            <w:pPr>
              <w:pStyle w:val="41"/>
              <w:rPr>
                <w:b/>
                <w:kern w:val="0"/>
                <w:sz w:val="21"/>
                <w:szCs w:val="21"/>
              </w:rPr>
            </w:pPr>
            <w:r>
              <w:rPr>
                <w:b/>
                <w:kern w:val="0"/>
                <w:sz w:val="21"/>
                <w:szCs w:val="21"/>
              </w:rPr>
              <w:t>产品</w:t>
            </w:r>
          </w:p>
        </w:tc>
        <w:tc>
          <w:tcPr>
            <w:tcW w:w="1418" w:type="dxa"/>
            <w:vAlign w:val="center"/>
          </w:tcPr>
          <w:p>
            <w:pPr>
              <w:pStyle w:val="41"/>
              <w:rPr>
                <w:b/>
                <w:kern w:val="0"/>
                <w:sz w:val="21"/>
                <w:szCs w:val="21"/>
              </w:rPr>
            </w:pPr>
            <w:r>
              <w:rPr>
                <w:b/>
                <w:kern w:val="0"/>
                <w:sz w:val="21"/>
                <w:szCs w:val="21"/>
              </w:rPr>
              <w:t>规格</w:t>
            </w:r>
          </w:p>
        </w:tc>
        <w:tc>
          <w:tcPr>
            <w:tcW w:w="1134" w:type="dxa"/>
            <w:vAlign w:val="center"/>
          </w:tcPr>
          <w:p>
            <w:pPr>
              <w:pStyle w:val="41"/>
              <w:rPr>
                <w:b/>
                <w:kern w:val="0"/>
                <w:sz w:val="21"/>
                <w:szCs w:val="21"/>
              </w:rPr>
            </w:pPr>
            <w:r>
              <w:rPr>
                <w:b/>
                <w:kern w:val="0"/>
                <w:sz w:val="21"/>
                <w:szCs w:val="21"/>
              </w:rPr>
              <w:t>单位</w:t>
            </w:r>
          </w:p>
        </w:tc>
        <w:tc>
          <w:tcPr>
            <w:tcW w:w="1276" w:type="dxa"/>
          </w:tcPr>
          <w:p>
            <w:pPr>
              <w:pStyle w:val="41"/>
              <w:rPr>
                <w:b/>
                <w:kern w:val="0"/>
                <w:sz w:val="21"/>
                <w:szCs w:val="21"/>
              </w:rPr>
            </w:pPr>
            <w:r>
              <w:rPr>
                <w:b/>
                <w:kern w:val="0"/>
                <w:sz w:val="21"/>
                <w:szCs w:val="21"/>
              </w:rPr>
              <w:t>产量</w:t>
            </w:r>
          </w:p>
        </w:tc>
        <w:tc>
          <w:tcPr>
            <w:tcW w:w="2404" w:type="dxa"/>
            <w:vAlign w:val="center"/>
          </w:tcPr>
          <w:p>
            <w:pPr>
              <w:pStyle w:val="41"/>
              <w:rPr>
                <w:b/>
                <w:kern w:val="0"/>
                <w:sz w:val="21"/>
                <w:szCs w:val="21"/>
              </w:rPr>
            </w:pPr>
            <w:r>
              <w:rPr>
                <w:b/>
                <w:kern w:val="0"/>
                <w:sz w:val="21"/>
                <w:szCs w:val="21"/>
              </w:rPr>
              <w:t>备注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kern w:val="0"/>
                <w:sz w:val="21"/>
                <w:szCs w:val="21"/>
              </w:rPr>
              <w:t>1</w:t>
            </w:r>
          </w:p>
        </w:tc>
        <w:tc>
          <w:tcPr>
            <w:tcW w:w="2268" w:type="dxa"/>
            <w:vAlign w:val="center"/>
          </w:tcPr>
          <w:p>
            <w:pPr>
              <w:pStyle w:val="41"/>
              <w:rPr>
                <w:kern w:val="0"/>
                <w:sz w:val="21"/>
                <w:szCs w:val="21"/>
              </w:rPr>
            </w:pPr>
            <w:r>
              <w:rPr>
                <w:rFonts w:hint="eastAsia"/>
                <w:kern w:val="0"/>
                <w:sz w:val="21"/>
                <w:szCs w:val="21"/>
              </w:rPr>
              <w:t>乙二醇</w:t>
            </w:r>
          </w:p>
        </w:tc>
        <w:tc>
          <w:tcPr>
            <w:tcW w:w="1418" w:type="dxa"/>
            <w:vAlign w:val="center"/>
          </w:tcPr>
          <w:p>
            <w:pPr>
              <w:pStyle w:val="41"/>
              <w:rPr>
                <w:kern w:val="0"/>
                <w:sz w:val="21"/>
                <w:szCs w:val="21"/>
              </w:rPr>
            </w:pPr>
            <w:r>
              <w:rPr>
                <w:kern w:val="0"/>
                <w:sz w:val="21"/>
                <w:szCs w:val="21"/>
              </w:rPr>
              <w:t>≥99.8wt%</w:t>
            </w:r>
          </w:p>
        </w:tc>
        <w:tc>
          <w:tcPr>
            <w:tcW w:w="1134" w:type="dxa"/>
            <w:vAlign w:val="center"/>
          </w:tcPr>
          <w:p>
            <w:pPr>
              <w:pStyle w:val="41"/>
              <w:rPr>
                <w:kern w:val="0"/>
                <w:sz w:val="21"/>
                <w:szCs w:val="21"/>
              </w:rPr>
            </w:pPr>
            <w:r>
              <w:rPr>
                <w:kern w:val="0"/>
                <w:sz w:val="21"/>
                <w:szCs w:val="21"/>
              </w:rPr>
              <w:t>t/a</w:t>
            </w:r>
          </w:p>
        </w:tc>
        <w:tc>
          <w:tcPr>
            <w:tcW w:w="1276" w:type="dxa"/>
          </w:tcPr>
          <w:p>
            <w:pPr>
              <w:pStyle w:val="41"/>
              <w:rPr>
                <w:kern w:val="0"/>
                <w:sz w:val="21"/>
                <w:szCs w:val="21"/>
              </w:rPr>
            </w:pPr>
            <w:r>
              <w:rPr>
                <w:kern w:val="0"/>
                <w:sz w:val="21"/>
                <w:szCs w:val="21"/>
              </w:rPr>
              <w:t>746.8</w:t>
            </w:r>
          </w:p>
        </w:tc>
        <w:tc>
          <w:tcPr>
            <w:tcW w:w="2404" w:type="dxa"/>
            <w:vAlign w:val="center"/>
          </w:tcPr>
          <w:p>
            <w:pPr>
              <w:pStyle w:val="41"/>
              <w:rPr>
                <w:kern w:val="0"/>
                <w:sz w:val="21"/>
                <w:szCs w:val="21"/>
              </w:rPr>
            </w:pPr>
            <w:r>
              <w:rPr>
                <w:kern w:val="0"/>
                <w:sz w:val="21"/>
                <w:szCs w:val="21"/>
              </w:rPr>
              <w:t>产品</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kern w:val="0"/>
                <w:sz w:val="21"/>
                <w:szCs w:val="21"/>
              </w:rPr>
              <w:t>2</w:t>
            </w:r>
          </w:p>
        </w:tc>
        <w:tc>
          <w:tcPr>
            <w:tcW w:w="2268" w:type="dxa"/>
            <w:vAlign w:val="center"/>
          </w:tcPr>
          <w:p>
            <w:pPr>
              <w:pStyle w:val="41"/>
              <w:rPr>
                <w:kern w:val="0"/>
                <w:sz w:val="21"/>
                <w:szCs w:val="21"/>
              </w:rPr>
            </w:pPr>
            <w:r>
              <w:rPr>
                <w:rFonts w:hint="eastAsia"/>
                <w:kern w:val="0"/>
                <w:sz w:val="21"/>
                <w:szCs w:val="21"/>
              </w:rPr>
              <w:t>丙二醇（1</w:t>
            </w:r>
            <w:r>
              <w:rPr>
                <w:kern w:val="0"/>
                <w:sz w:val="21"/>
                <w:szCs w:val="21"/>
              </w:rPr>
              <w:t>.2</w:t>
            </w:r>
            <w:r>
              <w:rPr>
                <w:rFonts w:hint="eastAsia"/>
                <w:kern w:val="0"/>
                <w:sz w:val="21"/>
                <w:szCs w:val="21"/>
              </w:rPr>
              <w:t>-丙二醇）</w:t>
            </w:r>
          </w:p>
        </w:tc>
        <w:tc>
          <w:tcPr>
            <w:tcW w:w="1418" w:type="dxa"/>
            <w:vAlign w:val="center"/>
          </w:tcPr>
          <w:p>
            <w:pPr>
              <w:pStyle w:val="41"/>
              <w:rPr>
                <w:kern w:val="0"/>
                <w:sz w:val="21"/>
                <w:szCs w:val="21"/>
              </w:rPr>
            </w:pPr>
            <w:r>
              <w:rPr>
                <w:kern w:val="0"/>
                <w:sz w:val="21"/>
                <w:szCs w:val="21"/>
              </w:rPr>
              <w:t>≥99.5wt%</w:t>
            </w:r>
          </w:p>
        </w:tc>
        <w:tc>
          <w:tcPr>
            <w:tcW w:w="1134" w:type="dxa"/>
          </w:tcPr>
          <w:p>
            <w:pPr>
              <w:pStyle w:val="41"/>
              <w:rPr>
                <w:kern w:val="0"/>
                <w:sz w:val="21"/>
                <w:szCs w:val="21"/>
              </w:rPr>
            </w:pPr>
            <w:r>
              <w:rPr>
                <w:kern w:val="0"/>
                <w:sz w:val="21"/>
                <w:szCs w:val="21"/>
              </w:rPr>
              <w:t>t/a</w:t>
            </w:r>
          </w:p>
        </w:tc>
        <w:tc>
          <w:tcPr>
            <w:tcW w:w="1276" w:type="dxa"/>
          </w:tcPr>
          <w:p>
            <w:pPr>
              <w:pStyle w:val="41"/>
              <w:rPr>
                <w:kern w:val="0"/>
                <w:sz w:val="21"/>
                <w:szCs w:val="21"/>
              </w:rPr>
            </w:pPr>
            <w:r>
              <w:rPr>
                <w:rFonts w:hint="eastAsia"/>
                <w:kern w:val="0"/>
                <w:sz w:val="21"/>
                <w:szCs w:val="21"/>
              </w:rPr>
              <w:t>1</w:t>
            </w:r>
            <w:r>
              <w:rPr>
                <w:kern w:val="0"/>
                <w:sz w:val="21"/>
                <w:szCs w:val="21"/>
              </w:rPr>
              <w:t>94.4</w:t>
            </w:r>
          </w:p>
        </w:tc>
        <w:tc>
          <w:tcPr>
            <w:tcW w:w="2404" w:type="dxa"/>
            <w:vAlign w:val="center"/>
          </w:tcPr>
          <w:p>
            <w:pPr>
              <w:pStyle w:val="41"/>
              <w:rPr>
                <w:kern w:val="0"/>
                <w:sz w:val="21"/>
                <w:szCs w:val="21"/>
              </w:rPr>
            </w:pPr>
            <w:r>
              <w:rPr>
                <w:rFonts w:hint="eastAsia"/>
                <w:kern w:val="0"/>
                <w:sz w:val="21"/>
                <w:szCs w:val="21"/>
              </w:rPr>
              <w:t>副产品</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kern w:val="0"/>
                <w:sz w:val="21"/>
                <w:szCs w:val="21"/>
              </w:rPr>
              <w:t>3</w:t>
            </w:r>
          </w:p>
        </w:tc>
        <w:tc>
          <w:tcPr>
            <w:tcW w:w="2268" w:type="dxa"/>
            <w:vAlign w:val="center"/>
          </w:tcPr>
          <w:p>
            <w:pPr>
              <w:pStyle w:val="41"/>
              <w:rPr>
                <w:kern w:val="0"/>
                <w:sz w:val="21"/>
                <w:szCs w:val="21"/>
              </w:rPr>
            </w:pPr>
            <w:r>
              <w:rPr>
                <w:rFonts w:hint="eastAsia"/>
                <w:kern w:val="0"/>
                <w:sz w:val="21"/>
                <w:szCs w:val="21"/>
              </w:rPr>
              <w:t>轻馏分</w:t>
            </w:r>
          </w:p>
        </w:tc>
        <w:tc>
          <w:tcPr>
            <w:tcW w:w="1418" w:type="dxa"/>
            <w:vAlign w:val="center"/>
          </w:tcPr>
          <w:p>
            <w:pPr>
              <w:pStyle w:val="41"/>
              <w:rPr>
                <w:kern w:val="0"/>
                <w:sz w:val="21"/>
                <w:szCs w:val="21"/>
              </w:rPr>
            </w:pPr>
            <w:r>
              <w:rPr>
                <w:rFonts w:hint="eastAsia"/>
                <w:kern w:val="0"/>
                <w:sz w:val="21"/>
                <w:szCs w:val="21"/>
              </w:rPr>
              <w:t>/</w:t>
            </w:r>
          </w:p>
        </w:tc>
        <w:tc>
          <w:tcPr>
            <w:tcW w:w="1134" w:type="dxa"/>
          </w:tcPr>
          <w:p>
            <w:pPr>
              <w:pStyle w:val="41"/>
              <w:rPr>
                <w:kern w:val="0"/>
                <w:sz w:val="21"/>
                <w:szCs w:val="21"/>
              </w:rPr>
            </w:pPr>
            <w:r>
              <w:rPr>
                <w:kern w:val="0"/>
                <w:sz w:val="21"/>
                <w:szCs w:val="21"/>
              </w:rPr>
              <w:t>t/a</w:t>
            </w:r>
          </w:p>
        </w:tc>
        <w:tc>
          <w:tcPr>
            <w:tcW w:w="1276" w:type="dxa"/>
          </w:tcPr>
          <w:p>
            <w:pPr>
              <w:pStyle w:val="41"/>
              <w:rPr>
                <w:kern w:val="0"/>
                <w:sz w:val="21"/>
                <w:szCs w:val="21"/>
              </w:rPr>
            </w:pPr>
            <w:r>
              <w:rPr>
                <w:rFonts w:hint="eastAsia"/>
                <w:kern w:val="0"/>
                <w:sz w:val="21"/>
                <w:szCs w:val="21"/>
              </w:rPr>
              <w:t>6</w:t>
            </w:r>
            <w:r>
              <w:rPr>
                <w:kern w:val="0"/>
                <w:sz w:val="21"/>
                <w:szCs w:val="21"/>
              </w:rPr>
              <w:t>1.8</w:t>
            </w:r>
          </w:p>
        </w:tc>
        <w:tc>
          <w:tcPr>
            <w:tcW w:w="2404" w:type="dxa"/>
            <w:vAlign w:val="center"/>
          </w:tcPr>
          <w:p>
            <w:pPr>
              <w:pStyle w:val="41"/>
              <w:rPr>
                <w:kern w:val="0"/>
                <w:sz w:val="21"/>
                <w:szCs w:val="21"/>
              </w:rPr>
            </w:pPr>
            <w:r>
              <w:rPr>
                <w:rFonts w:hint="eastAsia"/>
                <w:kern w:val="0"/>
                <w:sz w:val="21"/>
                <w:szCs w:val="21"/>
              </w:rPr>
              <w:t>副产品</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kern w:val="0"/>
                <w:sz w:val="21"/>
                <w:szCs w:val="21"/>
              </w:rPr>
              <w:t>4</w:t>
            </w:r>
          </w:p>
        </w:tc>
        <w:tc>
          <w:tcPr>
            <w:tcW w:w="2268" w:type="dxa"/>
            <w:vAlign w:val="center"/>
          </w:tcPr>
          <w:p>
            <w:pPr>
              <w:pStyle w:val="41"/>
              <w:rPr>
                <w:kern w:val="0"/>
                <w:sz w:val="21"/>
                <w:szCs w:val="21"/>
              </w:rPr>
            </w:pPr>
            <w:r>
              <w:rPr>
                <w:rFonts w:hint="eastAsia"/>
                <w:kern w:val="0"/>
                <w:sz w:val="21"/>
                <w:szCs w:val="21"/>
              </w:rPr>
              <w:t>重组分</w:t>
            </w:r>
          </w:p>
        </w:tc>
        <w:tc>
          <w:tcPr>
            <w:tcW w:w="1418" w:type="dxa"/>
            <w:vAlign w:val="center"/>
          </w:tcPr>
          <w:p>
            <w:pPr>
              <w:pStyle w:val="41"/>
              <w:rPr>
                <w:kern w:val="0"/>
                <w:sz w:val="21"/>
                <w:szCs w:val="21"/>
              </w:rPr>
            </w:pPr>
            <w:r>
              <w:rPr>
                <w:rFonts w:hint="eastAsia"/>
                <w:kern w:val="0"/>
                <w:sz w:val="21"/>
                <w:szCs w:val="21"/>
              </w:rPr>
              <w:t>/</w:t>
            </w:r>
          </w:p>
        </w:tc>
        <w:tc>
          <w:tcPr>
            <w:tcW w:w="1134" w:type="dxa"/>
          </w:tcPr>
          <w:p>
            <w:pPr>
              <w:pStyle w:val="41"/>
              <w:rPr>
                <w:kern w:val="0"/>
                <w:sz w:val="21"/>
                <w:szCs w:val="21"/>
              </w:rPr>
            </w:pPr>
            <w:r>
              <w:rPr>
                <w:kern w:val="0"/>
                <w:sz w:val="21"/>
                <w:szCs w:val="21"/>
              </w:rPr>
              <w:t>t/a</w:t>
            </w:r>
          </w:p>
        </w:tc>
        <w:tc>
          <w:tcPr>
            <w:tcW w:w="1276" w:type="dxa"/>
          </w:tcPr>
          <w:p>
            <w:pPr>
              <w:pStyle w:val="41"/>
              <w:rPr>
                <w:kern w:val="0"/>
                <w:sz w:val="21"/>
                <w:szCs w:val="21"/>
              </w:rPr>
            </w:pPr>
            <w:r>
              <w:rPr>
                <w:rFonts w:hint="eastAsia"/>
                <w:kern w:val="0"/>
                <w:sz w:val="21"/>
                <w:szCs w:val="21"/>
              </w:rPr>
              <w:t>3</w:t>
            </w:r>
            <w:r>
              <w:rPr>
                <w:kern w:val="0"/>
                <w:sz w:val="21"/>
                <w:szCs w:val="21"/>
              </w:rPr>
              <w:t>36.0</w:t>
            </w:r>
          </w:p>
        </w:tc>
        <w:tc>
          <w:tcPr>
            <w:tcW w:w="2404" w:type="dxa"/>
            <w:vAlign w:val="center"/>
          </w:tcPr>
          <w:p>
            <w:pPr>
              <w:pStyle w:val="41"/>
              <w:rPr>
                <w:kern w:val="0"/>
                <w:sz w:val="21"/>
                <w:szCs w:val="21"/>
              </w:rPr>
            </w:pPr>
            <w:r>
              <w:rPr>
                <w:rFonts w:hint="eastAsia"/>
                <w:kern w:val="0"/>
                <w:sz w:val="21"/>
                <w:szCs w:val="21"/>
              </w:rPr>
              <w:t>副产品</w:t>
            </w:r>
          </w:p>
        </w:tc>
      </w:tr>
    </w:tbl>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（2）产品指标</w:t>
      </w:r>
    </w:p>
    <w:p>
      <w:pPr>
        <w:pStyle w:val="32"/>
        <w:ind w:firstLine="560"/>
        <w:rPr>
          <w:rFonts w:eastAsia="宋体"/>
          <w:b w:val="0"/>
          <w:sz w:val="28"/>
          <w:szCs w:val="24"/>
        </w:rPr>
      </w:pPr>
      <w:r>
        <w:rPr>
          <w:rFonts w:hint="eastAsia" w:ascii="宋体" w:hAnsi="宋体" w:eastAsia="宋体" w:cs="宋体"/>
          <w:b w:val="0"/>
          <w:sz w:val="28"/>
          <w:szCs w:val="24"/>
        </w:rPr>
        <w:t>①</w:t>
      </w:r>
      <w:r>
        <w:rPr>
          <w:rFonts w:hint="eastAsia" w:eastAsia="宋体"/>
          <w:b w:val="0"/>
          <w:sz w:val="28"/>
          <w:szCs w:val="24"/>
        </w:rPr>
        <w:t>乙二醇</w:t>
      </w:r>
    </w:p>
    <w:p>
      <w:pPr>
        <w:pStyle w:val="45"/>
        <w:ind w:firstLine="560"/>
      </w:pPr>
      <w:r>
        <w:rPr>
          <w:rFonts w:hint="eastAsia"/>
        </w:rPr>
        <w:t>乙二醇符合《工业用乙二醇》（</w:t>
      </w:r>
      <w:r>
        <w:t>GB/T4649-2018</w:t>
      </w:r>
      <w:r>
        <w:rPr>
          <w:rFonts w:hint="eastAsia"/>
        </w:rPr>
        <w:t>）工业级标准（</w:t>
      </w:r>
      <w:r>
        <w:t>≥99.8wt%</w:t>
      </w:r>
      <w:r>
        <w:rPr>
          <w:rFonts w:hint="eastAsia"/>
        </w:rPr>
        <w:t>）</w:t>
      </w:r>
      <w:r>
        <w:t>，其质量指标见表3.2-4。</w:t>
      </w:r>
    </w:p>
    <w:p>
      <w:pPr>
        <w:pStyle w:val="32"/>
        <w:ind w:left="851" w:firstLine="0" w:firstLineChars="0"/>
      </w:pPr>
      <w:r>
        <w:t xml:space="preserve">表3.2-4              </w:t>
      </w:r>
      <w:r>
        <w:rPr>
          <w:rFonts w:hint="eastAsia"/>
        </w:rPr>
        <w:t>乙二醇</w:t>
      </w:r>
      <w:r>
        <w:t>产品质量指标表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3119"/>
        <w:gridCol w:w="1843"/>
        <w:gridCol w:w="1275"/>
        <w:gridCol w:w="2263"/>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pStyle w:val="41"/>
              <w:rPr>
                <w:b/>
                <w:sz w:val="21"/>
                <w:szCs w:val="21"/>
              </w:rPr>
            </w:pPr>
            <w:r>
              <w:rPr>
                <w:rFonts w:hint="eastAsia"/>
                <w:b/>
                <w:sz w:val="21"/>
                <w:szCs w:val="21"/>
              </w:rPr>
              <w:t>编号</w:t>
            </w:r>
          </w:p>
        </w:tc>
        <w:tc>
          <w:tcPr>
            <w:tcW w:w="3119" w:type="dxa"/>
            <w:vMerge w:val="restart"/>
            <w:vAlign w:val="center"/>
          </w:tcPr>
          <w:p>
            <w:pPr>
              <w:pStyle w:val="41"/>
              <w:rPr>
                <w:b/>
                <w:kern w:val="0"/>
                <w:sz w:val="21"/>
                <w:szCs w:val="21"/>
              </w:rPr>
            </w:pPr>
            <w:r>
              <w:rPr>
                <w:rFonts w:hint="eastAsia"/>
                <w:b/>
                <w:kern w:val="0"/>
                <w:sz w:val="21"/>
                <w:szCs w:val="21"/>
              </w:rPr>
              <w:t>项目</w:t>
            </w:r>
          </w:p>
        </w:tc>
        <w:tc>
          <w:tcPr>
            <w:tcW w:w="3118" w:type="dxa"/>
            <w:gridSpan w:val="2"/>
            <w:vAlign w:val="center"/>
          </w:tcPr>
          <w:p>
            <w:pPr>
              <w:pStyle w:val="41"/>
              <w:rPr>
                <w:b/>
                <w:kern w:val="0"/>
                <w:sz w:val="21"/>
                <w:szCs w:val="21"/>
              </w:rPr>
            </w:pPr>
            <w:r>
              <w:rPr>
                <w:rFonts w:hint="eastAsia"/>
                <w:b/>
                <w:kern w:val="0"/>
                <w:sz w:val="21"/>
                <w:szCs w:val="21"/>
              </w:rPr>
              <w:t>指标</w:t>
            </w:r>
          </w:p>
        </w:tc>
        <w:tc>
          <w:tcPr>
            <w:tcW w:w="2263" w:type="dxa"/>
            <w:vMerge w:val="restart"/>
            <w:vAlign w:val="center"/>
          </w:tcPr>
          <w:p>
            <w:pPr>
              <w:pStyle w:val="41"/>
              <w:rPr>
                <w:b/>
                <w:kern w:val="0"/>
                <w:sz w:val="21"/>
                <w:szCs w:val="21"/>
              </w:rPr>
            </w:pPr>
            <w:r>
              <w:rPr>
                <w:rFonts w:hint="eastAsia"/>
                <w:b/>
                <w:kern w:val="0"/>
                <w:sz w:val="21"/>
                <w:szCs w:val="21"/>
              </w:rPr>
              <w:t>项目指标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9" w:hRule="atLeast"/>
          <w:jc w:val="center"/>
        </w:trPr>
        <w:tc>
          <w:tcPr>
            <w:tcW w:w="675" w:type="dxa"/>
            <w:vMerge w:val="continue"/>
            <w:vAlign w:val="center"/>
          </w:tcPr>
          <w:p>
            <w:pPr>
              <w:pStyle w:val="41"/>
              <w:rPr>
                <w:kern w:val="0"/>
                <w:sz w:val="21"/>
                <w:szCs w:val="21"/>
              </w:rPr>
            </w:pPr>
          </w:p>
        </w:tc>
        <w:tc>
          <w:tcPr>
            <w:tcW w:w="3119" w:type="dxa"/>
            <w:vMerge w:val="continue"/>
            <w:vAlign w:val="center"/>
          </w:tcPr>
          <w:p>
            <w:pPr>
              <w:pStyle w:val="41"/>
              <w:rPr>
                <w:kern w:val="0"/>
                <w:sz w:val="21"/>
                <w:szCs w:val="21"/>
              </w:rPr>
            </w:pPr>
          </w:p>
        </w:tc>
        <w:tc>
          <w:tcPr>
            <w:tcW w:w="1843" w:type="dxa"/>
            <w:vAlign w:val="center"/>
          </w:tcPr>
          <w:p>
            <w:pPr>
              <w:pStyle w:val="41"/>
              <w:rPr>
                <w:kern w:val="0"/>
                <w:sz w:val="21"/>
                <w:szCs w:val="21"/>
              </w:rPr>
            </w:pPr>
            <w:r>
              <w:rPr>
                <w:rFonts w:hint="eastAsia"/>
                <w:kern w:val="0"/>
                <w:sz w:val="21"/>
                <w:szCs w:val="21"/>
              </w:rPr>
              <w:t>聚酯级</w:t>
            </w:r>
          </w:p>
        </w:tc>
        <w:tc>
          <w:tcPr>
            <w:tcW w:w="1275" w:type="dxa"/>
            <w:vAlign w:val="center"/>
          </w:tcPr>
          <w:p>
            <w:pPr>
              <w:pStyle w:val="41"/>
              <w:rPr>
                <w:kern w:val="0"/>
                <w:sz w:val="21"/>
                <w:szCs w:val="21"/>
              </w:rPr>
            </w:pPr>
            <w:r>
              <w:rPr>
                <w:rFonts w:hint="eastAsia"/>
                <w:kern w:val="0"/>
                <w:sz w:val="21"/>
                <w:szCs w:val="21"/>
              </w:rPr>
              <w:t>工业级</w:t>
            </w:r>
          </w:p>
        </w:tc>
        <w:tc>
          <w:tcPr>
            <w:tcW w:w="2263" w:type="dxa"/>
            <w:vMerge w:val="continue"/>
            <w:vAlign w:val="center"/>
          </w:tcPr>
          <w:p>
            <w:pPr>
              <w:pStyle w:val="41"/>
              <w:rPr>
                <w:kern w:val="0"/>
                <w:sz w:val="21"/>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1</w:t>
            </w:r>
          </w:p>
        </w:tc>
        <w:tc>
          <w:tcPr>
            <w:tcW w:w="3119" w:type="dxa"/>
            <w:vAlign w:val="center"/>
          </w:tcPr>
          <w:p>
            <w:pPr>
              <w:pStyle w:val="41"/>
              <w:rPr>
                <w:kern w:val="0"/>
                <w:sz w:val="21"/>
                <w:szCs w:val="21"/>
              </w:rPr>
            </w:pPr>
            <w:r>
              <w:rPr>
                <w:rFonts w:hint="eastAsia"/>
                <w:kern w:val="0"/>
                <w:sz w:val="21"/>
                <w:szCs w:val="21"/>
              </w:rPr>
              <w:t>外观</w:t>
            </w:r>
          </w:p>
        </w:tc>
        <w:tc>
          <w:tcPr>
            <w:tcW w:w="3118" w:type="dxa"/>
            <w:gridSpan w:val="2"/>
            <w:vAlign w:val="center"/>
          </w:tcPr>
          <w:p>
            <w:pPr>
              <w:pStyle w:val="41"/>
              <w:rPr>
                <w:kern w:val="0"/>
                <w:sz w:val="21"/>
                <w:szCs w:val="21"/>
              </w:rPr>
            </w:pPr>
            <w:r>
              <w:rPr>
                <w:rFonts w:hint="eastAsia"/>
                <w:kern w:val="0"/>
                <w:sz w:val="21"/>
                <w:szCs w:val="21"/>
              </w:rPr>
              <w:t>透明液体，无机械杂质</w:t>
            </w:r>
          </w:p>
        </w:tc>
        <w:tc>
          <w:tcPr>
            <w:tcW w:w="2263" w:type="dxa"/>
            <w:vAlign w:val="center"/>
          </w:tcPr>
          <w:p>
            <w:pPr>
              <w:pStyle w:val="41"/>
              <w:rPr>
                <w:kern w:val="0"/>
                <w:sz w:val="21"/>
                <w:szCs w:val="21"/>
              </w:rPr>
            </w:pPr>
            <w:r>
              <w:rPr>
                <w:rFonts w:hint="eastAsia"/>
                <w:kern w:val="0"/>
                <w:sz w:val="21"/>
                <w:szCs w:val="21"/>
              </w:rPr>
              <w:t>透明液体，无机械杂质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2</w:t>
            </w:r>
          </w:p>
        </w:tc>
        <w:tc>
          <w:tcPr>
            <w:tcW w:w="3119" w:type="dxa"/>
            <w:vAlign w:val="center"/>
          </w:tcPr>
          <w:p>
            <w:pPr>
              <w:pStyle w:val="41"/>
              <w:rPr>
                <w:kern w:val="0"/>
                <w:sz w:val="21"/>
                <w:szCs w:val="21"/>
              </w:rPr>
            </w:pPr>
            <w:r>
              <w:rPr>
                <w:rFonts w:hint="eastAsia"/>
                <w:kern w:val="0"/>
                <w:sz w:val="21"/>
                <w:szCs w:val="21"/>
              </w:rPr>
              <w:t>乙二醇，w</w:t>
            </w:r>
            <w:r>
              <w:rPr>
                <w:kern w:val="0"/>
                <w:sz w:val="21"/>
                <w:szCs w:val="21"/>
              </w:rPr>
              <w:t xml:space="preserve">/%      </w:t>
            </w:r>
            <w:r>
              <w:rPr>
                <w:rFonts w:hint="eastAsia" w:ascii="宋体" w:hAnsi="宋体"/>
                <w:sz w:val="28"/>
              </w:rPr>
              <w:t>≥</w:t>
            </w:r>
            <w:r>
              <w:rPr>
                <w:kern w:val="0"/>
                <w:sz w:val="21"/>
                <w:szCs w:val="21"/>
              </w:rPr>
              <w:t xml:space="preserve">  </w:t>
            </w:r>
          </w:p>
        </w:tc>
        <w:tc>
          <w:tcPr>
            <w:tcW w:w="1843" w:type="dxa"/>
            <w:vAlign w:val="center"/>
          </w:tcPr>
          <w:p>
            <w:pPr>
              <w:pStyle w:val="41"/>
              <w:rPr>
                <w:kern w:val="0"/>
                <w:sz w:val="21"/>
                <w:szCs w:val="21"/>
              </w:rPr>
            </w:pPr>
            <w:r>
              <w:rPr>
                <w:rFonts w:hint="eastAsia"/>
                <w:kern w:val="0"/>
                <w:sz w:val="21"/>
                <w:szCs w:val="21"/>
              </w:rPr>
              <w:t>9</w:t>
            </w:r>
            <w:r>
              <w:rPr>
                <w:kern w:val="0"/>
                <w:sz w:val="21"/>
                <w:szCs w:val="21"/>
              </w:rPr>
              <w:t>9.9</w:t>
            </w:r>
          </w:p>
        </w:tc>
        <w:tc>
          <w:tcPr>
            <w:tcW w:w="1275" w:type="dxa"/>
            <w:vAlign w:val="center"/>
          </w:tcPr>
          <w:p>
            <w:pPr>
              <w:pStyle w:val="41"/>
              <w:rPr>
                <w:kern w:val="0"/>
                <w:sz w:val="21"/>
                <w:szCs w:val="21"/>
              </w:rPr>
            </w:pPr>
            <w:r>
              <w:rPr>
                <w:rFonts w:hint="eastAsia"/>
                <w:kern w:val="0"/>
                <w:sz w:val="21"/>
                <w:szCs w:val="21"/>
              </w:rPr>
              <w:t>9</w:t>
            </w:r>
            <w:r>
              <w:rPr>
                <w:kern w:val="0"/>
                <w:sz w:val="21"/>
                <w:szCs w:val="21"/>
              </w:rPr>
              <w:t>9.0</w:t>
            </w:r>
          </w:p>
        </w:tc>
        <w:tc>
          <w:tcPr>
            <w:tcW w:w="2263" w:type="dxa"/>
            <w:vAlign w:val="center"/>
          </w:tcPr>
          <w:p>
            <w:pPr>
              <w:pStyle w:val="41"/>
              <w:rPr>
                <w:kern w:val="0"/>
                <w:sz w:val="21"/>
                <w:szCs w:val="21"/>
              </w:rPr>
            </w:pPr>
            <w:r>
              <w:rPr>
                <w:rFonts w:hint="eastAsia"/>
                <w:kern w:val="0"/>
                <w:sz w:val="21"/>
                <w:szCs w:val="21"/>
              </w:rPr>
              <w:t>9</w:t>
            </w:r>
            <w:r>
              <w:rPr>
                <w:kern w:val="0"/>
                <w:sz w:val="21"/>
                <w:szCs w:val="21"/>
              </w:rPr>
              <w:t>9.8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3</w:t>
            </w:r>
          </w:p>
        </w:tc>
        <w:tc>
          <w:tcPr>
            <w:tcW w:w="3119" w:type="dxa"/>
            <w:vAlign w:val="center"/>
          </w:tcPr>
          <w:p>
            <w:pPr>
              <w:pStyle w:val="41"/>
              <w:rPr>
                <w:kern w:val="0"/>
                <w:sz w:val="21"/>
                <w:szCs w:val="21"/>
              </w:rPr>
            </w:pPr>
            <w:r>
              <w:rPr>
                <w:rFonts w:hint="eastAsia"/>
                <w:kern w:val="0"/>
                <w:sz w:val="21"/>
                <w:szCs w:val="21"/>
              </w:rPr>
              <w:t>二乙二醇，w</w:t>
            </w:r>
            <w:r>
              <w:rPr>
                <w:kern w:val="0"/>
                <w:sz w:val="21"/>
                <w:szCs w:val="21"/>
              </w:rPr>
              <w:t xml:space="preserve">/%    </w:t>
            </w:r>
            <w:r>
              <w:rPr>
                <w:rFonts w:hint="eastAsia" w:ascii="宋体" w:hAnsi="宋体"/>
                <w:kern w:val="0"/>
                <w:sz w:val="21"/>
                <w:szCs w:val="21"/>
              </w:rPr>
              <w:t>≤</w:t>
            </w:r>
          </w:p>
        </w:tc>
        <w:tc>
          <w:tcPr>
            <w:tcW w:w="1843" w:type="dxa"/>
            <w:vAlign w:val="center"/>
          </w:tcPr>
          <w:p>
            <w:pPr>
              <w:pStyle w:val="41"/>
              <w:rPr>
                <w:kern w:val="0"/>
                <w:sz w:val="21"/>
                <w:szCs w:val="21"/>
              </w:rPr>
            </w:pPr>
            <w:r>
              <w:rPr>
                <w:rFonts w:hint="eastAsia"/>
                <w:kern w:val="0"/>
                <w:sz w:val="21"/>
                <w:szCs w:val="21"/>
              </w:rPr>
              <w:t>0</w:t>
            </w:r>
            <w:r>
              <w:rPr>
                <w:kern w:val="0"/>
                <w:sz w:val="21"/>
                <w:szCs w:val="21"/>
              </w:rPr>
              <w:t>.050</w:t>
            </w:r>
          </w:p>
        </w:tc>
        <w:tc>
          <w:tcPr>
            <w:tcW w:w="1275" w:type="dxa"/>
            <w:vAlign w:val="center"/>
          </w:tcPr>
          <w:p>
            <w:pPr>
              <w:pStyle w:val="41"/>
              <w:rPr>
                <w:kern w:val="0"/>
                <w:sz w:val="21"/>
                <w:szCs w:val="21"/>
              </w:rPr>
            </w:pPr>
            <w:r>
              <w:rPr>
                <w:rFonts w:hint="eastAsia"/>
                <w:kern w:val="0"/>
                <w:sz w:val="21"/>
                <w:szCs w:val="21"/>
              </w:rPr>
              <w:t>0</w:t>
            </w:r>
            <w:r>
              <w:rPr>
                <w:kern w:val="0"/>
                <w:sz w:val="21"/>
                <w:szCs w:val="21"/>
              </w:rPr>
              <w:t>.6000</w:t>
            </w:r>
          </w:p>
        </w:tc>
        <w:tc>
          <w:tcPr>
            <w:tcW w:w="2263" w:type="dxa"/>
            <w:vAlign w:val="center"/>
          </w:tcPr>
          <w:p>
            <w:pPr>
              <w:pStyle w:val="41"/>
              <w:rPr>
                <w:kern w:val="0"/>
                <w:sz w:val="21"/>
                <w:szCs w:val="21"/>
              </w:rPr>
            </w:pPr>
            <w:r>
              <w:rPr>
                <w:rFonts w:hint="eastAsia"/>
                <w:kern w:val="0"/>
                <w:sz w:val="21"/>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4</w:t>
            </w:r>
          </w:p>
        </w:tc>
        <w:tc>
          <w:tcPr>
            <w:tcW w:w="3119" w:type="dxa"/>
            <w:vAlign w:val="center"/>
          </w:tcPr>
          <w:p>
            <w:pPr>
              <w:pStyle w:val="41"/>
              <w:rPr>
                <w:kern w:val="0"/>
                <w:sz w:val="21"/>
                <w:szCs w:val="21"/>
              </w:rPr>
            </w:pPr>
            <w:r>
              <w:rPr>
                <w:rFonts w:hint="eastAsia"/>
                <w:kern w:val="0"/>
                <w:sz w:val="21"/>
                <w:szCs w:val="21"/>
              </w:rPr>
              <w:t>水分，w</w:t>
            </w:r>
            <w:r>
              <w:rPr>
                <w:kern w:val="0"/>
                <w:sz w:val="21"/>
                <w:szCs w:val="21"/>
              </w:rPr>
              <w:t xml:space="preserve">/%      </w:t>
            </w:r>
            <w:r>
              <w:rPr>
                <w:rFonts w:hint="eastAsia" w:ascii="宋体" w:hAnsi="宋体"/>
                <w:kern w:val="0"/>
                <w:sz w:val="21"/>
                <w:szCs w:val="21"/>
              </w:rPr>
              <w:t>≤</w:t>
            </w:r>
          </w:p>
        </w:tc>
        <w:tc>
          <w:tcPr>
            <w:tcW w:w="1843" w:type="dxa"/>
            <w:vAlign w:val="center"/>
          </w:tcPr>
          <w:p>
            <w:pPr>
              <w:pStyle w:val="41"/>
              <w:rPr>
                <w:kern w:val="0"/>
                <w:sz w:val="21"/>
                <w:szCs w:val="21"/>
              </w:rPr>
            </w:pPr>
            <w:r>
              <w:rPr>
                <w:rFonts w:hint="eastAsia"/>
                <w:kern w:val="0"/>
                <w:sz w:val="21"/>
                <w:szCs w:val="21"/>
              </w:rPr>
              <w:t>0</w:t>
            </w:r>
            <w:r>
              <w:rPr>
                <w:kern w:val="0"/>
                <w:sz w:val="21"/>
                <w:szCs w:val="21"/>
              </w:rPr>
              <w:t>.08</w:t>
            </w:r>
          </w:p>
        </w:tc>
        <w:tc>
          <w:tcPr>
            <w:tcW w:w="1275" w:type="dxa"/>
            <w:vAlign w:val="center"/>
          </w:tcPr>
          <w:p>
            <w:pPr>
              <w:pStyle w:val="41"/>
              <w:rPr>
                <w:kern w:val="0"/>
                <w:sz w:val="21"/>
                <w:szCs w:val="21"/>
              </w:rPr>
            </w:pPr>
            <w:r>
              <w:rPr>
                <w:rFonts w:hint="eastAsia"/>
                <w:kern w:val="0"/>
                <w:sz w:val="21"/>
                <w:szCs w:val="21"/>
              </w:rPr>
              <w:t>0</w:t>
            </w:r>
            <w:r>
              <w:rPr>
                <w:kern w:val="0"/>
                <w:sz w:val="21"/>
                <w:szCs w:val="21"/>
              </w:rPr>
              <w:t>.20</w:t>
            </w:r>
          </w:p>
        </w:tc>
        <w:tc>
          <w:tcPr>
            <w:tcW w:w="2263" w:type="dxa"/>
            <w:vAlign w:val="center"/>
          </w:tcPr>
          <w:p>
            <w:pPr>
              <w:pStyle w:val="41"/>
              <w:rPr>
                <w:kern w:val="0"/>
                <w:sz w:val="21"/>
                <w:szCs w:val="21"/>
              </w:rPr>
            </w:pPr>
            <w:r>
              <w:rPr>
                <w:rFonts w:hint="eastAsia"/>
                <w:kern w:val="0"/>
                <w:sz w:val="21"/>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5</w:t>
            </w:r>
          </w:p>
        </w:tc>
        <w:tc>
          <w:tcPr>
            <w:tcW w:w="3119" w:type="dxa"/>
            <w:vAlign w:val="center"/>
          </w:tcPr>
          <w:p>
            <w:pPr>
              <w:pStyle w:val="41"/>
              <w:rPr>
                <w:kern w:val="0"/>
                <w:sz w:val="21"/>
                <w:szCs w:val="21"/>
              </w:rPr>
            </w:pPr>
            <w:r>
              <w:rPr>
                <w:rFonts w:hint="eastAsia"/>
                <w:kern w:val="0"/>
                <w:sz w:val="21"/>
                <w:szCs w:val="21"/>
              </w:rPr>
              <w:t>酸度（以乙酸计）/（mg</w:t>
            </w:r>
            <w:r>
              <w:rPr>
                <w:kern w:val="0"/>
                <w:sz w:val="21"/>
                <w:szCs w:val="21"/>
              </w:rPr>
              <w:t>/kg</w:t>
            </w:r>
            <w:r>
              <w:rPr>
                <w:rFonts w:hint="eastAsia"/>
                <w:kern w:val="0"/>
                <w:sz w:val="21"/>
                <w:szCs w:val="21"/>
              </w:rPr>
              <w:t>）</w:t>
            </w:r>
            <w:r>
              <w:rPr>
                <w:rFonts w:hint="eastAsia" w:ascii="宋体" w:hAnsi="宋体"/>
                <w:kern w:val="0"/>
                <w:sz w:val="21"/>
                <w:szCs w:val="21"/>
              </w:rPr>
              <w:t>≤</w:t>
            </w:r>
          </w:p>
        </w:tc>
        <w:tc>
          <w:tcPr>
            <w:tcW w:w="1843" w:type="dxa"/>
            <w:vAlign w:val="center"/>
          </w:tcPr>
          <w:p>
            <w:pPr>
              <w:pStyle w:val="41"/>
              <w:rPr>
                <w:kern w:val="0"/>
                <w:sz w:val="21"/>
                <w:szCs w:val="21"/>
              </w:rPr>
            </w:pPr>
            <w:r>
              <w:rPr>
                <w:rFonts w:hint="eastAsia"/>
                <w:kern w:val="0"/>
                <w:sz w:val="21"/>
                <w:szCs w:val="21"/>
              </w:rPr>
              <w:t>1</w:t>
            </w:r>
            <w:r>
              <w:rPr>
                <w:kern w:val="0"/>
                <w:sz w:val="21"/>
                <w:szCs w:val="21"/>
              </w:rPr>
              <w:t>0</w:t>
            </w:r>
          </w:p>
        </w:tc>
        <w:tc>
          <w:tcPr>
            <w:tcW w:w="1275" w:type="dxa"/>
            <w:vAlign w:val="center"/>
          </w:tcPr>
          <w:p>
            <w:pPr>
              <w:pStyle w:val="41"/>
              <w:rPr>
                <w:kern w:val="0"/>
                <w:sz w:val="21"/>
                <w:szCs w:val="21"/>
              </w:rPr>
            </w:pPr>
            <w:r>
              <w:rPr>
                <w:rFonts w:hint="eastAsia"/>
                <w:kern w:val="0"/>
                <w:sz w:val="21"/>
                <w:szCs w:val="21"/>
              </w:rPr>
              <w:t>3</w:t>
            </w:r>
            <w:r>
              <w:rPr>
                <w:kern w:val="0"/>
                <w:sz w:val="21"/>
                <w:szCs w:val="21"/>
              </w:rPr>
              <w:t>0</w:t>
            </w:r>
          </w:p>
        </w:tc>
        <w:tc>
          <w:tcPr>
            <w:tcW w:w="2263" w:type="dxa"/>
            <w:vAlign w:val="center"/>
          </w:tcPr>
          <w:p>
            <w:pPr>
              <w:pStyle w:val="41"/>
              <w:rPr>
                <w:kern w:val="0"/>
                <w:sz w:val="21"/>
                <w:szCs w:val="21"/>
              </w:rPr>
            </w:pPr>
            <w:r>
              <w:rPr>
                <w:rFonts w:hint="eastAsia"/>
                <w:kern w:val="0"/>
                <w:sz w:val="21"/>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pStyle w:val="41"/>
              <w:rPr>
                <w:kern w:val="0"/>
                <w:sz w:val="21"/>
                <w:szCs w:val="21"/>
              </w:rPr>
            </w:pPr>
            <w:r>
              <w:rPr>
                <w:rFonts w:hint="eastAsia"/>
                <w:kern w:val="0"/>
                <w:sz w:val="21"/>
                <w:szCs w:val="21"/>
              </w:rPr>
              <w:t>6</w:t>
            </w:r>
          </w:p>
        </w:tc>
        <w:tc>
          <w:tcPr>
            <w:tcW w:w="3119" w:type="dxa"/>
            <w:vAlign w:val="center"/>
          </w:tcPr>
          <w:p>
            <w:pPr>
              <w:pStyle w:val="41"/>
              <w:rPr>
                <w:kern w:val="0"/>
                <w:sz w:val="21"/>
                <w:szCs w:val="21"/>
              </w:rPr>
            </w:pPr>
            <w:r>
              <w:rPr>
                <w:rFonts w:hint="eastAsia"/>
                <w:kern w:val="0"/>
                <w:sz w:val="21"/>
                <w:szCs w:val="21"/>
              </w:rPr>
              <w:t>灰分/（mg</w:t>
            </w:r>
            <w:r>
              <w:rPr>
                <w:kern w:val="0"/>
                <w:sz w:val="21"/>
                <w:szCs w:val="21"/>
              </w:rPr>
              <w:t>/kg</w:t>
            </w:r>
            <w:r>
              <w:rPr>
                <w:rFonts w:hint="eastAsia"/>
                <w:kern w:val="0"/>
                <w:sz w:val="21"/>
                <w:szCs w:val="21"/>
              </w:rPr>
              <w:t>）</w:t>
            </w:r>
            <w:r>
              <w:rPr>
                <w:rFonts w:hint="eastAsia" w:ascii="宋体" w:hAnsi="宋体"/>
                <w:kern w:val="0"/>
                <w:sz w:val="21"/>
                <w:szCs w:val="21"/>
              </w:rPr>
              <w:t>≤</w:t>
            </w:r>
          </w:p>
        </w:tc>
        <w:tc>
          <w:tcPr>
            <w:tcW w:w="1843" w:type="dxa"/>
            <w:vAlign w:val="center"/>
          </w:tcPr>
          <w:p>
            <w:pPr>
              <w:pStyle w:val="41"/>
              <w:rPr>
                <w:kern w:val="0"/>
                <w:sz w:val="21"/>
                <w:szCs w:val="21"/>
              </w:rPr>
            </w:pPr>
            <w:r>
              <w:rPr>
                <w:rFonts w:hint="eastAsia"/>
                <w:kern w:val="0"/>
                <w:sz w:val="21"/>
                <w:szCs w:val="21"/>
              </w:rPr>
              <w:t>1</w:t>
            </w:r>
            <w:r>
              <w:rPr>
                <w:kern w:val="0"/>
                <w:sz w:val="21"/>
                <w:szCs w:val="21"/>
              </w:rPr>
              <w:t>0</w:t>
            </w:r>
          </w:p>
        </w:tc>
        <w:tc>
          <w:tcPr>
            <w:tcW w:w="1275" w:type="dxa"/>
            <w:vAlign w:val="center"/>
          </w:tcPr>
          <w:p>
            <w:pPr>
              <w:pStyle w:val="41"/>
              <w:rPr>
                <w:kern w:val="0"/>
                <w:sz w:val="21"/>
                <w:szCs w:val="21"/>
              </w:rPr>
            </w:pPr>
            <w:r>
              <w:rPr>
                <w:rFonts w:hint="eastAsia"/>
                <w:kern w:val="0"/>
                <w:sz w:val="21"/>
                <w:szCs w:val="21"/>
              </w:rPr>
              <w:t>2</w:t>
            </w:r>
            <w:r>
              <w:rPr>
                <w:kern w:val="0"/>
                <w:sz w:val="21"/>
                <w:szCs w:val="21"/>
              </w:rPr>
              <w:t>0</w:t>
            </w:r>
          </w:p>
        </w:tc>
        <w:tc>
          <w:tcPr>
            <w:tcW w:w="2263" w:type="dxa"/>
            <w:vAlign w:val="center"/>
          </w:tcPr>
          <w:p>
            <w:pPr>
              <w:pStyle w:val="41"/>
              <w:rPr>
                <w:kern w:val="0"/>
                <w:sz w:val="21"/>
                <w:szCs w:val="21"/>
              </w:rPr>
            </w:pPr>
            <w:r>
              <w:rPr>
                <w:rFonts w:hint="eastAsia"/>
                <w:kern w:val="0"/>
                <w:sz w:val="21"/>
                <w:szCs w:val="21"/>
              </w:rPr>
              <w:t>/</w:t>
            </w:r>
          </w:p>
        </w:tc>
      </w:tr>
    </w:tbl>
    <w:p>
      <w:pPr>
        <w:pStyle w:val="32"/>
        <w:ind w:firstLine="560"/>
        <w:rPr>
          <w:rFonts w:eastAsia="宋体"/>
          <w:b w:val="0"/>
          <w:sz w:val="28"/>
          <w:szCs w:val="24"/>
        </w:rPr>
      </w:pPr>
      <w:r>
        <w:rPr>
          <w:rFonts w:hint="eastAsia" w:ascii="宋体" w:hAnsi="宋体" w:eastAsia="宋体" w:cs="宋体"/>
          <w:b w:val="0"/>
          <w:sz w:val="28"/>
          <w:szCs w:val="24"/>
        </w:rPr>
        <w:t>②</w:t>
      </w:r>
      <w:r>
        <w:rPr>
          <w:rFonts w:hint="eastAsia" w:eastAsia="宋体"/>
          <w:b w:val="0"/>
          <w:sz w:val="28"/>
          <w:szCs w:val="24"/>
        </w:rPr>
        <w:t>丙二醇</w:t>
      </w:r>
    </w:p>
    <w:p>
      <w:pPr>
        <w:pStyle w:val="32"/>
        <w:ind w:firstLine="560"/>
        <w:rPr>
          <w:rFonts w:eastAsia="宋体"/>
          <w:b w:val="0"/>
          <w:sz w:val="28"/>
          <w:szCs w:val="24"/>
        </w:rPr>
      </w:pPr>
      <w:r>
        <w:rPr>
          <w:rFonts w:hint="eastAsia" w:eastAsia="宋体"/>
          <w:b w:val="0"/>
          <w:sz w:val="28"/>
          <w:szCs w:val="24"/>
        </w:rPr>
        <w:t>项目副产丙二醇符合《食品安全国家标准 食品添加剂丙二醇》（</w:t>
      </w:r>
      <w:r>
        <w:rPr>
          <w:rFonts w:eastAsia="宋体"/>
          <w:b w:val="0"/>
          <w:sz w:val="28"/>
          <w:szCs w:val="24"/>
        </w:rPr>
        <w:t>GB29216-2012</w:t>
      </w:r>
      <w:r>
        <w:rPr>
          <w:rFonts w:hint="eastAsia" w:eastAsia="宋体"/>
          <w:b w:val="0"/>
          <w:sz w:val="28"/>
          <w:szCs w:val="24"/>
        </w:rPr>
        <w:t>）要求（</w:t>
      </w:r>
      <w:r>
        <w:rPr>
          <w:rFonts w:eastAsia="宋体"/>
          <w:b w:val="0"/>
          <w:sz w:val="28"/>
          <w:szCs w:val="24"/>
        </w:rPr>
        <w:t>≥99.5wt%</w:t>
      </w:r>
      <w:r>
        <w:rPr>
          <w:rFonts w:hint="eastAsia" w:eastAsia="宋体"/>
          <w:b w:val="0"/>
          <w:sz w:val="28"/>
          <w:szCs w:val="24"/>
        </w:rPr>
        <w:t>），</w:t>
      </w:r>
      <w:r>
        <w:rPr>
          <w:rFonts w:eastAsia="宋体"/>
          <w:b w:val="0"/>
          <w:sz w:val="28"/>
          <w:szCs w:val="24"/>
        </w:rPr>
        <w:t>产品质量指标见表3.2-5。</w:t>
      </w:r>
    </w:p>
    <w:p>
      <w:pPr>
        <w:pStyle w:val="32"/>
        <w:ind w:left="851" w:firstLine="0" w:firstLineChars="0"/>
      </w:pPr>
    </w:p>
    <w:p>
      <w:pPr>
        <w:pStyle w:val="32"/>
        <w:ind w:left="851" w:firstLine="0" w:firstLineChars="0"/>
      </w:pPr>
    </w:p>
    <w:p>
      <w:pPr>
        <w:pStyle w:val="32"/>
        <w:ind w:left="851" w:firstLine="0" w:firstLineChars="0"/>
      </w:pPr>
      <w:r>
        <w:t xml:space="preserve">表3.2-5              </w:t>
      </w:r>
      <w:r>
        <w:rPr>
          <w:rFonts w:hint="eastAsia"/>
        </w:rPr>
        <w:t>丙二醇</w:t>
      </w:r>
      <w:r>
        <w:t>产品质量指标表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660"/>
        <w:gridCol w:w="3260"/>
        <w:gridCol w:w="3255"/>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2660" w:type="dxa"/>
            <w:vAlign w:val="center"/>
          </w:tcPr>
          <w:p>
            <w:pPr>
              <w:pStyle w:val="41"/>
              <w:rPr>
                <w:b/>
                <w:sz w:val="21"/>
                <w:szCs w:val="21"/>
              </w:rPr>
            </w:pPr>
            <w:r>
              <w:rPr>
                <w:b/>
                <w:kern w:val="0"/>
                <w:sz w:val="21"/>
                <w:szCs w:val="21"/>
              </w:rPr>
              <w:t>项目</w:t>
            </w:r>
          </w:p>
        </w:tc>
        <w:tc>
          <w:tcPr>
            <w:tcW w:w="3260" w:type="dxa"/>
            <w:vAlign w:val="center"/>
          </w:tcPr>
          <w:p>
            <w:pPr>
              <w:pStyle w:val="41"/>
              <w:rPr>
                <w:b/>
                <w:kern w:val="0"/>
                <w:sz w:val="21"/>
                <w:szCs w:val="21"/>
              </w:rPr>
            </w:pPr>
            <w:r>
              <w:rPr>
                <w:b/>
                <w:kern w:val="0"/>
                <w:sz w:val="21"/>
                <w:szCs w:val="21"/>
              </w:rPr>
              <w:t>要求指标</w:t>
            </w:r>
          </w:p>
        </w:tc>
        <w:tc>
          <w:tcPr>
            <w:tcW w:w="3255" w:type="dxa"/>
            <w:vAlign w:val="center"/>
          </w:tcPr>
          <w:p>
            <w:pPr>
              <w:pStyle w:val="41"/>
              <w:rPr>
                <w:b/>
                <w:kern w:val="0"/>
                <w:sz w:val="21"/>
                <w:szCs w:val="21"/>
              </w:rPr>
            </w:pPr>
            <w:r>
              <w:rPr>
                <w:rFonts w:hint="eastAsia"/>
                <w:b/>
                <w:kern w:val="0"/>
                <w:sz w:val="21"/>
                <w:szCs w:val="21"/>
              </w:rPr>
              <w:t>项目指标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2660" w:type="dxa"/>
            <w:vAlign w:val="center"/>
          </w:tcPr>
          <w:p>
            <w:pPr>
              <w:pStyle w:val="41"/>
              <w:rPr>
                <w:bCs/>
                <w:kern w:val="0"/>
                <w:sz w:val="21"/>
                <w:szCs w:val="21"/>
              </w:rPr>
            </w:pPr>
            <w:r>
              <w:rPr>
                <w:rFonts w:hint="eastAsia"/>
                <w:bCs/>
                <w:kern w:val="0"/>
                <w:sz w:val="21"/>
                <w:szCs w:val="21"/>
              </w:rPr>
              <w:t>色泽</w:t>
            </w:r>
          </w:p>
        </w:tc>
        <w:tc>
          <w:tcPr>
            <w:tcW w:w="3260" w:type="dxa"/>
            <w:vAlign w:val="center"/>
          </w:tcPr>
          <w:p>
            <w:pPr>
              <w:pStyle w:val="41"/>
              <w:rPr>
                <w:bCs/>
                <w:kern w:val="0"/>
                <w:sz w:val="21"/>
                <w:szCs w:val="21"/>
              </w:rPr>
            </w:pPr>
            <w:r>
              <w:rPr>
                <w:rFonts w:hint="eastAsia"/>
                <w:bCs/>
                <w:kern w:val="0"/>
                <w:sz w:val="21"/>
                <w:szCs w:val="21"/>
              </w:rPr>
              <w:t>无色</w:t>
            </w:r>
          </w:p>
        </w:tc>
        <w:tc>
          <w:tcPr>
            <w:tcW w:w="3255" w:type="dxa"/>
            <w:vAlign w:val="center"/>
          </w:tcPr>
          <w:p>
            <w:pPr>
              <w:pStyle w:val="41"/>
              <w:rPr>
                <w:bCs/>
                <w:kern w:val="0"/>
                <w:sz w:val="21"/>
                <w:szCs w:val="21"/>
              </w:rPr>
            </w:pPr>
            <w:r>
              <w:rPr>
                <w:rFonts w:hint="eastAsia"/>
                <w:bCs/>
                <w:kern w:val="0"/>
                <w:sz w:val="21"/>
                <w:szCs w:val="21"/>
              </w:rPr>
              <w:t>无色</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2660" w:type="dxa"/>
            <w:vAlign w:val="center"/>
          </w:tcPr>
          <w:p>
            <w:pPr>
              <w:pStyle w:val="41"/>
              <w:rPr>
                <w:bCs/>
                <w:kern w:val="0"/>
                <w:sz w:val="21"/>
                <w:szCs w:val="21"/>
              </w:rPr>
            </w:pPr>
            <w:r>
              <w:rPr>
                <w:rFonts w:hint="eastAsia"/>
                <w:bCs/>
                <w:kern w:val="0"/>
                <w:sz w:val="21"/>
                <w:szCs w:val="21"/>
              </w:rPr>
              <w:t>状态</w:t>
            </w:r>
          </w:p>
        </w:tc>
        <w:tc>
          <w:tcPr>
            <w:tcW w:w="3260" w:type="dxa"/>
            <w:vAlign w:val="center"/>
          </w:tcPr>
          <w:p>
            <w:pPr>
              <w:pStyle w:val="41"/>
              <w:rPr>
                <w:bCs/>
                <w:kern w:val="0"/>
                <w:sz w:val="21"/>
                <w:szCs w:val="21"/>
              </w:rPr>
            </w:pPr>
            <w:r>
              <w:rPr>
                <w:rFonts w:hint="eastAsia"/>
                <w:bCs/>
                <w:kern w:val="0"/>
                <w:sz w:val="21"/>
                <w:szCs w:val="21"/>
              </w:rPr>
              <w:t>透明、无沉淀物和悬浮物的粘稠液体</w:t>
            </w:r>
          </w:p>
        </w:tc>
        <w:tc>
          <w:tcPr>
            <w:tcW w:w="3255" w:type="dxa"/>
            <w:vAlign w:val="center"/>
          </w:tcPr>
          <w:p>
            <w:pPr>
              <w:pStyle w:val="41"/>
              <w:rPr>
                <w:bCs/>
                <w:kern w:val="0"/>
                <w:sz w:val="21"/>
                <w:szCs w:val="21"/>
              </w:rPr>
            </w:pPr>
            <w:r>
              <w:rPr>
                <w:rFonts w:hint="eastAsia"/>
                <w:bCs/>
                <w:kern w:val="0"/>
                <w:sz w:val="21"/>
                <w:szCs w:val="21"/>
              </w:rPr>
              <w:t>透明、无沉淀物和悬浮物的粘稠液体</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660" w:type="dxa"/>
            <w:vAlign w:val="center"/>
          </w:tcPr>
          <w:p>
            <w:pPr>
              <w:pStyle w:val="41"/>
              <w:rPr>
                <w:kern w:val="0"/>
                <w:sz w:val="21"/>
                <w:szCs w:val="21"/>
              </w:rPr>
            </w:pPr>
            <w:r>
              <w:rPr>
                <w:rFonts w:hint="eastAsia"/>
                <w:kern w:val="0"/>
                <w:sz w:val="21"/>
                <w:szCs w:val="21"/>
              </w:rPr>
              <w:t>丙二醇</w:t>
            </w:r>
            <w:r>
              <w:rPr>
                <w:kern w:val="0"/>
                <w:sz w:val="21"/>
                <w:szCs w:val="21"/>
              </w:rPr>
              <w:t xml:space="preserve">含量，wt%   </w:t>
            </w:r>
            <w:r>
              <w:rPr>
                <w:rFonts w:hint="eastAsia" w:ascii="宋体" w:hAnsi="宋体"/>
                <w:sz w:val="28"/>
              </w:rPr>
              <w:t>≥</w:t>
            </w:r>
            <w:r>
              <w:rPr>
                <w:kern w:val="0"/>
                <w:sz w:val="21"/>
                <w:szCs w:val="21"/>
              </w:rPr>
              <w:t xml:space="preserve"> </w:t>
            </w:r>
          </w:p>
        </w:tc>
        <w:tc>
          <w:tcPr>
            <w:tcW w:w="3260" w:type="dxa"/>
            <w:vAlign w:val="center"/>
          </w:tcPr>
          <w:p>
            <w:pPr>
              <w:pStyle w:val="41"/>
              <w:rPr>
                <w:kern w:val="0"/>
                <w:sz w:val="21"/>
                <w:szCs w:val="21"/>
              </w:rPr>
            </w:pPr>
            <w:r>
              <w:rPr>
                <w:rFonts w:hint="eastAsia"/>
                <w:kern w:val="0"/>
                <w:sz w:val="21"/>
                <w:szCs w:val="21"/>
              </w:rPr>
              <w:t>9</w:t>
            </w:r>
            <w:r>
              <w:rPr>
                <w:kern w:val="0"/>
                <w:sz w:val="21"/>
                <w:szCs w:val="21"/>
              </w:rPr>
              <w:t>9.5</w:t>
            </w:r>
          </w:p>
        </w:tc>
        <w:tc>
          <w:tcPr>
            <w:tcW w:w="3255" w:type="dxa"/>
            <w:vAlign w:val="center"/>
          </w:tcPr>
          <w:p>
            <w:pPr>
              <w:pStyle w:val="41"/>
              <w:rPr>
                <w:kern w:val="0"/>
                <w:sz w:val="21"/>
                <w:szCs w:val="21"/>
              </w:rPr>
            </w:pPr>
            <w:r>
              <w:rPr>
                <w:rFonts w:hint="eastAsia"/>
                <w:kern w:val="0"/>
                <w:sz w:val="21"/>
                <w:szCs w:val="21"/>
              </w:rPr>
              <w:t>9</w:t>
            </w:r>
            <w:r>
              <w:rPr>
                <w:kern w:val="0"/>
                <w:sz w:val="21"/>
                <w:szCs w:val="21"/>
              </w:rPr>
              <w:t>9.5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660" w:type="dxa"/>
            <w:vAlign w:val="center"/>
          </w:tcPr>
          <w:p>
            <w:pPr>
              <w:pStyle w:val="41"/>
              <w:rPr>
                <w:kern w:val="0"/>
                <w:sz w:val="21"/>
                <w:szCs w:val="21"/>
              </w:rPr>
            </w:pPr>
            <w:r>
              <w:rPr>
                <w:rFonts w:hint="eastAsia"/>
                <w:kern w:val="0"/>
                <w:sz w:val="21"/>
                <w:szCs w:val="21"/>
              </w:rPr>
              <w:t>相对密度（2</w:t>
            </w:r>
            <w:r>
              <w:rPr>
                <w:kern w:val="0"/>
                <w:sz w:val="21"/>
                <w:szCs w:val="21"/>
              </w:rPr>
              <w:t>5</w:t>
            </w:r>
            <w:r>
              <w:rPr>
                <w:rFonts w:hint="eastAsia" w:ascii="宋体" w:hAnsi="宋体"/>
                <w:kern w:val="0"/>
                <w:sz w:val="21"/>
                <w:szCs w:val="21"/>
              </w:rPr>
              <w:t>℃</w:t>
            </w:r>
            <w:r>
              <w:rPr>
                <w:kern w:val="0"/>
                <w:sz w:val="21"/>
                <w:szCs w:val="21"/>
              </w:rPr>
              <w:t>/</w:t>
            </w:r>
            <w:r>
              <w:rPr>
                <w:rFonts w:hint="eastAsia"/>
                <w:kern w:val="0"/>
                <w:sz w:val="21"/>
                <w:szCs w:val="21"/>
              </w:rPr>
              <w:t>2</w:t>
            </w:r>
            <w:r>
              <w:rPr>
                <w:kern w:val="0"/>
                <w:sz w:val="21"/>
                <w:szCs w:val="21"/>
              </w:rPr>
              <w:t>5</w:t>
            </w:r>
            <w:r>
              <w:rPr>
                <w:rFonts w:hint="eastAsia" w:ascii="宋体" w:hAnsi="宋体"/>
                <w:kern w:val="0"/>
                <w:sz w:val="21"/>
                <w:szCs w:val="21"/>
              </w:rPr>
              <w:t>℃</w:t>
            </w:r>
            <w:r>
              <w:rPr>
                <w:rFonts w:hint="eastAsia"/>
                <w:kern w:val="0"/>
                <w:sz w:val="21"/>
                <w:szCs w:val="21"/>
              </w:rPr>
              <w:t>）</w:t>
            </w:r>
          </w:p>
        </w:tc>
        <w:tc>
          <w:tcPr>
            <w:tcW w:w="3260" w:type="dxa"/>
            <w:vAlign w:val="center"/>
          </w:tcPr>
          <w:p>
            <w:pPr>
              <w:pStyle w:val="41"/>
              <w:rPr>
                <w:kern w:val="0"/>
                <w:sz w:val="21"/>
                <w:szCs w:val="21"/>
              </w:rPr>
            </w:pPr>
            <w:r>
              <w:rPr>
                <w:rFonts w:hint="eastAsia"/>
                <w:kern w:val="0"/>
                <w:sz w:val="21"/>
                <w:szCs w:val="21"/>
              </w:rPr>
              <w:t>1</w:t>
            </w:r>
            <w:r>
              <w:rPr>
                <w:kern w:val="0"/>
                <w:sz w:val="21"/>
                <w:szCs w:val="21"/>
              </w:rPr>
              <w:t>.035~1.037</w:t>
            </w:r>
          </w:p>
        </w:tc>
        <w:tc>
          <w:tcPr>
            <w:tcW w:w="3255" w:type="dxa"/>
            <w:vAlign w:val="center"/>
          </w:tcPr>
          <w:p>
            <w:pPr>
              <w:pStyle w:val="41"/>
              <w:rPr>
                <w:kern w:val="0"/>
                <w:sz w:val="21"/>
                <w:szCs w:val="21"/>
              </w:rPr>
            </w:pPr>
            <w:r>
              <w:rPr>
                <w:rFonts w:hint="eastAsia"/>
                <w:kern w:val="0"/>
                <w:sz w:val="21"/>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660" w:type="dxa"/>
            <w:vAlign w:val="center"/>
          </w:tcPr>
          <w:p>
            <w:pPr>
              <w:pStyle w:val="41"/>
              <w:rPr>
                <w:kern w:val="0"/>
                <w:sz w:val="21"/>
                <w:szCs w:val="21"/>
              </w:rPr>
            </w:pPr>
            <w:r>
              <w:rPr>
                <w:rFonts w:hint="eastAsia"/>
                <w:kern w:val="0"/>
                <w:sz w:val="21"/>
                <w:szCs w:val="21"/>
              </w:rPr>
              <w:t>水分，w</w:t>
            </w:r>
            <w:r>
              <w:rPr>
                <w:kern w:val="0"/>
                <w:sz w:val="21"/>
                <w:szCs w:val="21"/>
              </w:rPr>
              <w:t xml:space="preserve">/%      </w:t>
            </w:r>
            <w:r>
              <w:rPr>
                <w:rFonts w:hint="eastAsia" w:ascii="宋体" w:hAnsi="宋体"/>
                <w:kern w:val="0"/>
                <w:sz w:val="21"/>
                <w:szCs w:val="21"/>
              </w:rPr>
              <w:t>≤</w:t>
            </w:r>
          </w:p>
        </w:tc>
        <w:tc>
          <w:tcPr>
            <w:tcW w:w="3260" w:type="dxa"/>
            <w:vAlign w:val="center"/>
          </w:tcPr>
          <w:p>
            <w:pPr>
              <w:pStyle w:val="41"/>
              <w:rPr>
                <w:kern w:val="0"/>
                <w:sz w:val="21"/>
                <w:szCs w:val="21"/>
              </w:rPr>
            </w:pPr>
            <w:r>
              <w:rPr>
                <w:rFonts w:hint="eastAsia"/>
                <w:kern w:val="0"/>
                <w:sz w:val="21"/>
                <w:szCs w:val="21"/>
              </w:rPr>
              <w:t>0</w:t>
            </w:r>
            <w:r>
              <w:rPr>
                <w:kern w:val="0"/>
                <w:sz w:val="21"/>
                <w:szCs w:val="21"/>
              </w:rPr>
              <w:t>.2</w:t>
            </w:r>
          </w:p>
        </w:tc>
        <w:tc>
          <w:tcPr>
            <w:tcW w:w="3255" w:type="dxa"/>
            <w:vAlign w:val="center"/>
          </w:tcPr>
          <w:p>
            <w:pPr>
              <w:pStyle w:val="41"/>
              <w:rPr>
                <w:kern w:val="0"/>
                <w:sz w:val="21"/>
                <w:szCs w:val="21"/>
              </w:rPr>
            </w:pPr>
            <w:r>
              <w:rPr>
                <w:rFonts w:hint="eastAsia"/>
                <w:kern w:val="0"/>
                <w:sz w:val="21"/>
                <w:szCs w:val="21"/>
              </w:rPr>
              <w:t>/</w:t>
            </w:r>
          </w:p>
        </w:tc>
      </w:tr>
    </w:tbl>
    <w:p>
      <w:pPr>
        <w:pStyle w:val="32"/>
        <w:ind w:firstLine="560"/>
        <w:rPr>
          <w:rFonts w:eastAsia="宋体"/>
          <w:b w:val="0"/>
          <w:sz w:val="28"/>
          <w:szCs w:val="24"/>
        </w:rPr>
      </w:pPr>
      <w:r>
        <w:rPr>
          <w:rFonts w:hint="eastAsia" w:eastAsia="宋体"/>
          <w:b w:val="0"/>
          <w:sz w:val="28"/>
          <w:szCs w:val="24"/>
        </w:rPr>
        <w:t>③其他</w:t>
      </w:r>
    </w:p>
    <w:p>
      <w:pPr>
        <w:pStyle w:val="32"/>
        <w:ind w:firstLine="560"/>
        <w:rPr>
          <w:rFonts w:eastAsia="宋体"/>
          <w:b w:val="0"/>
          <w:sz w:val="28"/>
          <w:szCs w:val="24"/>
        </w:rPr>
      </w:pPr>
      <w:r>
        <w:rPr>
          <w:rFonts w:hint="eastAsia" w:eastAsia="宋体"/>
          <w:b w:val="0"/>
          <w:sz w:val="28"/>
          <w:szCs w:val="24"/>
        </w:rPr>
        <w:t>根据中试项目设计资料，乙二醇精馏系统会产生轻馏分和重组分物质，其物料组成见表3</w:t>
      </w:r>
      <w:r>
        <w:rPr>
          <w:rFonts w:eastAsia="宋体"/>
          <w:b w:val="0"/>
          <w:sz w:val="28"/>
          <w:szCs w:val="24"/>
        </w:rPr>
        <w:t>.2</w:t>
      </w:r>
      <w:r>
        <w:rPr>
          <w:rFonts w:hint="eastAsia" w:eastAsia="宋体"/>
          <w:b w:val="0"/>
          <w:sz w:val="28"/>
          <w:szCs w:val="24"/>
        </w:rPr>
        <w:t>-</w:t>
      </w:r>
      <w:r>
        <w:rPr>
          <w:rFonts w:eastAsia="宋体"/>
          <w:b w:val="0"/>
          <w:sz w:val="28"/>
          <w:szCs w:val="24"/>
        </w:rPr>
        <w:t>6</w:t>
      </w:r>
      <w:r>
        <w:rPr>
          <w:rFonts w:hint="eastAsia" w:eastAsia="宋体"/>
          <w:b w:val="0"/>
          <w:sz w:val="28"/>
          <w:szCs w:val="24"/>
        </w:rPr>
        <w:t>，项目轻馏分和重组分产品可作为混合醇外售。</w:t>
      </w:r>
    </w:p>
    <w:p>
      <w:pPr>
        <w:pStyle w:val="32"/>
        <w:ind w:left="851" w:firstLine="0" w:firstLineChars="0"/>
      </w:pPr>
      <w:r>
        <w:t xml:space="preserve">表3.2-6              </w:t>
      </w:r>
      <w:r>
        <w:rPr>
          <w:rFonts w:hint="eastAsia"/>
        </w:rPr>
        <w:t>其他产品物料组成</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59"/>
        <w:gridCol w:w="1276"/>
        <w:gridCol w:w="6940"/>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959" w:type="dxa"/>
            <w:vAlign w:val="center"/>
          </w:tcPr>
          <w:p>
            <w:pPr>
              <w:pStyle w:val="41"/>
              <w:spacing w:line="240" w:lineRule="auto"/>
              <w:rPr>
                <w:b/>
                <w:kern w:val="0"/>
                <w:sz w:val="21"/>
                <w:szCs w:val="21"/>
              </w:rPr>
            </w:pPr>
            <w:r>
              <w:rPr>
                <w:rFonts w:hint="eastAsia"/>
                <w:b/>
                <w:kern w:val="0"/>
                <w:sz w:val="21"/>
                <w:szCs w:val="21"/>
              </w:rPr>
              <w:t>序号</w:t>
            </w:r>
          </w:p>
        </w:tc>
        <w:tc>
          <w:tcPr>
            <w:tcW w:w="1276" w:type="dxa"/>
            <w:vAlign w:val="center"/>
          </w:tcPr>
          <w:p>
            <w:pPr>
              <w:pStyle w:val="41"/>
              <w:spacing w:line="240" w:lineRule="auto"/>
              <w:rPr>
                <w:b/>
                <w:sz w:val="21"/>
                <w:szCs w:val="21"/>
              </w:rPr>
            </w:pPr>
            <w:r>
              <w:rPr>
                <w:b/>
                <w:kern w:val="0"/>
                <w:sz w:val="21"/>
                <w:szCs w:val="21"/>
              </w:rPr>
              <w:t>项目</w:t>
            </w:r>
          </w:p>
        </w:tc>
        <w:tc>
          <w:tcPr>
            <w:tcW w:w="6940" w:type="dxa"/>
            <w:vAlign w:val="center"/>
          </w:tcPr>
          <w:p>
            <w:pPr>
              <w:pStyle w:val="41"/>
              <w:spacing w:line="240" w:lineRule="auto"/>
              <w:rPr>
                <w:b/>
                <w:kern w:val="0"/>
                <w:sz w:val="21"/>
                <w:szCs w:val="21"/>
              </w:rPr>
            </w:pPr>
            <w:r>
              <w:rPr>
                <w:rFonts w:hint="eastAsia"/>
                <w:b/>
                <w:kern w:val="0"/>
                <w:sz w:val="21"/>
                <w:szCs w:val="21"/>
              </w:rPr>
              <w:t>物料组成</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959" w:type="dxa"/>
            <w:vAlign w:val="center"/>
          </w:tcPr>
          <w:p>
            <w:pPr>
              <w:pStyle w:val="41"/>
              <w:spacing w:line="240" w:lineRule="auto"/>
              <w:rPr>
                <w:bCs/>
                <w:kern w:val="0"/>
                <w:sz w:val="21"/>
                <w:szCs w:val="21"/>
              </w:rPr>
            </w:pPr>
            <w:r>
              <w:rPr>
                <w:rFonts w:hint="eastAsia"/>
                <w:bCs/>
                <w:kern w:val="0"/>
                <w:sz w:val="21"/>
                <w:szCs w:val="21"/>
              </w:rPr>
              <w:t>1</w:t>
            </w:r>
          </w:p>
        </w:tc>
        <w:tc>
          <w:tcPr>
            <w:tcW w:w="1276" w:type="dxa"/>
            <w:vAlign w:val="center"/>
          </w:tcPr>
          <w:p>
            <w:pPr>
              <w:pStyle w:val="41"/>
              <w:spacing w:line="240" w:lineRule="auto"/>
              <w:rPr>
                <w:bCs/>
                <w:kern w:val="0"/>
                <w:sz w:val="21"/>
                <w:szCs w:val="21"/>
              </w:rPr>
            </w:pPr>
            <w:r>
              <w:rPr>
                <w:bCs/>
                <w:kern w:val="0"/>
                <w:sz w:val="21"/>
                <w:szCs w:val="21"/>
              </w:rPr>
              <w:t>轻馏分</w:t>
            </w:r>
          </w:p>
        </w:tc>
        <w:tc>
          <w:tcPr>
            <w:tcW w:w="6940" w:type="dxa"/>
            <w:vAlign w:val="center"/>
          </w:tcPr>
          <w:p>
            <w:pPr>
              <w:autoSpaceDE w:val="0"/>
              <w:autoSpaceDN w:val="0"/>
              <w:adjustRightInd w:val="0"/>
              <w:jc w:val="left"/>
              <w:rPr>
                <w:rFonts w:ascii="Times New Roman" w:hAnsi="Times New Roman"/>
                <w:bCs/>
                <w:kern w:val="0"/>
                <w:szCs w:val="21"/>
              </w:rPr>
            </w:pPr>
            <w:r>
              <w:rPr>
                <w:rFonts w:ascii="Times New Roman" w:hAnsi="Times New Roman"/>
                <w:bCs/>
                <w:kern w:val="0"/>
                <w:szCs w:val="21"/>
              </w:rPr>
              <w:t>乙二醇 ~62.6wt%、丙二醇 ~0.6wt%、丁二醇 ~27.9wt%、其余 ~8.9wt%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8" w:hRule="atLeast"/>
          <w:jc w:val="center"/>
        </w:trPr>
        <w:tc>
          <w:tcPr>
            <w:tcW w:w="959" w:type="dxa"/>
            <w:vAlign w:val="center"/>
          </w:tcPr>
          <w:p>
            <w:pPr>
              <w:pStyle w:val="41"/>
              <w:spacing w:line="240" w:lineRule="auto"/>
              <w:rPr>
                <w:bCs/>
                <w:kern w:val="0"/>
                <w:sz w:val="21"/>
                <w:szCs w:val="21"/>
              </w:rPr>
            </w:pPr>
            <w:r>
              <w:rPr>
                <w:rFonts w:hint="eastAsia"/>
                <w:bCs/>
                <w:kern w:val="0"/>
                <w:sz w:val="21"/>
                <w:szCs w:val="21"/>
              </w:rPr>
              <w:t>2</w:t>
            </w:r>
          </w:p>
        </w:tc>
        <w:tc>
          <w:tcPr>
            <w:tcW w:w="1276" w:type="dxa"/>
            <w:vAlign w:val="center"/>
          </w:tcPr>
          <w:p>
            <w:pPr>
              <w:pStyle w:val="41"/>
              <w:spacing w:line="240" w:lineRule="auto"/>
              <w:rPr>
                <w:bCs/>
                <w:kern w:val="0"/>
                <w:sz w:val="21"/>
                <w:szCs w:val="21"/>
              </w:rPr>
            </w:pPr>
            <w:r>
              <w:rPr>
                <w:bCs/>
                <w:kern w:val="0"/>
                <w:sz w:val="21"/>
                <w:szCs w:val="21"/>
              </w:rPr>
              <w:t>重组分</w:t>
            </w:r>
          </w:p>
        </w:tc>
        <w:tc>
          <w:tcPr>
            <w:tcW w:w="6940" w:type="dxa"/>
            <w:vAlign w:val="center"/>
          </w:tcPr>
          <w:p>
            <w:pPr>
              <w:autoSpaceDE w:val="0"/>
              <w:autoSpaceDN w:val="0"/>
              <w:adjustRightInd w:val="0"/>
              <w:jc w:val="left"/>
              <w:rPr>
                <w:rFonts w:ascii="Times New Roman" w:hAnsi="Times New Roman"/>
                <w:bCs/>
                <w:kern w:val="0"/>
                <w:szCs w:val="21"/>
              </w:rPr>
            </w:pPr>
            <w:r>
              <w:rPr>
                <w:rFonts w:ascii="Times New Roman" w:hAnsi="Times New Roman"/>
                <w:bCs/>
                <w:kern w:val="0"/>
                <w:szCs w:val="21"/>
              </w:rPr>
              <w:t>乙二醇</w:t>
            </w:r>
            <w:r>
              <w:rPr>
                <w:rFonts w:hint="eastAsia" w:ascii="Times New Roman" w:hAnsi="Times New Roman"/>
                <w:bCs/>
                <w:kern w:val="0"/>
                <w:szCs w:val="21"/>
              </w:rPr>
              <w:t xml:space="preserve"> </w:t>
            </w:r>
            <w:r>
              <w:rPr>
                <w:rFonts w:ascii="Times New Roman" w:hAnsi="Times New Roman"/>
                <w:bCs/>
                <w:kern w:val="0"/>
                <w:szCs w:val="21"/>
              </w:rPr>
              <w:t>~14 wt%、丁二醇 ~0.2wt%、甘油 ~35.2wt%、二甘醇 ~33.6wt%、其余 ~17wt%</w:t>
            </w:r>
          </w:p>
        </w:tc>
      </w:tr>
    </w:tbl>
    <w:p>
      <w:pPr>
        <w:pStyle w:val="5"/>
        <w:spacing w:before="0" w:after="0" w:line="520" w:lineRule="exact"/>
        <w:rPr>
          <w:rFonts w:ascii="Times New Roman" w:hAnsi="Times New Roman"/>
        </w:rPr>
      </w:pPr>
      <w:r>
        <w:rPr>
          <w:rFonts w:ascii="Times New Roman" w:hAnsi="Times New Roman" w:eastAsia="楷体_GB2312"/>
          <w:sz w:val="28"/>
          <w:szCs w:val="28"/>
          <w:lang w:val="en-US" w:eastAsia="zh-CN"/>
        </w:rPr>
        <w:t>3.2.5  原辅材料及动力消耗</w:t>
      </w:r>
      <w:bookmarkEnd w:id="60"/>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装置主要原料是秸秆糖水溶液和氢气。</w:t>
      </w:r>
      <w:r>
        <w:rPr>
          <w:rFonts w:ascii="Times New Roman" w:hAnsi="Times New Roman"/>
          <w:kern w:val="0"/>
          <w:sz w:val="28"/>
          <w:szCs w:val="28"/>
        </w:rPr>
        <w:t>秸秆糖溶液外购，以小桶分装形式运输到现场，浓度在70wt.%左右，需用脱盐水在糖溶液配制罐中稀释到30wt.%浓度备用；H</w:t>
      </w:r>
      <w:r>
        <w:rPr>
          <w:rFonts w:ascii="Times New Roman" w:hAnsi="Times New Roman"/>
          <w:kern w:val="0"/>
          <w:sz w:val="28"/>
          <w:szCs w:val="28"/>
          <w:vertAlign w:val="subscript"/>
        </w:rPr>
        <w:t>2</w:t>
      </w:r>
      <w:r>
        <w:rPr>
          <w:rFonts w:ascii="Times New Roman" w:hAnsi="Times New Roman"/>
          <w:kern w:val="0"/>
          <w:sz w:val="28"/>
          <w:szCs w:val="28"/>
        </w:rPr>
        <w:t>原料气来自厂区煤化工</w:t>
      </w:r>
      <w:r>
        <w:rPr>
          <w:rFonts w:hint="eastAsia" w:ascii="Times New Roman" w:hAnsi="Times New Roman"/>
          <w:kern w:val="0"/>
          <w:sz w:val="28"/>
          <w:szCs w:val="28"/>
        </w:rPr>
        <w:t>厂区现有</w:t>
      </w:r>
      <w:r>
        <w:rPr>
          <w:rFonts w:ascii="Times New Roman" w:hAnsi="Times New Roman"/>
          <w:kern w:val="0"/>
          <w:sz w:val="28"/>
          <w:szCs w:val="28"/>
        </w:rPr>
        <w:t>装置，采用管道输送，新设氢气压缩机增压。</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动力消耗主要有电、蒸汽、循环水、仪表空气、脱盐水，均依托煤化工厂区现有动力供应系统。</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项目主要原辅料及动力消耗情况见表3.2-7。</w:t>
      </w:r>
    </w:p>
    <w:p>
      <w:pPr>
        <w:pStyle w:val="32"/>
        <w:ind w:left="851" w:firstLine="0" w:firstLineChars="0"/>
      </w:pPr>
      <w:r>
        <w:t>表3.2-7           项目原辅料</w:t>
      </w:r>
      <w:r>
        <w:rPr>
          <w:rFonts w:hint="eastAsia"/>
        </w:rPr>
        <w:t>及动力</w:t>
      </w:r>
      <w:r>
        <w:t>消耗情况一览表</w:t>
      </w:r>
    </w:p>
    <w:p>
      <w:pPr>
        <w:pStyle w:val="32"/>
        <w:ind w:left="851" w:firstLine="0" w:firstLineChars="0"/>
        <w:rPr>
          <w:rFonts w:hint="eastAsia" w:eastAsia="黑体"/>
          <w:lang w:eastAsia="zh-CN"/>
        </w:rPr>
      </w:pPr>
      <w:r>
        <w:rPr>
          <w:rFonts w:hint="eastAsia"/>
          <w:lang w:eastAsia="zh-CN"/>
        </w:rPr>
        <w:t>（涉及商业机密未列出）</w:t>
      </w:r>
    </w:p>
    <w:p>
      <w:pPr>
        <w:pStyle w:val="5"/>
        <w:spacing w:before="0" w:after="0" w:line="520" w:lineRule="exact"/>
        <w:rPr>
          <w:rFonts w:ascii="Times New Roman" w:hAnsi="Times New Roman" w:eastAsia="楷体_GB2312"/>
          <w:sz w:val="28"/>
          <w:szCs w:val="28"/>
          <w:lang w:val="en-US" w:eastAsia="zh-CN"/>
        </w:rPr>
      </w:pPr>
      <w:bookmarkStart w:id="61" w:name="_Toc439060536"/>
      <w:r>
        <w:rPr>
          <w:rFonts w:ascii="Times New Roman" w:hAnsi="Times New Roman" w:eastAsia="楷体_GB2312"/>
          <w:sz w:val="28"/>
          <w:szCs w:val="28"/>
          <w:lang w:val="en-US" w:eastAsia="zh-CN"/>
        </w:rPr>
        <w:t>3.2.6  主要设备</w:t>
      </w:r>
      <w:bookmarkEnd w:id="61"/>
    </w:p>
    <w:p>
      <w:pPr>
        <w:pStyle w:val="32"/>
        <w:ind w:left="851" w:firstLine="0" w:firstLineChars="0"/>
        <w:rPr>
          <w:rFonts w:ascii="Times New Roman" w:hAnsi="Times New Roman"/>
          <w:kern w:val="0"/>
          <w:sz w:val="28"/>
          <w:szCs w:val="28"/>
        </w:rPr>
      </w:pPr>
      <w:r>
        <w:rPr>
          <w:rFonts w:hint="eastAsia"/>
          <w:lang w:eastAsia="zh-CN"/>
        </w:rPr>
        <w:t>（涉及商业机密部分未列出）</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本项目主要是利用秸秆糖等生物质原料，通过催化反应转化制成乙二醇等化工产品；项目主要装置为乙二醇合成/乙二醇精馏联合装置，主要非标设备共30台，其中反应器1台、塔器5台、容器13台、换热器11台</w:t>
      </w:r>
      <w:r>
        <w:rPr>
          <w:rFonts w:hint="eastAsia" w:ascii="Times New Roman" w:hAnsi="Times New Roman"/>
          <w:kern w:val="0"/>
          <w:sz w:val="28"/>
          <w:szCs w:val="28"/>
        </w:rPr>
        <w:t>；</w:t>
      </w:r>
      <w:r>
        <w:rPr>
          <w:rFonts w:ascii="Times New Roman" w:hAnsi="Times New Roman"/>
          <w:kern w:val="0"/>
          <w:sz w:val="28"/>
          <w:szCs w:val="28"/>
        </w:rPr>
        <w:t>机械动力设备主要有离心泵、往复泵、屏蔽泵、真空系统、搅拌装置、隔膜压缩机等类型的设备，</w:t>
      </w:r>
      <w:r>
        <w:rPr>
          <w:rFonts w:hint="eastAsia" w:ascii="Times New Roman" w:hAnsi="Times New Roman"/>
          <w:kern w:val="0"/>
          <w:sz w:val="28"/>
          <w:szCs w:val="28"/>
        </w:rPr>
        <w:t>其中</w:t>
      </w:r>
      <w:r>
        <w:rPr>
          <w:rFonts w:ascii="Times New Roman" w:hAnsi="Times New Roman"/>
          <w:kern w:val="0"/>
          <w:sz w:val="28"/>
          <w:szCs w:val="28"/>
        </w:rPr>
        <w:t>泵20台、真空系统4套、搅拌装置3套、隔膜压缩机1台。</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sz w:val="28"/>
          <w:szCs w:val="28"/>
        </w:rPr>
        <w:t>装置主要生产设备见表3.2-8。</w:t>
      </w:r>
    </w:p>
    <w:p>
      <w:pPr>
        <w:pStyle w:val="32"/>
        <w:ind w:left="851" w:firstLine="0" w:firstLineChars="0"/>
      </w:pPr>
      <w:r>
        <w:t>表3.2-8              项目主要生产设备一览表</w:t>
      </w:r>
    </w:p>
    <w:p>
      <w:pPr>
        <w:pStyle w:val="32"/>
        <w:ind w:left="0" w:firstLine="482" w:firstLineChars="200"/>
        <w:rPr>
          <w:rFonts w:hint="eastAsia" w:eastAsia="黑体"/>
          <w:lang w:eastAsia="zh-CN"/>
        </w:rPr>
      </w:pPr>
      <w:r>
        <w:rPr>
          <w:rFonts w:hint="eastAsia"/>
          <w:lang w:eastAsia="zh-CN"/>
        </w:rPr>
        <w:t>（涉及商业机密未列出）</w:t>
      </w:r>
    </w:p>
    <w:p>
      <w:pPr>
        <w:pStyle w:val="32"/>
        <w:ind w:left="851" w:firstLine="0" w:firstLineChars="0"/>
      </w:pPr>
    </w:p>
    <w:p>
      <w:pPr>
        <w:pStyle w:val="5"/>
        <w:spacing w:before="0" w:after="0" w:line="520" w:lineRule="exact"/>
        <w:rPr>
          <w:rFonts w:ascii="Times New Roman" w:hAnsi="Times New Roman" w:eastAsia="楷体_GB2312"/>
          <w:sz w:val="28"/>
          <w:szCs w:val="28"/>
          <w:lang w:val="en-US" w:eastAsia="zh-CN"/>
        </w:rPr>
      </w:pPr>
      <w:bookmarkStart w:id="62" w:name="_Toc439060537"/>
      <w:r>
        <w:rPr>
          <w:rFonts w:ascii="Times New Roman" w:hAnsi="Times New Roman" w:eastAsia="楷体_GB2312"/>
          <w:sz w:val="28"/>
          <w:szCs w:val="28"/>
          <w:lang w:val="en-US" w:eastAsia="zh-CN"/>
        </w:rPr>
        <w:t xml:space="preserve">3.2.7 </w:t>
      </w:r>
      <w:bookmarkEnd w:id="62"/>
      <w:bookmarkStart w:id="63" w:name="_Toc439060538"/>
      <w:r>
        <w:rPr>
          <w:rFonts w:ascii="Times New Roman" w:hAnsi="Times New Roman" w:eastAsia="楷体_GB2312"/>
          <w:sz w:val="28"/>
          <w:szCs w:val="28"/>
          <w:lang w:val="en-US" w:eastAsia="zh-CN"/>
        </w:rPr>
        <w:t xml:space="preserve"> 平面布置</w:t>
      </w:r>
      <w:bookmarkEnd w:id="63"/>
    </w:p>
    <w:p>
      <w:pPr>
        <w:pStyle w:val="32"/>
        <w:ind w:left="0" w:firstLine="482" w:firstLineChars="200"/>
        <w:rPr>
          <w:lang w:val="en-US" w:eastAsia="zh-CN"/>
        </w:rPr>
      </w:pPr>
      <w:r>
        <w:rPr>
          <w:rFonts w:hint="eastAsia"/>
          <w:lang w:eastAsia="zh-CN"/>
        </w:rPr>
        <w:t>（涉及商业机密未列出）</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本工程装置主要包括乙二醇合成和乙二醇精馏，公辅装置均依托原厂现有设施。</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在满足生产工艺的前提下，力求厂房联合，装置集中，管线短捷，道路顺直，物流顺畅，平面布置紧凑合理，以节约用地。</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考虑运输及依托老厂的原则，本工程布置在现有MMA中试装置南侧预留地内，占地约40m</w:t>
      </w:r>
      <w:r>
        <w:rPr>
          <w:rFonts w:ascii="Times New Roman" w:hAnsi="Times New Roman" w:eastAsia="微软雅黑"/>
          <w:sz w:val="28"/>
          <w:szCs w:val="28"/>
          <w:shd w:val="clear" w:color="auto" w:fill="FFFFFF"/>
        </w:rPr>
        <w:t>×</w:t>
      </w:r>
      <w:r>
        <w:rPr>
          <w:rFonts w:ascii="Times New Roman" w:hAnsi="Times New Roman"/>
          <w:kern w:val="0"/>
          <w:sz w:val="28"/>
          <w:szCs w:val="28"/>
        </w:rPr>
        <w:t>65m。乙二醇合成/乙二醇精馏合并集中布置，靠近MMA中试装置，其东侧区域作为装置预留用地，满足下一步的整改和优化工作。</w:t>
      </w:r>
    </w:p>
    <w:p>
      <w:pPr>
        <w:pStyle w:val="27"/>
        <w:ind w:firstLine="560"/>
      </w:pPr>
      <w:r>
        <w:t>项目平面布置图见附图4。</w:t>
      </w:r>
    </w:p>
    <w:p>
      <w:pPr>
        <w:spacing w:line="520" w:lineRule="exact"/>
        <w:ind w:firstLine="560" w:firstLineChars="200"/>
        <w:rPr>
          <w:rStyle w:val="46"/>
          <w:rFonts w:ascii="Times New Roman" w:hAnsi="Times New Roman" w:cs="Times New Roman" w:eastAsiaTheme="minorEastAsia"/>
          <w:color w:val="auto"/>
          <w:sz w:val="28"/>
          <w:szCs w:val="28"/>
          <w:lang w:eastAsia="zh-CN"/>
        </w:rPr>
      </w:pPr>
      <w:r>
        <w:rPr>
          <w:rFonts w:ascii="Times New Roman" w:hAnsi="Times New Roman" w:eastAsiaTheme="minorEastAsia"/>
          <w:sz w:val="28"/>
          <w:szCs w:val="28"/>
          <w:lang w:val="zh-TW"/>
        </w:rPr>
        <w:t>用地内总平面布置的主要技术经济指标见表3.2-</w:t>
      </w:r>
      <w:r>
        <w:rPr>
          <w:rFonts w:ascii="Times New Roman" w:hAnsi="Times New Roman" w:eastAsia="PMingLiU"/>
          <w:sz w:val="28"/>
          <w:szCs w:val="28"/>
          <w:lang w:val="zh-TW" w:eastAsia="zh-TW"/>
        </w:rPr>
        <w:t>9</w:t>
      </w:r>
      <w:r>
        <w:rPr>
          <w:rFonts w:ascii="Times New Roman" w:hAnsi="Times New Roman" w:eastAsiaTheme="minorEastAsia"/>
          <w:sz w:val="28"/>
          <w:szCs w:val="28"/>
          <w:lang w:val="zh-TW"/>
        </w:rPr>
        <w:t>。</w:t>
      </w:r>
    </w:p>
    <w:p>
      <w:pPr>
        <w:pStyle w:val="32"/>
        <w:ind w:firstLine="679" w:firstLineChars="282"/>
      </w:pPr>
      <w:r>
        <w:t>表3.2-9              项目平面布置主要技术经济指标一览表</w:t>
      </w:r>
    </w:p>
    <w:tbl>
      <w:tblPr>
        <w:tblStyle w:val="22"/>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72"/>
        <w:gridCol w:w="3599"/>
        <w:gridCol w:w="2436"/>
        <w:gridCol w:w="18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59"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序号</w:t>
            </w:r>
          </w:p>
        </w:tc>
        <w:tc>
          <w:tcPr>
            <w:tcW w:w="2711"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名称</w:t>
            </w:r>
          </w:p>
        </w:tc>
        <w:tc>
          <w:tcPr>
            <w:tcW w:w="1835"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单位</w:t>
            </w:r>
          </w:p>
        </w:tc>
        <w:tc>
          <w:tcPr>
            <w:tcW w:w="1407"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数量</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59"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w:t>
            </w:r>
          </w:p>
        </w:tc>
        <w:tc>
          <w:tcPr>
            <w:tcW w:w="2711" w:type="dxa"/>
            <w:vAlign w:val="center"/>
          </w:tcPr>
          <w:p>
            <w:pPr>
              <w:pStyle w:val="32"/>
              <w:spacing w:line="240" w:lineRule="auto"/>
              <w:ind w:firstLine="0" w:firstLineChars="0"/>
              <w:jc w:val="center"/>
              <w:rPr>
                <w:rFonts w:eastAsia="宋体"/>
                <w:b w:val="0"/>
                <w:bCs/>
                <w:sz w:val="21"/>
                <w:szCs w:val="21"/>
              </w:rPr>
            </w:pPr>
            <w:r>
              <w:rPr>
                <w:rFonts w:eastAsia="宋体"/>
                <w:b w:val="0"/>
                <w:bCs/>
                <w:kern w:val="0"/>
                <w:sz w:val="21"/>
                <w:szCs w:val="21"/>
              </w:rPr>
              <w:t>本工程用地面积</w:t>
            </w:r>
          </w:p>
        </w:tc>
        <w:tc>
          <w:tcPr>
            <w:tcW w:w="1835"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m</w:t>
            </w:r>
            <w:r>
              <w:rPr>
                <w:rStyle w:val="49"/>
                <w:rFonts w:ascii="Times New Roman" w:hAnsi="Times New Roman" w:eastAsia="宋体" w:cs="Times New Roman"/>
                <w:b w:val="0"/>
                <w:bCs/>
                <w:color w:val="auto"/>
                <w:sz w:val="21"/>
                <w:szCs w:val="21"/>
                <w:vertAlign w:val="superscript"/>
              </w:rPr>
              <w:t>2</w:t>
            </w:r>
          </w:p>
        </w:tc>
        <w:tc>
          <w:tcPr>
            <w:tcW w:w="1407"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2600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59"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2</w:t>
            </w:r>
          </w:p>
        </w:tc>
        <w:tc>
          <w:tcPr>
            <w:tcW w:w="2711" w:type="dxa"/>
            <w:vAlign w:val="center"/>
          </w:tcPr>
          <w:p>
            <w:pPr>
              <w:pStyle w:val="32"/>
              <w:spacing w:line="240" w:lineRule="auto"/>
              <w:ind w:firstLine="0" w:firstLineChars="0"/>
              <w:jc w:val="center"/>
              <w:rPr>
                <w:rFonts w:eastAsia="宋体"/>
                <w:b w:val="0"/>
                <w:bCs/>
                <w:sz w:val="21"/>
                <w:szCs w:val="21"/>
              </w:rPr>
            </w:pPr>
            <w:r>
              <w:rPr>
                <w:rFonts w:eastAsia="宋体"/>
                <w:b w:val="0"/>
                <w:bCs/>
                <w:kern w:val="0"/>
                <w:sz w:val="21"/>
                <w:szCs w:val="21"/>
              </w:rPr>
              <w:t>建、构筑物占地面</w:t>
            </w:r>
          </w:p>
        </w:tc>
        <w:tc>
          <w:tcPr>
            <w:tcW w:w="1835"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m</w:t>
            </w:r>
            <w:r>
              <w:rPr>
                <w:rStyle w:val="49"/>
                <w:rFonts w:ascii="Times New Roman" w:hAnsi="Times New Roman" w:eastAsia="宋体" w:cs="Times New Roman"/>
                <w:b w:val="0"/>
                <w:bCs/>
                <w:color w:val="auto"/>
                <w:sz w:val="21"/>
                <w:szCs w:val="21"/>
                <w:vertAlign w:val="superscript"/>
              </w:rPr>
              <w:t>2</w:t>
            </w:r>
          </w:p>
        </w:tc>
        <w:tc>
          <w:tcPr>
            <w:tcW w:w="1407"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510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59"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3</w:t>
            </w:r>
          </w:p>
        </w:tc>
        <w:tc>
          <w:tcPr>
            <w:tcW w:w="2711" w:type="dxa"/>
            <w:vAlign w:val="center"/>
          </w:tcPr>
          <w:p>
            <w:pPr>
              <w:pStyle w:val="32"/>
              <w:spacing w:line="240" w:lineRule="auto"/>
              <w:ind w:firstLine="0" w:firstLineChars="0"/>
              <w:jc w:val="center"/>
              <w:rPr>
                <w:rFonts w:eastAsia="宋体"/>
                <w:b w:val="0"/>
                <w:bCs/>
                <w:sz w:val="21"/>
                <w:szCs w:val="21"/>
              </w:rPr>
            </w:pPr>
            <w:r>
              <w:rPr>
                <w:rFonts w:eastAsia="宋体"/>
                <w:b w:val="0"/>
                <w:bCs/>
                <w:kern w:val="0"/>
                <w:sz w:val="21"/>
                <w:szCs w:val="21"/>
              </w:rPr>
              <w:t>道路及地坪占地面</w:t>
            </w:r>
          </w:p>
        </w:tc>
        <w:tc>
          <w:tcPr>
            <w:tcW w:w="1835"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m</w:t>
            </w:r>
            <w:r>
              <w:rPr>
                <w:rStyle w:val="49"/>
                <w:rFonts w:ascii="Times New Roman" w:hAnsi="Times New Roman" w:eastAsia="宋体" w:cs="Times New Roman"/>
                <w:b w:val="0"/>
                <w:bCs/>
                <w:color w:val="auto"/>
                <w:sz w:val="21"/>
                <w:szCs w:val="21"/>
                <w:vertAlign w:val="superscript"/>
              </w:rPr>
              <w:t>2</w:t>
            </w:r>
          </w:p>
        </w:tc>
        <w:tc>
          <w:tcPr>
            <w:tcW w:w="1407"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2200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59"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4</w:t>
            </w:r>
          </w:p>
        </w:tc>
        <w:tc>
          <w:tcPr>
            <w:tcW w:w="2711" w:type="dxa"/>
            <w:vAlign w:val="center"/>
          </w:tcPr>
          <w:p>
            <w:pPr>
              <w:pStyle w:val="32"/>
              <w:spacing w:line="240" w:lineRule="auto"/>
              <w:ind w:firstLine="0" w:firstLineChars="0"/>
              <w:jc w:val="center"/>
              <w:rPr>
                <w:rFonts w:eastAsia="宋体"/>
                <w:b w:val="0"/>
                <w:bCs/>
                <w:sz w:val="21"/>
                <w:szCs w:val="21"/>
              </w:rPr>
            </w:pPr>
            <w:r>
              <w:rPr>
                <w:rFonts w:eastAsia="宋体"/>
                <w:b w:val="0"/>
                <w:bCs/>
                <w:kern w:val="0"/>
                <w:sz w:val="21"/>
                <w:szCs w:val="21"/>
              </w:rPr>
              <w:t>碎石铺砌面积</w:t>
            </w:r>
          </w:p>
        </w:tc>
        <w:tc>
          <w:tcPr>
            <w:tcW w:w="1835"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m</w:t>
            </w:r>
            <w:r>
              <w:rPr>
                <w:rStyle w:val="49"/>
                <w:rFonts w:ascii="Times New Roman" w:hAnsi="Times New Roman" w:eastAsia="宋体" w:cs="Times New Roman"/>
                <w:b w:val="0"/>
                <w:bCs/>
                <w:color w:val="auto"/>
                <w:sz w:val="21"/>
                <w:szCs w:val="21"/>
                <w:vertAlign w:val="superscript"/>
              </w:rPr>
              <w:t>2</w:t>
            </w:r>
          </w:p>
        </w:tc>
        <w:tc>
          <w:tcPr>
            <w:tcW w:w="1407" w:type="dxa"/>
            <w:vAlign w:val="center"/>
          </w:tcPr>
          <w:p>
            <w:pPr>
              <w:pStyle w:val="32"/>
              <w:spacing w:line="240" w:lineRule="auto"/>
              <w:ind w:firstLine="0" w:firstLineChars="0"/>
              <w:jc w:val="center"/>
              <w:rPr>
                <w:rFonts w:eastAsia="宋体"/>
                <w:b w:val="0"/>
                <w:bCs/>
                <w:sz w:val="21"/>
                <w:szCs w:val="21"/>
              </w:rPr>
            </w:pPr>
            <w:r>
              <w:rPr>
                <w:rStyle w:val="49"/>
                <w:rFonts w:ascii="Times New Roman" w:hAnsi="Times New Roman" w:eastAsia="宋体" w:cs="Times New Roman"/>
                <w:b w:val="0"/>
                <w:bCs/>
                <w:color w:val="auto"/>
                <w:sz w:val="21"/>
                <w:szCs w:val="21"/>
              </w:rPr>
              <w:t>500</w:t>
            </w:r>
          </w:p>
        </w:tc>
      </w:tr>
    </w:tbl>
    <w:p>
      <w:pPr>
        <w:pStyle w:val="5"/>
        <w:spacing w:before="0" w:after="0" w:line="520" w:lineRule="exact"/>
        <w:rPr>
          <w:rFonts w:ascii="Times New Roman" w:hAnsi="Times New Roman" w:eastAsia="楷体_GB2312"/>
          <w:sz w:val="28"/>
          <w:szCs w:val="28"/>
          <w:lang w:val="en-US" w:eastAsia="zh-CN"/>
        </w:rPr>
      </w:pPr>
      <w:bookmarkStart w:id="64" w:name="_Toc439060539"/>
      <w:r>
        <w:rPr>
          <w:rFonts w:ascii="Times New Roman" w:hAnsi="Times New Roman" w:eastAsia="楷体_GB2312"/>
          <w:sz w:val="28"/>
          <w:szCs w:val="28"/>
          <w:lang w:val="en-US" w:eastAsia="zh-CN"/>
        </w:rPr>
        <w:t>3.2.8  公辅工程</w:t>
      </w:r>
      <w:bookmarkEnd w:id="64"/>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本项目建设在中原大化现有厂区内，厂区公辅配套设施齐全，动力供应大部分依托于现有老装置管网输送至本装置界区外</w:t>
      </w:r>
      <w:r>
        <w:rPr>
          <w:rFonts w:ascii="Times New Roman" w:hAnsi="Times New Roman"/>
          <w:kern w:val="0"/>
          <w:sz w:val="28"/>
          <w:szCs w:val="28"/>
        </w:rPr>
        <w:t>1m</w:t>
      </w:r>
      <w:r>
        <w:rPr>
          <w:rFonts w:hint="eastAsia" w:ascii="Times New Roman" w:hAnsi="Times New Roman"/>
          <w:kern w:val="0"/>
          <w:sz w:val="28"/>
          <w:szCs w:val="28"/>
        </w:rPr>
        <w:t>处。</w:t>
      </w:r>
    </w:p>
    <w:p>
      <w:pPr>
        <w:pStyle w:val="33"/>
        <w:adjustRightInd w:val="0"/>
        <w:snapToGrid w:val="0"/>
      </w:pPr>
      <w:r>
        <w:t>3.2.8.1  供水</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本项目生产、生活用水均由煤化工供水系统提供，从变压吸附主控室北侧生活水管引入界区，交接点管径DN40，压力约0.45MpaG。</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本项目根据生产、生活用水对水质的不同要求，给水系统划分为</w:t>
      </w:r>
      <w:r>
        <w:rPr>
          <w:rFonts w:hint="eastAsia" w:ascii="Times New Roman" w:hAnsi="Times New Roman"/>
          <w:kern w:val="0"/>
          <w:sz w:val="28"/>
          <w:szCs w:val="28"/>
        </w:rPr>
        <w:t>三</w:t>
      </w:r>
      <w:r>
        <w:rPr>
          <w:rFonts w:ascii="Times New Roman" w:hAnsi="Times New Roman"/>
          <w:kern w:val="0"/>
          <w:sz w:val="28"/>
          <w:szCs w:val="28"/>
        </w:rPr>
        <w:t>个系统：生产生活给水系统；消防给水系统；循环水系统。</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（1）生产</w:t>
      </w:r>
      <w:r>
        <w:rPr>
          <w:rFonts w:hint="eastAsia" w:ascii="Times New Roman" w:hAnsi="Times New Roman"/>
          <w:kern w:val="0"/>
          <w:sz w:val="28"/>
          <w:szCs w:val="28"/>
        </w:rPr>
        <w:t>生活</w:t>
      </w:r>
      <w:r>
        <w:rPr>
          <w:rFonts w:ascii="Times New Roman" w:hAnsi="Times New Roman"/>
          <w:kern w:val="0"/>
          <w:sz w:val="28"/>
          <w:szCs w:val="28"/>
        </w:rPr>
        <w:t>给水系统</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本项目生产用水主要供给地坪冲洗用水，生活给水主要供给生产和管理人员生活用水。</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w:t>
      </w:r>
      <w:r>
        <w:rPr>
          <w:rFonts w:hint="eastAsia" w:ascii="Times New Roman" w:hAnsi="Times New Roman"/>
          <w:kern w:val="0"/>
          <w:sz w:val="28"/>
          <w:szCs w:val="28"/>
        </w:rPr>
        <w:t>装置地坪氢气</w:t>
      </w:r>
      <w:r>
        <w:rPr>
          <w:rFonts w:ascii="Times New Roman" w:hAnsi="Times New Roman"/>
          <w:kern w:val="0"/>
          <w:sz w:val="28"/>
          <w:szCs w:val="28"/>
        </w:rPr>
        <w:t>平均用水量约0.25m</w:t>
      </w:r>
      <w:r>
        <w:rPr>
          <w:rFonts w:ascii="Times New Roman" w:hAnsi="Times New Roman"/>
          <w:kern w:val="0"/>
          <w:sz w:val="28"/>
          <w:szCs w:val="28"/>
          <w:vertAlign w:val="superscript"/>
        </w:rPr>
        <w:t>3</w:t>
      </w:r>
      <w:r>
        <w:rPr>
          <w:rFonts w:ascii="Times New Roman" w:hAnsi="Times New Roman"/>
          <w:kern w:val="0"/>
          <w:sz w:val="28"/>
          <w:szCs w:val="28"/>
        </w:rPr>
        <w:t>/h，最大约2m</w:t>
      </w:r>
      <w:r>
        <w:rPr>
          <w:rFonts w:ascii="Times New Roman" w:hAnsi="Times New Roman"/>
          <w:kern w:val="0"/>
          <w:sz w:val="28"/>
          <w:szCs w:val="28"/>
          <w:vertAlign w:val="superscript"/>
        </w:rPr>
        <w:t>3</w:t>
      </w:r>
      <w:r>
        <w:rPr>
          <w:rFonts w:ascii="Times New Roman" w:hAnsi="Times New Roman"/>
          <w:kern w:val="0"/>
          <w:sz w:val="28"/>
          <w:szCs w:val="28"/>
        </w:rPr>
        <w:t>/h，生产水耗量约2000吨/年（按8000h/a计）。</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w:t>
      </w:r>
      <w:r>
        <w:rPr>
          <w:rFonts w:hint="eastAsia" w:ascii="Times New Roman" w:hAnsi="Times New Roman"/>
          <w:kern w:val="0"/>
          <w:sz w:val="28"/>
          <w:szCs w:val="28"/>
        </w:rPr>
        <w:t>劳动定员人数1</w:t>
      </w:r>
      <w:r>
        <w:rPr>
          <w:rFonts w:ascii="Times New Roman" w:hAnsi="Times New Roman"/>
          <w:kern w:val="0"/>
          <w:sz w:val="28"/>
          <w:szCs w:val="28"/>
        </w:rPr>
        <w:t>0</w:t>
      </w:r>
      <w:r>
        <w:rPr>
          <w:rFonts w:hint="eastAsia" w:ascii="Times New Roman" w:hAnsi="Times New Roman"/>
          <w:kern w:val="0"/>
          <w:sz w:val="28"/>
          <w:szCs w:val="28"/>
        </w:rPr>
        <w:t>人，均为厂区现有人员调配，全厂不新增生活用水量。</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（2）消防给水系统</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占地小于100公顷，根据《石油化工企业设计防火标准》要求，同一时间内的火灾次数按一次考虑，工艺生产装置为消防用水量最大处，工艺生产装置采用水炮和水枪等移动设施进行冷却和灭火保护，工艺生产装置面积约495m</w:t>
      </w:r>
      <w:r>
        <w:rPr>
          <w:rFonts w:ascii="Times New Roman" w:hAnsi="Times New Roman"/>
          <w:kern w:val="0"/>
          <w:sz w:val="28"/>
          <w:szCs w:val="28"/>
          <w:vertAlign w:val="superscript"/>
        </w:rPr>
        <w:t>2</w:t>
      </w:r>
      <w:r>
        <w:rPr>
          <w:rFonts w:ascii="Times New Roman" w:hAnsi="Times New Roman"/>
          <w:kern w:val="0"/>
          <w:sz w:val="28"/>
          <w:szCs w:val="28"/>
        </w:rPr>
        <w:t>，冷却用水的供给强度采用12.3L/(min•m</w:t>
      </w:r>
      <w:r>
        <w:rPr>
          <w:rFonts w:ascii="Times New Roman" w:hAnsi="Times New Roman"/>
          <w:kern w:val="0"/>
          <w:sz w:val="28"/>
          <w:szCs w:val="28"/>
          <w:vertAlign w:val="superscript"/>
        </w:rPr>
        <w:t>2</w:t>
      </w:r>
      <w:r>
        <w:rPr>
          <w:rFonts w:ascii="Times New Roman" w:hAnsi="Times New Roman"/>
          <w:kern w:val="0"/>
          <w:sz w:val="28"/>
          <w:szCs w:val="28"/>
        </w:rPr>
        <w:t>)，中试项目消防水量约为101.5L/s，火灾延续时间3小时，一次消防用水量约为1096.2m</w:t>
      </w:r>
      <w:r>
        <w:rPr>
          <w:rFonts w:ascii="Times New Roman" w:hAnsi="Times New Roman"/>
          <w:kern w:val="0"/>
          <w:sz w:val="28"/>
          <w:szCs w:val="28"/>
          <w:vertAlign w:val="superscript"/>
        </w:rPr>
        <w:t>3</w:t>
      </w:r>
      <w:r>
        <w:rPr>
          <w:rFonts w:ascii="Times New Roman" w:hAnsi="Times New Roman"/>
          <w:kern w:val="0"/>
          <w:sz w:val="28"/>
          <w:szCs w:val="28"/>
        </w:rPr>
        <w:t>，消防时装置区交接点处压力≥1.0MPaG。</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本项目从界外厂区的稳高压消防给水管的管线上引入</w:t>
      </w:r>
      <w:r>
        <w:rPr>
          <w:rFonts w:ascii="Times New Roman" w:hAnsi="Times New Roman"/>
          <w:kern w:val="0"/>
          <w:sz w:val="28"/>
          <w:szCs w:val="28"/>
        </w:rPr>
        <w:t>2</w:t>
      </w:r>
      <w:r>
        <w:rPr>
          <w:rFonts w:hint="eastAsia" w:ascii="Times New Roman" w:hAnsi="Times New Roman"/>
          <w:kern w:val="0"/>
          <w:sz w:val="28"/>
          <w:szCs w:val="28"/>
        </w:rPr>
        <w:t>根稳高压消防水管，并在界区内设检修阀门。本项目消防水管道埋地敷设，沿装置周围道路形成环状消防给水管网，沿线设置室外地上式消火栓，消火栓间距不大于</w:t>
      </w:r>
      <w:r>
        <w:rPr>
          <w:rFonts w:ascii="Times New Roman" w:hAnsi="Times New Roman"/>
          <w:kern w:val="0"/>
          <w:sz w:val="28"/>
          <w:szCs w:val="28"/>
        </w:rPr>
        <w:t>60m</w:t>
      </w:r>
      <w:r>
        <w:rPr>
          <w:rFonts w:hint="eastAsia" w:ascii="Times New Roman" w:hAnsi="Times New Roman"/>
          <w:kern w:val="0"/>
          <w:sz w:val="28"/>
          <w:szCs w:val="28"/>
        </w:rPr>
        <w:t>。消防给水管道用闸阀分成若干独立段，每段消火栓个数不超过</w:t>
      </w:r>
      <w:r>
        <w:rPr>
          <w:rFonts w:ascii="Times New Roman" w:hAnsi="Times New Roman"/>
          <w:kern w:val="0"/>
          <w:sz w:val="28"/>
          <w:szCs w:val="28"/>
        </w:rPr>
        <w:t>5</w:t>
      </w:r>
      <w:r>
        <w:rPr>
          <w:rFonts w:hint="eastAsia" w:ascii="Times New Roman" w:hAnsi="Times New Roman"/>
          <w:kern w:val="0"/>
          <w:sz w:val="28"/>
          <w:szCs w:val="28"/>
        </w:rPr>
        <w:t>个。</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（3）循环水系统</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本项目的循环水平均量为164.8m</w:t>
      </w:r>
      <w:r>
        <w:rPr>
          <w:rFonts w:ascii="Times New Roman" w:hAnsi="Times New Roman"/>
          <w:kern w:val="0"/>
          <w:sz w:val="28"/>
          <w:szCs w:val="28"/>
          <w:vertAlign w:val="superscript"/>
        </w:rPr>
        <w:t>3</w:t>
      </w:r>
      <w:r>
        <w:rPr>
          <w:rFonts w:ascii="Times New Roman" w:hAnsi="Times New Roman"/>
          <w:kern w:val="0"/>
          <w:sz w:val="28"/>
          <w:szCs w:val="28"/>
        </w:rPr>
        <w:t>/h，最大量为197.8m</w:t>
      </w:r>
      <w:r>
        <w:rPr>
          <w:rFonts w:ascii="Times New Roman" w:hAnsi="Times New Roman"/>
          <w:kern w:val="0"/>
          <w:sz w:val="28"/>
          <w:szCs w:val="28"/>
          <w:vertAlign w:val="superscript"/>
        </w:rPr>
        <w:t>3</w:t>
      </w:r>
      <w:r>
        <w:rPr>
          <w:rFonts w:ascii="Times New Roman" w:hAnsi="Times New Roman"/>
          <w:kern w:val="0"/>
          <w:sz w:val="28"/>
          <w:szCs w:val="28"/>
        </w:rPr>
        <w:t>/h。</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循环水管道埋地敷设，从界外引入循环水管线，并在界区内设检修阀门，接管管径DN200，界区交接点处的循环给水压力约0.4MPaG，循环回水压力约0.25MPaG，设计压力0.6MPaG。本项目的循环水依托界外循环水系统。</w:t>
      </w:r>
    </w:p>
    <w:p>
      <w:pPr>
        <w:pStyle w:val="33"/>
        <w:adjustRightInd w:val="0"/>
        <w:snapToGrid w:val="0"/>
        <w:ind w:left="200"/>
      </w:pPr>
      <w:r>
        <w:t>3.2.8.2  排水</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按清污分流、污污分流的原则，厂区排水系统划分为以下</w:t>
      </w:r>
      <w:r>
        <w:rPr>
          <w:rFonts w:hint="eastAsia" w:ascii="Times New Roman" w:hAnsi="Times New Roman"/>
          <w:kern w:val="0"/>
          <w:sz w:val="28"/>
          <w:szCs w:val="28"/>
        </w:rPr>
        <w:t>三</w:t>
      </w:r>
      <w:r>
        <w:rPr>
          <w:rFonts w:ascii="Times New Roman" w:hAnsi="Times New Roman"/>
          <w:kern w:val="0"/>
          <w:sz w:val="28"/>
          <w:szCs w:val="28"/>
        </w:rPr>
        <w:t>个管网系统：生产</w:t>
      </w:r>
      <w:r>
        <w:rPr>
          <w:rFonts w:hint="eastAsia" w:ascii="Times New Roman" w:hAnsi="Times New Roman"/>
          <w:kern w:val="0"/>
          <w:sz w:val="28"/>
          <w:szCs w:val="28"/>
        </w:rPr>
        <w:t>废水</w:t>
      </w:r>
      <w:r>
        <w:rPr>
          <w:rFonts w:ascii="Times New Roman" w:hAnsi="Times New Roman"/>
          <w:kern w:val="0"/>
          <w:sz w:val="28"/>
          <w:szCs w:val="28"/>
        </w:rPr>
        <w:t>排水系统；初期污染雨水排水系统；清净雨水排水系统。</w:t>
      </w:r>
    </w:p>
    <w:p>
      <w:pPr>
        <w:autoSpaceDE w:val="0"/>
        <w:autoSpaceDN w:val="0"/>
        <w:adjustRightInd w:val="0"/>
        <w:spacing w:line="520" w:lineRule="exact"/>
        <w:ind w:firstLine="560" w:firstLineChars="200"/>
        <w:jc w:val="left"/>
        <w:rPr>
          <w:rFonts w:asciiTheme="minorEastAsia" w:hAnsiTheme="minorEastAsia"/>
          <w:bCs/>
          <w:sz w:val="24"/>
          <w:szCs w:val="24"/>
        </w:rPr>
      </w:pPr>
      <w:r>
        <w:rPr>
          <w:rFonts w:ascii="Times New Roman" w:hAnsi="Times New Roman"/>
          <w:bCs/>
          <w:sz w:val="28"/>
          <w:szCs w:val="28"/>
        </w:rPr>
        <w:t>（1）生产废水排水系统：</w:t>
      </w:r>
      <w:r>
        <w:rPr>
          <w:rFonts w:ascii="Times New Roman" w:hAnsi="Times New Roman"/>
          <w:kern w:val="0"/>
          <w:sz w:val="28"/>
          <w:szCs w:val="28"/>
        </w:rPr>
        <w:t>本系统主要收集工艺含醇废水，</w:t>
      </w:r>
      <w:r>
        <w:rPr>
          <w:rFonts w:hint="eastAsia" w:ascii="Times New Roman" w:hAnsi="Times New Roman"/>
          <w:kern w:val="0"/>
          <w:sz w:val="28"/>
          <w:szCs w:val="28"/>
        </w:rPr>
        <w:t>含醇废水产生量</w:t>
      </w:r>
      <w:r>
        <w:rPr>
          <w:rFonts w:ascii="Times New Roman" w:hAnsi="Times New Roman"/>
          <w:kern w:val="0"/>
          <w:sz w:val="28"/>
          <w:szCs w:val="28"/>
        </w:rPr>
        <w:t>平均</w:t>
      </w:r>
      <w:r>
        <w:rPr>
          <w:rFonts w:hint="eastAsia" w:ascii="Times New Roman" w:hAnsi="Times New Roman"/>
          <w:kern w:val="0"/>
          <w:sz w:val="28"/>
          <w:szCs w:val="28"/>
        </w:rPr>
        <w:t>约为</w:t>
      </w:r>
      <w:r>
        <w:rPr>
          <w:rFonts w:ascii="Times New Roman" w:hAnsi="Times New Roman"/>
          <w:kern w:val="0"/>
          <w:sz w:val="28"/>
          <w:szCs w:val="28"/>
        </w:rPr>
        <w:t>0.5m</w:t>
      </w:r>
      <w:r>
        <w:rPr>
          <w:rFonts w:ascii="Times New Roman" w:hAnsi="Times New Roman"/>
          <w:kern w:val="0"/>
          <w:sz w:val="28"/>
          <w:szCs w:val="28"/>
          <w:vertAlign w:val="superscript"/>
        </w:rPr>
        <w:t>3</w:t>
      </w:r>
      <w:r>
        <w:rPr>
          <w:rFonts w:ascii="Times New Roman" w:hAnsi="Times New Roman"/>
          <w:kern w:val="0"/>
          <w:sz w:val="28"/>
          <w:szCs w:val="28"/>
        </w:rPr>
        <w:t>/h。</w:t>
      </w:r>
      <w:bookmarkStart w:id="65" w:name="_Hlk66366856"/>
      <w:r>
        <w:rPr>
          <w:rFonts w:ascii="Times New Roman" w:hAnsi="Times New Roman"/>
          <w:bCs/>
          <w:sz w:val="28"/>
          <w:szCs w:val="28"/>
        </w:rPr>
        <w:t>工艺含醇废水从尾气洗涤塔塔釜泵送至界外MMA装置西侧的小事故池（250m</w:t>
      </w:r>
      <w:r>
        <w:rPr>
          <w:rFonts w:ascii="Times New Roman" w:hAnsi="Times New Roman"/>
          <w:bCs/>
          <w:sz w:val="28"/>
          <w:szCs w:val="28"/>
          <w:vertAlign w:val="superscript"/>
        </w:rPr>
        <w:t>3</w:t>
      </w:r>
      <w:r>
        <w:rPr>
          <w:rFonts w:ascii="Times New Roman" w:hAnsi="Times New Roman"/>
          <w:bCs/>
          <w:sz w:val="28"/>
          <w:szCs w:val="28"/>
        </w:rPr>
        <w:t>）暂存，</w:t>
      </w:r>
      <w:r>
        <w:rPr>
          <w:rFonts w:hint="eastAsia" w:ascii="Times New Roman" w:hAnsi="Times New Roman"/>
          <w:bCs/>
          <w:sz w:val="28"/>
          <w:szCs w:val="28"/>
        </w:rPr>
        <w:t>与其他生产废水（</w:t>
      </w:r>
      <w:r>
        <w:rPr>
          <w:rFonts w:hint="eastAsia" w:ascii="Times New Roman" w:hAnsi="Times New Roman"/>
          <w:kern w:val="0"/>
          <w:sz w:val="28"/>
          <w:szCs w:val="28"/>
        </w:rPr>
        <w:t>地坪冲洗废水、真空泵废水</w:t>
      </w:r>
      <w:r>
        <w:rPr>
          <w:rFonts w:hint="eastAsia" w:ascii="Times New Roman" w:hAnsi="Times New Roman"/>
          <w:bCs/>
          <w:sz w:val="28"/>
          <w:szCs w:val="28"/>
        </w:rPr>
        <w:t>）</w:t>
      </w:r>
      <w:r>
        <w:rPr>
          <w:rFonts w:hint="eastAsia" w:ascii="Times New Roman" w:hAnsi="Times New Roman"/>
          <w:kern w:val="0"/>
          <w:sz w:val="28"/>
          <w:szCs w:val="28"/>
        </w:rPr>
        <w:t>混合后进入</w:t>
      </w:r>
      <w:r>
        <w:rPr>
          <w:rFonts w:ascii="Times New Roman" w:hAnsi="Times New Roman"/>
          <w:bCs/>
          <w:sz w:val="28"/>
          <w:szCs w:val="28"/>
        </w:rPr>
        <w:t>MMA装置北侧</w:t>
      </w:r>
      <w:r>
        <w:rPr>
          <w:rFonts w:hint="eastAsia" w:ascii="Times New Roman" w:hAnsi="Times New Roman"/>
          <w:bCs/>
          <w:sz w:val="28"/>
          <w:szCs w:val="28"/>
        </w:rPr>
        <w:t>永金</w:t>
      </w:r>
      <w:r>
        <w:rPr>
          <w:rFonts w:ascii="Times New Roman" w:hAnsi="Times New Roman"/>
          <w:bCs/>
          <w:sz w:val="28"/>
          <w:szCs w:val="28"/>
        </w:rPr>
        <w:t>乙二醇装置调节池，最后进入甲醇项目污水处理站进行处理。</w:t>
      </w:r>
    </w:p>
    <w:bookmarkEnd w:id="65"/>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（2）初期污染雨水排水系统：主要用于收集污染区域的雨水、地面冲洗水及消防事故排水。</w:t>
      </w:r>
      <w:bookmarkStart w:id="66" w:name="_Hlk67067894"/>
      <w:r>
        <w:rPr>
          <w:rFonts w:hint="eastAsia" w:ascii="Times New Roman" w:hAnsi="Times New Roman"/>
          <w:kern w:val="0"/>
          <w:sz w:val="28"/>
          <w:szCs w:val="28"/>
        </w:rPr>
        <w:t>参照《石油化工污水处理设计规范》（G</w:t>
      </w:r>
      <w:r>
        <w:rPr>
          <w:rFonts w:ascii="Times New Roman" w:hAnsi="Times New Roman"/>
          <w:kern w:val="0"/>
          <w:sz w:val="28"/>
          <w:szCs w:val="28"/>
        </w:rPr>
        <w:t>B50747-2012</w:t>
      </w:r>
      <w:r>
        <w:rPr>
          <w:rFonts w:hint="eastAsia" w:ascii="Times New Roman" w:hAnsi="Times New Roman"/>
          <w:kern w:val="0"/>
          <w:sz w:val="28"/>
          <w:szCs w:val="28"/>
        </w:rPr>
        <w:t>）3</w:t>
      </w:r>
      <w:r>
        <w:rPr>
          <w:rFonts w:ascii="Times New Roman" w:hAnsi="Times New Roman"/>
          <w:kern w:val="0"/>
          <w:sz w:val="28"/>
          <w:szCs w:val="28"/>
        </w:rPr>
        <w:t>.1.1</w:t>
      </w:r>
      <w:r>
        <w:rPr>
          <w:rFonts w:hint="eastAsia" w:ascii="Times New Roman" w:hAnsi="Times New Roman"/>
          <w:kern w:val="0"/>
          <w:sz w:val="28"/>
          <w:szCs w:val="28"/>
        </w:rPr>
        <w:t>计算公式，</w:t>
      </w:r>
      <w:r>
        <w:rPr>
          <w:rFonts w:ascii="Times New Roman" w:hAnsi="Times New Roman"/>
          <w:kern w:val="0"/>
          <w:sz w:val="28"/>
          <w:szCs w:val="28"/>
        </w:rPr>
        <w:t>本项目有可能被污染的区域面积约495m</w:t>
      </w:r>
      <w:r>
        <w:rPr>
          <w:rFonts w:ascii="Times New Roman" w:hAnsi="Times New Roman"/>
          <w:kern w:val="0"/>
          <w:sz w:val="28"/>
          <w:szCs w:val="28"/>
          <w:vertAlign w:val="superscript"/>
        </w:rPr>
        <w:t>2</w:t>
      </w:r>
      <w:r>
        <w:rPr>
          <w:rFonts w:ascii="Times New Roman" w:hAnsi="Times New Roman"/>
          <w:kern w:val="0"/>
          <w:sz w:val="28"/>
          <w:szCs w:val="28"/>
        </w:rPr>
        <w:t>，初期污染雨水量按30mm计，初期污染雨水量约15m</w:t>
      </w:r>
      <w:r>
        <w:rPr>
          <w:rFonts w:ascii="Times New Roman" w:hAnsi="Times New Roman"/>
          <w:kern w:val="0"/>
          <w:sz w:val="28"/>
          <w:szCs w:val="28"/>
          <w:vertAlign w:val="superscript"/>
        </w:rPr>
        <w:t>3</w:t>
      </w:r>
      <w:r>
        <w:rPr>
          <w:rFonts w:ascii="Times New Roman" w:hAnsi="Times New Roman"/>
          <w:kern w:val="0"/>
          <w:sz w:val="28"/>
          <w:szCs w:val="28"/>
        </w:rPr>
        <w:t>。</w:t>
      </w:r>
    </w:p>
    <w:bookmarkEnd w:id="66"/>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污染区域内的装置每个排出口均经水封井排入初期污染雨水管道，水封高度不小于250mm。</w:t>
      </w:r>
    </w:p>
    <w:p>
      <w:pPr>
        <w:autoSpaceDE w:val="0"/>
        <w:autoSpaceDN w:val="0"/>
        <w:adjustRightInd w:val="0"/>
        <w:spacing w:line="520" w:lineRule="exact"/>
        <w:ind w:firstLine="560" w:firstLineChars="200"/>
        <w:jc w:val="left"/>
        <w:rPr>
          <w:rFonts w:ascii="Times New Roman" w:hAnsi="Times New Roman"/>
          <w:kern w:val="0"/>
          <w:sz w:val="28"/>
          <w:szCs w:val="28"/>
        </w:rPr>
      </w:pPr>
      <w:bookmarkStart w:id="67" w:name="_Hlk67067913"/>
      <w:r>
        <w:rPr>
          <w:rFonts w:ascii="Times New Roman" w:hAnsi="Times New Roman"/>
          <w:kern w:val="0"/>
          <w:sz w:val="28"/>
          <w:szCs w:val="28"/>
        </w:rPr>
        <w:t>装置区内的污染雨水通过重力收集，进入装置区界外的</w:t>
      </w:r>
      <w:r>
        <w:rPr>
          <w:rFonts w:hint="eastAsia" w:ascii="Times New Roman" w:hAnsi="Times New Roman"/>
          <w:kern w:val="0"/>
          <w:sz w:val="28"/>
          <w:szCs w:val="28"/>
        </w:rPr>
        <w:t>永金</w:t>
      </w:r>
      <w:r>
        <w:rPr>
          <w:rFonts w:ascii="Times New Roman" w:hAnsi="Times New Roman"/>
          <w:kern w:val="0"/>
          <w:sz w:val="28"/>
          <w:szCs w:val="28"/>
        </w:rPr>
        <w:t>乙二醇</w:t>
      </w:r>
      <w:r>
        <w:rPr>
          <w:rFonts w:hint="eastAsia" w:ascii="Times New Roman" w:hAnsi="Times New Roman"/>
          <w:kern w:val="0"/>
          <w:sz w:val="28"/>
          <w:szCs w:val="28"/>
        </w:rPr>
        <w:t>现有</w:t>
      </w:r>
      <w:r>
        <w:rPr>
          <w:rFonts w:ascii="Times New Roman" w:hAnsi="Times New Roman"/>
          <w:kern w:val="0"/>
          <w:sz w:val="28"/>
          <w:szCs w:val="28"/>
        </w:rPr>
        <w:t>调节池，污染雨水收集后用现有泵提升排至</w:t>
      </w:r>
      <w:r>
        <w:rPr>
          <w:rFonts w:hint="eastAsia" w:ascii="Times New Roman" w:hAnsi="Times New Roman"/>
          <w:kern w:val="0"/>
          <w:sz w:val="28"/>
          <w:szCs w:val="28"/>
        </w:rPr>
        <w:t>甲醇项目</w:t>
      </w:r>
      <w:r>
        <w:rPr>
          <w:rFonts w:ascii="Times New Roman" w:hAnsi="Times New Roman"/>
          <w:kern w:val="0"/>
          <w:sz w:val="28"/>
          <w:szCs w:val="28"/>
        </w:rPr>
        <w:t>污水处理装置处理达标后外排，后期未污染雨水经阀门切换排入界外雨水管网。</w:t>
      </w:r>
      <w:bookmarkEnd w:id="67"/>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（3）清净雨水排水系统：清净雨水排水系统主要用于收集非污染区域的雨水和污染区后期清净雨水，中试项目利用界外雨水管网不再另行设置。</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（4）</w:t>
      </w:r>
      <w:r>
        <w:rPr>
          <w:rFonts w:hint="eastAsia" w:ascii="Times New Roman" w:hAnsi="Times New Roman"/>
          <w:kern w:val="0"/>
          <w:sz w:val="28"/>
          <w:szCs w:val="28"/>
        </w:rPr>
        <w:t>消防事故废水：</w:t>
      </w:r>
      <w:r>
        <w:rPr>
          <w:rFonts w:ascii="Times New Roman" w:hAnsi="Times New Roman"/>
          <w:kern w:val="0"/>
          <w:sz w:val="28"/>
          <w:szCs w:val="28"/>
        </w:rPr>
        <w:t>本项目消防事故水通过初期污染雨水排水管收集经阀门切换排入</w:t>
      </w:r>
      <w:r>
        <w:rPr>
          <w:rFonts w:hint="eastAsia" w:ascii="Times New Roman" w:hAnsi="Times New Roman"/>
          <w:kern w:val="0"/>
          <w:sz w:val="28"/>
          <w:szCs w:val="28"/>
        </w:rPr>
        <w:t>永金</w:t>
      </w:r>
      <w:r>
        <w:rPr>
          <w:rFonts w:ascii="Times New Roman" w:hAnsi="Times New Roman"/>
          <w:kern w:val="0"/>
          <w:sz w:val="28"/>
          <w:szCs w:val="28"/>
        </w:rPr>
        <w:t>乙二醇事故池（</w:t>
      </w:r>
      <w:r>
        <w:rPr>
          <w:rFonts w:hint="eastAsia" w:ascii="Times New Roman" w:hAnsi="Times New Roman"/>
          <w:kern w:val="0"/>
          <w:sz w:val="28"/>
          <w:szCs w:val="28"/>
          <w:lang w:val="en-US" w:eastAsia="zh-CN"/>
        </w:rPr>
        <w:t>50</w:t>
      </w:r>
      <w:r>
        <w:rPr>
          <w:rFonts w:ascii="Times New Roman" w:hAnsi="Times New Roman"/>
          <w:kern w:val="0"/>
          <w:sz w:val="28"/>
          <w:szCs w:val="28"/>
        </w:rPr>
        <w:t>00m</w:t>
      </w:r>
      <w:r>
        <w:rPr>
          <w:rFonts w:ascii="Times New Roman" w:hAnsi="Times New Roman"/>
          <w:kern w:val="0"/>
          <w:sz w:val="28"/>
          <w:szCs w:val="28"/>
          <w:vertAlign w:val="superscript"/>
        </w:rPr>
        <w:t>3</w:t>
      </w:r>
      <w:r>
        <w:rPr>
          <w:rFonts w:ascii="Times New Roman" w:hAnsi="Times New Roman"/>
          <w:kern w:val="0"/>
          <w:sz w:val="28"/>
          <w:szCs w:val="28"/>
        </w:rPr>
        <w:t>），用现有泵设施提升送至厂区</w:t>
      </w:r>
      <w:r>
        <w:rPr>
          <w:rFonts w:hint="eastAsia" w:ascii="Times New Roman" w:hAnsi="Times New Roman"/>
          <w:kern w:val="0"/>
          <w:sz w:val="28"/>
          <w:szCs w:val="28"/>
        </w:rPr>
        <w:t>甲醇项目</w:t>
      </w:r>
      <w:r>
        <w:rPr>
          <w:rFonts w:ascii="Times New Roman" w:hAnsi="Times New Roman"/>
          <w:kern w:val="0"/>
          <w:sz w:val="28"/>
          <w:szCs w:val="28"/>
        </w:rPr>
        <w:t>污水处理装置处理达标后外排。一次消防排水量约1080m</w:t>
      </w:r>
      <w:r>
        <w:rPr>
          <w:rFonts w:ascii="Times New Roman" w:hAnsi="Times New Roman"/>
          <w:kern w:val="0"/>
          <w:sz w:val="28"/>
          <w:szCs w:val="28"/>
          <w:vertAlign w:val="superscript"/>
        </w:rPr>
        <w:t>3</w:t>
      </w:r>
      <w:r>
        <w:rPr>
          <w:rFonts w:ascii="Times New Roman" w:hAnsi="Times New Roman"/>
          <w:kern w:val="0"/>
          <w:sz w:val="28"/>
          <w:szCs w:val="28"/>
        </w:rPr>
        <w:t>，</w:t>
      </w:r>
      <w:r>
        <w:rPr>
          <w:rFonts w:hint="eastAsia" w:ascii="Times New Roman" w:hAnsi="Times New Roman"/>
          <w:kern w:val="0"/>
          <w:sz w:val="28"/>
          <w:szCs w:val="28"/>
        </w:rPr>
        <w:t>永金</w:t>
      </w:r>
      <w:r>
        <w:rPr>
          <w:rFonts w:ascii="Times New Roman" w:hAnsi="Times New Roman"/>
          <w:kern w:val="0"/>
          <w:sz w:val="28"/>
          <w:szCs w:val="28"/>
        </w:rPr>
        <w:t>现有乙二醇事故池容积约</w:t>
      </w:r>
      <w:r>
        <w:rPr>
          <w:rFonts w:hint="eastAsia" w:ascii="Times New Roman" w:hAnsi="Times New Roman"/>
          <w:kern w:val="0"/>
          <w:sz w:val="28"/>
          <w:szCs w:val="28"/>
          <w:lang w:val="en-US" w:eastAsia="zh-CN"/>
        </w:rPr>
        <w:t>50</w:t>
      </w:r>
      <w:r>
        <w:rPr>
          <w:rFonts w:ascii="Times New Roman" w:hAnsi="Times New Roman"/>
          <w:kern w:val="0"/>
          <w:sz w:val="28"/>
          <w:szCs w:val="28"/>
        </w:rPr>
        <w:t>00m</w:t>
      </w:r>
      <w:r>
        <w:rPr>
          <w:rFonts w:ascii="Times New Roman" w:hAnsi="Times New Roman"/>
          <w:kern w:val="0"/>
          <w:sz w:val="28"/>
          <w:szCs w:val="28"/>
          <w:vertAlign w:val="superscript"/>
        </w:rPr>
        <w:t>3</w:t>
      </w:r>
      <w:r>
        <w:rPr>
          <w:rFonts w:ascii="Times New Roman" w:hAnsi="Times New Roman"/>
          <w:kern w:val="0"/>
          <w:sz w:val="28"/>
          <w:szCs w:val="28"/>
        </w:rPr>
        <w:t>，能满足</w:t>
      </w:r>
      <w:r>
        <w:rPr>
          <w:rFonts w:hint="eastAsia" w:ascii="Times New Roman" w:hAnsi="Times New Roman"/>
          <w:kern w:val="0"/>
          <w:sz w:val="28"/>
          <w:szCs w:val="28"/>
        </w:rPr>
        <w:t>消防事故废水</w:t>
      </w:r>
      <w:r>
        <w:rPr>
          <w:rFonts w:ascii="Times New Roman" w:hAnsi="Times New Roman"/>
          <w:kern w:val="0"/>
          <w:sz w:val="28"/>
          <w:szCs w:val="28"/>
        </w:rPr>
        <w:t>排水量要求。</w:t>
      </w:r>
    </w:p>
    <w:p>
      <w:pPr>
        <w:pStyle w:val="33"/>
        <w:adjustRightInd w:val="0"/>
        <w:snapToGrid w:val="0"/>
        <w:ind w:left="200"/>
      </w:pPr>
      <w:r>
        <w:t>3.2.8.3  供电</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项目装置内用电设备34台，均为380V低压用电设备；常用用电设备30台，备用用电设备4台，</w:t>
      </w:r>
      <w:r>
        <w:rPr>
          <w:rFonts w:ascii="Times New Roman" w:hAnsi="Times New Roman"/>
          <w:kern w:val="0"/>
          <w:sz w:val="28"/>
          <w:szCs w:val="28"/>
          <w:u w:val="single"/>
        </w:rPr>
        <w:t>总装机容量共141.5kW，</w:t>
      </w:r>
      <w:r>
        <w:rPr>
          <w:rFonts w:ascii="Times New Roman" w:hAnsi="Times New Roman"/>
          <w:kern w:val="0"/>
          <w:sz w:val="28"/>
          <w:szCs w:val="28"/>
        </w:rPr>
        <w:t>其中工作容量共141.5kW，备用容量0kW</w:t>
      </w:r>
      <w:r>
        <w:rPr>
          <w:rFonts w:ascii="Times New Roman" w:hAnsi="Times New Roman"/>
          <w:kern w:val="0"/>
          <w:sz w:val="28"/>
          <w:szCs w:val="28"/>
          <w:u w:val="single"/>
        </w:rPr>
        <w:t>，总需要容量108kW。</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配电室依托MMA中试装置辅助用房的剩余空间，负责给乙二醇合成、乙二醇精馏装置用电设备供电。配电室两路0.4kV电源引自就近变电所不同母线段，两回电源互为备用，当任一0.4kV回路电源进线发生故障或停运时，双电源切换自动投切，另一回电源带全部负荷运行，供电质量可靠。</w:t>
      </w:r>
    </w:p>
    <w:p>
      <w:pPr>
        <w:autoSpaceDE w:val="0"/>
        <w:autoSpaceDN w:val="0"/>
        <w:adjustRightInd w:val="0"/>
        <w:spacing w:line="520" w:lineRule="exact"/>
        <w:ind w:firstLine="560" w:firstLineChars="200"/>
        <w:jc w:val="left"/>
        <w:rPr>
          <w:rFonts w:ascii="Times New Roman" w:hAnsi="Times New Roman"/>
          <w:kern w:val="0"/>
          <w:sz w:val="28"/>
          <w:szCs w:val="28"/>
        </w:rPr>
      </w:pPr>
    </w:p>
    <w:p>
      <w:pPr>
        <w:pStyle w:val="33"/>
        <w:adjustRightInd w:val="0"/>
        <w:snapToGrid w:val="0"/>
        <w:ind w:left="200"/>
      </w:pPr>
      <w:r>
        <w:t>3.2.8.4  供热系统</w:t>
      </w:r>
    </w:p>
    <w:p>
      <w:pPr>
        <w:spacing w:line="520" w:lineRule="exact"/>
        <w:ind w:firstLine="560" w:firstLineChars="200"/>
        <w:rPr>
          <w:rFonts w:ascii="Times New Roman" w:hAnsi="Times New Roman" w:eastAsiaTheme="minorEastAsia"/>
          <w:bCs/>
          <w:sz w:val="28"/>
          <w:szCs w:val="28"/>
        </w:rPr>
      </w:pPr>
      <w:r>
        <w:rPr>
          <w:rFonts w:hint="eastAsia" w:ascii="Times New Roman" w:hAnsi="Times New Roman" w:eastAsiaTheme="minorEastAsia"/>
          <w:bCs/>
          <w:sz w:val="28"/>
          <w:szCs w:val="28"/>
        </w:rPr>
        <w:t>反应釜热源及精馏系统脱轻塔、丙二醇精制塔、脱重塔、乙二醇精制塔塔底再沸器均采用蒸汽作为加热热源，依托厂区现有供热系统。</w:t>
      </w:r>
    </w:p>
    <w:p>
      <w:pPr>
        <w:spacing w:line="520" w:lineRule="exact"/>
        <w:ind w:firstLine="560" w:firstLineChars="200"/>
        <w:rPr>
          <w:rFonts w:ascii="Times New Roman" w:hAnsi="Times New Roman" w:eastAsiaTheme="minorEastAsia"/>
          <w:bCs/>
          <w:sz w:val="28"/>
          <w:szCs w:val="28"/>
        </w:rPr>
      </w:pPr>
      <w:r>
        <w:rPr>
          <w:rFonts w:hint="eastAsia" w:ascii="Times New Roman" w:hAnsi="Times New Roman" w:eastAsiaTheme="minorEastAsia"/>
          <w:bCs/>
          <w:sz w:val="28"/>
          <w:szCs w:val="28"/>
        </w:rPr>
        <w:t>项目蒸汽使用情况见表3</w:t>
      </w:r>
      <w:r>
        <w:rPr>
          <w:rFonts w:ascii="Times New Roman" w:hAnsi="Times New Roman" w:eastAsiaTheme="minorEastAsia"/>
          <w:bCs/>
          <w:sz w:val="28"/>
          <w:szCs w:val="28"/>
        </w:rPr>
        <w:t>.2</w:t>
      </w:r>
      <w:r>
        <w:rPr>
          <w:rFonts w:hint="eastAsia" w:ascii="Times New Roman" w:hAnsi="Times New Roman" w:eastAsiaTheme="minorEastAsia"/>
          <w:bCs/>
          <w:sz w:val="28"/>
          <w:szCs w:val="28"/>
        </w:rPr>
        <w:t>-</w:t>
      </w:r>
      <w:r>
        <w:rPr>
          <w:rFonts w:ascii="Times New Roman" w:hAnsi="Times New Roman" w:eastAsiaTheme="minorEastAsia"/>
          <w:bCs/>
          <w:sz w:val="28"/>
          <w:szCs w:val="28"/>
        </w:rPr>
        <w:t>10</w:t>
      </w:r>
      <w:r>
        <w:rPr>
          <w:rFonts w:hint="eastAsia" w:ascii="Times New Roman" w:hAnsi="Times New Roman" w:eastAsiaTheme="minorEastAsia"/>
          <w:bCs/>
          <w:sz w:val="28"/>
          <w:szCs w:val="28"/>
        </w:rPr>
        <w:t>。</w:t>
      </w:r>
    </w:p>
    <w:p>
      <w:pPr>
        <w:pStyle w:val="32"/>
        <w:ind w:firstLine="679" w:firstLineChars="282"/>
      </w:pPr>
      <w:r>
        <w:t>表3.2-10              项目</w:t>
      </w:r>
      <w:r>
        <w:rPr>
          <w:rFonts w:hint="eastAsia"/>
        </w:rPr>
        <w:t>蒸汽使用情况</w:t>
      </w:r>
      <w:r>
        <w:t>一览表</w:t>
      </w:r>
    </w:p>
    <w:tbl>
      <w:tblPr>
        <w:tblStyle w:val="22"/>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701"/>
        <w:gridCol w:w="3828"/>
        <w:gridCol w:w="1428"/>
        <w:gridCol w:w="1543"/>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75" w:type="dxa"/>
            <w:vAlign w:val="center"/>
          </w:tcPr>
          <w:p>
            <w:pPr>
              <w:pStyle w:val="32"/>
              <w:spacing w:line="240" w:lineRule="auto"/>
              <w:ind w:firstLine="0" w:firstLineChars="0"/>
              <w:jc w:val="center"/>
              <w:rPr>
                <w:rFonts w:eastAsia="宋体"/>
                <w:sz w:val="21"/>
                <w:szCs w:val="21"/>
              </w:rPr>
            </w:pPr>
            <w:r>
              <w:rPr>
                <w:rFonts w:eastAsia="宋体"/>
                <w:sz w:val="21"/>
                <w:szCs w:val="21"/>
              </w:rPr>
              <w:t>序号</w:t>
            </w:r>
          </w:p>
        </w:tc>
        <w:tc>
          <w:tcPr>
            <w:tcW w:w="1701" w:type="dxa"/>
            <w:vAlign w:val="center"/>
          </w:tcPr>
          <w:p>
            <w:pPr>
              <w:pStyle w:val="32"/>
              <w:spacing w:line="240" w:lineRule="auto"/>
              <w:ind w:firstLine="0" w:firstLineChars="0"/>
              <w:jc w:val="center"/>
              <w:rPr>
                <w:rFonts w:eastAsia="宋体"/>
                <w:sz w:val="21"/>
                <w:szCs w:val="21"/>
              </w:rPr>
            </w:pPr>
            <w:r>
              <w:rPr>
                <w:rFonts w:eastAsia="宋体"/>
                <w:sz w:val="21"/>
                <w:szCs w:val="21"/>
              </w:rPr>
              <w:t>规格</w:t>
            </w:r>
          </w:p>
        </w:tc>
        <w:tc>
          <w:tcPr>
            <w:tcW w:w="3828" w:type="dxa"/>
          </w:tcPr>
          <w:p>
            <w:pPr>
              <w:pStyle w:val="32"/>
              <w:spacing w:line="240" w:lineRule="auto"/>
              <w:ind w:firstLine="0" w:firstLineChars="0"/>
              <w:jc w:val="center"/>
              <w:rPr>
                <w:rFonts w:eastAsia="宋体"/>
                <w:sz w:val="21"/>
                <w:szCs w:val="21"/>
              </w:rPr>
            </w:pPr>
            <w:r>
              <w:rPr>
                <w:rFonts w:eastAsia="宋体"/>
                <w:sz w:val="21"/>
                <w:szCs w:val="21"/>
              </w:rPr>
              <w:t>用途</w:t>
            </w:r>
          </w:p>
        </w:tc>
        <w:tc>
          <w:tcPr>
            <w:tcW w:w="1428" w:type="dxa"/>
            <w:vAlign w:val="center"/>
          </w:tcPr>
          <w:p>
            <w:pPr>
              <w:pStyle w:val="32"/>
              <w:spacing w:line="240" w:lineRule="auto"/>
              <w:ind w:firstLine="0" w:firstLineChars="0"/>
              <w:jc w:val="center"/>
              <w:rPr>
                <w:rFonts w:eastAsia="宋体"/>
                <w:sz w:val="21"/>
                <w:szCs w:val="21"/>
              </w:rPr>
            </w:pPr>
            <w:r>
              <w:rPr>
                <w:rFonts w:eastAsia="宋体"/>
                <w:sz w:val="21"/>
                <w:szCs w:val="21"/>
              </w:rPr>
              <w:t>小时耗量（t）</w:t>
            </w:r>
          </w:p>
        </w:tc>
        <w:tc>
          <w:tcPr>
            <w:tcW w:w="1543" w:type="dxa"/>
            <w:vAlign w:val="center"/>
          </w:tcPr>
          <w:p>
            <w:pPr>
              <w:pStyle w:val="32"/>
              <w:spacing w:line="240" w:lineRule="auto"/>
              <w:ind w:firstLine="0" w:firstLineChars="0"/>
              <w:jc w:val="center"/>
              <w:rPr>
                <w:rFonts w:eastAsia="宋体"/>
                <w:sz w:val="21"/>
                <w:szCs w:val="21"/>
              </w:rPr>
            </w:pPr>
            <w:r>
              <w:rPr>
                <w:rFonts w:eastAsia="宋体"/>
                <w:sz w:val="21"/>
                <w:szCs w:val="21"/>
              </w:rPr>
              <w:t>年消耗量（t）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75"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w:t>
            </w:r>
          </w:p>
        </w:tc>
        <w:tc>
          <w:tcPr>
            <w:tcW w:w="1701"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5.2MaG饱和</w:t>
            </w:r>
          </w:p>
        </w:tc>
        <w:tc>
          <w:tcPr>
            <w:tcW w:w="3828" w:type="dxa"/>
          </w:tcPr>
          <w:p>
            <w:pPr>
              <w:pStyle w:val="32"/>
              <w:spacing w:line="240" w:lineRule="auto"/>
              <w:ind w:firstLine="0" w:firstLineChars="0"/>
              <w:jc w:val="center"/>
              <w:rPr>
                <w:rStyle w:val="49"/>
                <w:rFonts w:ascii="Times New Roman" w:hAnsi="Times New Roman" w:eastAsia="宋体" w:cs="Times New Roman"/>
                <w:b w:val="0"/>
                <w:bCs/>
                <w:color w:val="auto"/>
                <w:sz w:val="21"/>
                <w:szCs w:val="21"/>
              </w:rPr>
            </w:pPr>
            <w:r>
              <w:rPr>
                <w:rStyle w:val="49"/>
                <w:rFonts w:ascii="Times New Roman" w:hAnsi="Times New Roman" w:eastAsia="宋体" w:cs="Times New Roman"/>
                <w:b w:val="0"/>
                <w:bCs/>
                <w:color w:val="auto"/>
                <w:sz w:val="21"/>
                <w:szCs w:val="21"/>
              </w:rPr>
              <w:t>合成反应釜热源</w:t>
            </w:r>
          </w:p>
        </w:tc>
        <w:tc>
          <w:tcPr>
            <w:tcW w:w="1428"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0.26</w:t>
            </w:r>
          </w:p>
        </w:tc>
        <w:tc>
          <w:tcPr>
            <w:tcW w:w="1543"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2080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75"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2</w:t>
            </w:r>
          </w:p>
        </w:tc>
        <w:tc>
          <w:tcPr>
            <w:tcW w:w="1701"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1.2MaG饱和</w:t>
            </w:r>
          </w:p>
        </w:tc>
        <w:tc>
          <w:tcPr>
            <w:tcW w:w="3828" w:type="dxa"/>
          </w:tcPr>
          <w:p>
            <w:pPr>
              <w:pStyle w:val="32"/>
              <w:spacing w:line="240" w:lineRule="auto"/>
              <w:ind w:firstLine="0" w:firstLineChars="0"/>
              <w:jc w:val="center"/>
              <w:rPr>
                <w:rStyle w:val="49"/>
                <w:rFonts w:ascii="Times New Roman" w:hAnsi="Times New Roman" w:eastAsia="宋体" w:cs="Times New Roman"/>
                <w:b w:val="0"/>
                <w:bCs/>
                <w:color w:val="auto"/>
                <w:sz w:val="21"/>
                <w:szCs w:val="21"/>
              </w:rPr>
            </w:pPr>
            <w:r>
              <w:rPr>
                <w:rStyle w:val="49"/>
                <w:rFonts w:ascii="Times New Roman" w:hAnsi="Times New Roman" w:eastAsia="宋体" w:cs="Times New Roman"/>
                <w:b w:val="0"/>
                <w:bCs/>
                <w:color w:val="auto"/>
                <w:sz w:val="21"/>
                <w:szCs w:val="21"/>
              </w:rPr>
              <w:t>脱轻塔、丙二醇精制塔、脱重塔、乙二醇精制塔热源</w:t>
            </w:r>
          </w:p>
        </w:tc>
        <w:tc>
          <w:tcPr>
            <w:tcW w:w="1428"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1.26</w:t>
            </w:r>
          </w:p>
        </w:tc>
        <w:tc>
          <w:tcPr>
            <w:tcW w:w="1543"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10080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75"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3</w:t>
            </w:r>
          </w:p>
        </w:tc>
        <w:tc>
          <w:tcPr>
            <w:tcW w:w="1701"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0.6MaG饱和</w:t>
            </w:r>
          </w:p>
        </w:tc>
        <w:tc>
          <w:tcPr>
            <w:tcW w:w="3828" w:type="dxa"/>
          </w:tcPr>
          <w:p>
            <w:pPr>
              <w:pStyle w:val="32"/>
              <w:spacing w:line="240" w:lineRule="auto"/>
              <w:ind w:firstLine="0" w:firstLineChars="0"/>
              <w:jc w:val="center"/>
              <w:rPr>
                <w:rStyle w:val="49"/>
                <w:rFonts w:ascii="Times New Roman" w:hAnsi="Times New Roman" w:eastAsia="宋体" w:cs="Times New Roman"/>
                <w:b w:val="0"/>
                <w:bCs/>
                <w:color w:val="auto"/>
                <w:sz w:val="21"/>
                <w:szCs w:val="21"/>
              </w:rPr>
            </w:pPr>
            <w:r>
              <w:rPr>
                <w:rStyle w:val="49"/>
                <w:rFonts w:hint="eastAsia" w:ascii="Times New Roman" w:hAnsi="Times New Roman" w:eastAsia="宋体" w:cs="Times New Roman"/>
                <w:b w:val="0"/>
                <w:color w:val="auto"/>
                <w:sz w:val="21"/>
                <w:szCs w:val="21"/>
              </w:rPr>
              <w:t>主要用于公用工程站，即伴热、吹扫等</w:t>
            </w:r>
          </w:p>
        </w:tc>
        <w:tc>
          <w:tcPr>
            <w:tcW w:w="1428"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1</w:t>
            </w:r>
          </w:p>
        </w:tc>
        <w:tc>
          <w:tcPr>
            <w:tcW w:w="1543" w:type="dxa"/>
            <w:vAlign w:val="center"/>
          </w:tcPr>
          <w:p>
            <w:pPr>
              <w:pStyle w:val="32"/>
              <w:spacing w:line="240" w:lineRule="auto"/>
              <w:ind w:firstLine="0" w:firstLineChars="0"/>
              <w:jc w:val="center"/>
              <w:rPr>
                <w:rFonts w:eastAsia="宋体"/>
                <w:b w:val="0"/>
                <w:bCs/>
                <w:sz w:val="21"/>
                <w:szCs w:val="21"/>
              </w:rPr>
            </w:pPr>
            <w:r>
              <w:rPr>
                <w:rFonts w:eastAsia="宋体"/>
                <w:b w:val="0"/>
                <w:bCs/>
                <w:sz w:val="21"/>
                <w:szCs w:val="21"/>
              </w:rPr>
              <w:t>8000</w:t>
            </w:r>
          </w:p>
        </w:tc>
      </w:tr>
    </w:tbl>
    <w:p>
      <w:pPr>
        <w:pStyle w:val="33"/>
        <w:adjustRightInd w:val="0"/>
        <w:snapToGrid w:val="0"/>
        <w:ind w:left="200"/>
        <w:rPr>
          <w:rStyle w:val="37"/>
          <w:sz w:val="28"/>
          <w:szCs w:val="22"/>
        </w:rPr>
      </w:pPr>
      <w:r>
        <w:t>3.2.8.5  脱盐水</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脱盐水主要用于项目秸秆糖水溶液配制，消耗量约0</w:t>
      </w:r>
      <w:r>
        <w:rPr>
          <w:rFonts w:ascii="Times New Roman" w:hAnsi="Times New Roman" w:eastAsiaTheme="minorEastAsia"/>
          <w:sz w:val="28"/>
          <w:szCs w:val="28"/>
        </w:rPr>
        <w:t>.36</w:t>
      </w:r>
      <w:r>
        <w:rPr>
          <w:rFonts w:hint="eastAsia" w:ascii="Times New Roman" w:hAnsi="Times New Roman" w:eastAsiaTheme="minorEastAsia"/>
          <w:sz w:val="28"/>
          <w:szCs w:val="28"/>
        </w:rPr>
        <w:t>t/h，</w:t>
      </w:r>
      <w:r>
        <w:rPr>
          <w:rFonts w:ascii="Times New Roman" w:hAnsi="Times New Roman" w:eastAsiaTheme="minorEastAsia"/>
          <w:sz w:val="28"/>
          <w:szCs w:val="28"/>
        </w:rPr>
        <w:t>依托</w:t>
      </w:r>
      <w:r>
        <w:rPr>
          <w:rFonts w:ascii="Times New Roman" w:hAnsi="Times New Roman" w:eastAsiaTheme="minorEastAsia"/>
          <w:bCs/>
          <w:sz w:val="28"/>
          <w:szCs w:val="28"/>
        </w:rPr>
        <w:t>30万吨/年甲醇项目现有脱盐水站。</w:t>
      </w:r>
    </w:p>
    <w:p>
      <w:pPr>
        <w:pStyle w:val="33"/>
        <w:adjustRightInd w:val="0"/>
        <w:snapToGrid w:val="0"/>
        <w:ind w:left="200"/>
        <w:rPr>
          <w:rStyle w:val="37"/>
          <w:sz w:val="28"/>
          <w:szCs w:val="22"/>
        </w:rPr>
      </w:pPr>
      <w:r>
        <w:t xml:space="preserve">3.2.8.6  </w:t>
      </w:r>
      <w:r>
        <w:rPr>
          <w:rFonts w:hint="eastAsia"/>
        </w:rPr>
        <w:t>氮气</w:t>
      </w:r>
    </w:p>
    <w:p>
      <w:pPr>
        <w:autoSpaceDE w:val="0"/>
        <w:autoSpaceDN w:val="0"/>
        <w:adjustRightInd w:val="0"/>
        <w:spacing w:line="520" w:lineRule="exact"/>
        <w:ind w:firstLine="560" w:firstLineChars="200"/>
        <w:jc w:val="left"/>
        <w:rPr>
          <w:rFonts w:ascii="Times New Roman" w:hAnsi="Times New Roman"/>
          <w:bCs/>
          <w:sz w:val="28"/>
          <w:szCs w:val="28"/>
        </w:rPr>
      </w:pPr>
      <w:r>
        <w:rPr>
          <w:rFonts w:hint="eastAsia" w:ascii="Times New Roman" w:hAnsi="Times New Roman"/>
          <w:bCs/>
          <w:sz w:val="28"/>
          <w:szCs w:val="28"/>
        </w:rPr>
        <w:t>项目氮气用于固体加氢催化剂装填进入反应器及糖液进入反应器前的气体保护，目的是防止催化剂的氧化、以及空气进入反应系统。</w:t>
      </w:r>
      <w:r>
        <w:rPr>
          <w:rFonts w:ascii="Times New Roman" w:hAnsi="Times New Roman"/>
          <w:bCs/>
          <w:sz w:val="28"/>
          <w:szCs w:val="28"/>
        </w:rPr>
        <w:t>氮气系统依托厂区现有氮气供应设施，间断使用，</w:t>
      </w:r>
      <w:r>
        <w:rPr>
          <w:rFonts w:ascii="Times New Roman" w:hAnsi="Times New Roman"/>
          <w:kern w:val="0"/>
          <w:sz w:val="28"/>
          <w:szCs w:val="28"/>
        </w:rPr>
        <w:t>最大使用量为150Nm</w:t>
      </w:r>
      <w:r>
        <w:rPr>
          <w:rFonts w:ascii="Times New Roman" w:hAnsi="Times New Roman"/>
          <w:kern w:val="0"/>
          <w:sz w:val="28"/>
          <w:szCs w:val="28"/>
          <w:vertAlign w:val="superscript"/>
        </w:rPr>
        <w:t>3</w:t>
      </w:r>
      <w:r>
        <w:rPr>
          <w:rFonts w:ascii="Times New Roman" w:hAnsi="Times New Roman"/>
          <w:kern w:val="0"/>
          <w:sz w:val="28"/>
          <w:szCs w:val="28"/>
        </w:rPr>
        <w:t>/h。</w:t>
      </w:r>
    </w:p>
    <w:p>
      <w:pPr>
        <w:pStyle w:val="33"/>
        <w:adjustRightInd w:val="0"/>
        <w:snapToGrid w:val="0"/>
        <w:ind w:left="200"/>
      </w:pPr>
      <w:r>
        <w:t>3.2.8.</w:t>
      </w:r>
      <w:r>
        <w:rPr>
          <w:rFonts w:hint="eastAsia"/>
        </w:rPr>
        <w:t>7</w:t>
      </w:r>
      <w:r>
        <w:t xml:space="preserve">  </w:t>
      </w:r>
      <w:r>
        <w:rPr>
          <w:rFonts w:hint="eastAsia"/>
        </w:rPr>
        <w:t>仪表空气</w:t>
      </w:r>
    </w:p>
    <w:p>
      <w:pPr>
        <w:pStyle w:val="27"/>
        <w:ind w:firstLine="560"/>
        <w:rPr>
          <w:szCs w:val="28"/>
        </w:rPr>
      </w:pPr>
      <w:r>
        <w:rPr>
          <w:kern w:val="0"/>
          <w:szCs w:val="28"/>
        </w:rPr>
        <w:t>仪表空气</w:t>
      </w:r>
      <w:r>
        <w:rPr>
          <w:bCs/>
          <w:szCs w:val="28"/>
        </w:rPr>
        <w:t>间断使用，</w:t>
      </w:r>
      <w:r>
        <w:rPr>
          <w:kern w:val="0"/>
          <w:szCs w:val="28"/>
        </w:rPr>
        <w:t>最大使用量为100Nm</w:t>
      </w:r>
      <w:r>
        <w:rPr>
          <w:kern w:val="0"/>
          <w:szCs w:val="28"/>
          <w:vertAlign w:val="superscript"/>
        </w:rPr>
        <w:t>3</w:t>
      </w:r>
      <w:r>
        <w:rPr>
          <w:kern w:val="0"/>
          <w:szCs w:val="28"/>
        </w:rPr>
        <w:t>/h。</w:t>
      </w:r>
      <w:r>
        <w:rPr>
          <w:szCs w:val="28"/>
        </w:rPr>
        <w:t>仪表空气系统依托厂区现有装置管网。</w:t>
      </w:r>
    </w:p>
    <w:p>
      <w:pPr>
        <w:pStyle w:val="33"/>
        <w:adjustRightInd w:val="0"/>
        <w:snapToGrid w:val="0"/>
        <w:ind w:left="200"/>
      </w:pPr>
      <w:r>
        <w:t>3.2.8.8  储运</w:t>
      </w:r>
    </w:p>
    <w:p>
      <w:pPr>
        <w:spacing w:line="520" w:lineRule="exact"/>
        <w:ind w:firstLine="560" w:firstLineChars="200"/>
        <w:rPr>
          <w:rFonts w:ascii="Times New Roman" w:hAnsi="Times New Roman"/>
          <w:sz w:val="28"/>
        </w:rPr>
      </w:pPr>
      <w:r>
        <w:rPr>
          <w:rFonts w:hint="eastAsia" w:ascii="Times New Roman" w:hAnsi="Times New Roman"/>
          <w:sz w:val="28"/>
        </w:rPr>
        <w:t>考虑到本项目为中试装置，原料及产品的储存量小，不单独设置储运区域。</w:t>
      </w:r>
    </w:p>
    <w:p>
      <w:pPr>
        <w:spacing w:line="520" w:lineRule="exact"/>
        <w:ind w:firstLine="560" w:firstLineChars="200"/>
        <w:rPr>
          <w:rFonts w:ascii="Times New Roman" w:hAnsi="Times New Roman"/>
          <w:sz w:val="28"/>
          <w:szCs w:val="28"/>
        </w:rPr>
      </w:pPr>
      <w:r>
        <w:rPr>
          <w:rFonts w:ascii="Times New Roman" w:hAnsi="Times New Roman"/>
          <w:sz w:val="28"/>
          <w:szCs w:val="28"/>
          <w:shd w:val="clear" w:color="auto" w:fill="FFFFFF"/>
        </w:rPr>
        <w:t>项目涉及的储罐主要是粗乙二醇罐和乙二醇罐，设置在装置区，储罐设计工作温度为40</w:t>
      </w:r>
      <w:r>
        <w:rPr>
          <w:rFonts w:hint="eastAsia" w:ascii="宋体" w:hAnsi="宋体" w:cs="宋体"/>
          <w:sz w:val="28"/>
          <w:szCs w:val="28"/>
          <w:shd w:val="clear" w:color="auto" w:fill="FFFFFF"/>
        </w:rPr>
        <w:t>℃</w:t>
      </w:r>
      <w:r>
        <w:rPr>
          <w:rFonts w:ascii="Times New Roman" w:hAnsi="Times New Roman"/>
          <w:sz w:val="28"/>
          <w:szCs w:val="28"/>
          <w:shd w:val="clear" w:color="auto" w:fill="FFFFFF"/>
        </w:rPr>
        <w:t>，工作压力为微正压（0.005MPaG），因乙二醇挥发性较小（20</w:t>
      </w:r>
      <w:r>
        <w:rPr>
          <w:rFonts w:hint="eastAsia" w:ascii="宋体" w:hAnsi="宋体" w:cs="宋体"/>
          <w:sz w:val="28"/>
          <w:szCs w:val="28"/>
          <w:shd w:val="clear" w:color="auto" w:fill="FFFFFF"/>
        </w:rPr>
        <w:t>℃</w:t>
      </w:r>
      <w:r>
        <w:rPr>
          <w:rFonts w:ascii="Times New Roman" w:hAnsi="Times New Roman"/>
          <w:sz w:val="28"/>
          <w:szCs w:val="28"/>
          <w:shd w:val="clear" w:color="auto" w:fill="FFFFFF"/>
        </w:rPr>
        <w:t>饱和蒸气压6.21kpa），故储罐为立式椭圆封头固定顶储罐。</w:t>
      </w:r>
    </w:p>
    <w:p>
      <w:pPr>
        <w:pStyle w:val="33"/>
        <w:adjustRightInd w:val="0"/>
        <w:snapToGrid w:val="0"/>
        <w:ind w:left="200"/>
      </w:pPr>
      <w:r>
        <w:t xml:space="preserve">3.2.8.9  </w:t>
      </w:r>
      <w:r>
        <w:rPr>
          <w:rFonts w:hint="eastAsia"/>
        </w:rPr>
        <w:t>化验室</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本次中试项目不建设分析化验室，</w:t>
      </w:r>
      <w:r>
        <w:rPr>
          <w:rFonts w:ascii="Times New Roman" w:hAnsi="Times New Roman"/>
          <w:kern w:val="0"/>
          <w:sz w:val="28"/>
          <w:szCs w:val="28"/>
        </w:rPr>
        <w:t>工艺主装置（乙二醇合成和乙二醇精馏）的生产过程控制分析和产品/副产品质量检测</w:t>
      </w:r>
      <w:r>
        <w:rPr>
          <w:rFonts w:ascii="Times New Roman" w:hAnsi="Times New Roman"/>
          <w:sz w:val="28"/>
          <w:szCs w:val="28"/>
        </w:rPr>
        <w:t>依托厂区现有分析化验室进行分析。</w:t>
      </w:r>
    </w:p>
    <w:p>
      <w:pPr>
        <w:pStyle w:val="33"/>
        <w:adjustRightInd w:val="0"/>
        <w:snapToGrid w:val="0"/>
        <w:ind w:left="200"/>
      </w:pPr>
      <w:r>
        <w:t>3.2.8.10  环保工程</w:t>
      </w:r>
    </w:p>
    <w:p>
      <w:pPr>
        <w:spacing w:line="520" w:lineRule="exact"/>
        <w:ind w:firstLine="560" w:firstLineChars="200"/>
        <w:rPr>
          <w:rFonts w:ascii="Times New Roman" w:hAnsi="Times New Roman" w:eastAsiaTheme="minorEastAsia"/>
          <w:sz w:val="28"/>
          <w:szCs w:val="28"/>
        </w:rPr>
      </w:pPr>
      <w:r>
        <w:rPr>
          <w:rFonts w:hint="eastAsia" w:ascii="宋体" w:hAnsi="宋体" w:cs="宋体"/>
          <w:sz w:val="28"/>
          <w:szCs w:val="28"/>
        </w:rPr>
        <w:t>①</w:t>
      </w:r>
      <w:r>
        <w:rPr>
          <w:rFonts w:ascii="Times New Roman" w:hAnsi="Times New Roman" w:eastAsiaTheme="minorEastAsia"/>
          <w:sz w:val="28"/>
          <w:szCs w:val="28"/>
        </w:rPr>
        <w:t>废气治理设施</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根据生产工艺特点，项目设置</w:t>
      </w:r>
      <w:r>
        <w:rPr>
          <w:rFonts w:hint="eastAsia" w:ascii="Times New Roman" w:hAnsi="Times New Roman" w:eastAsiaTheme="minorEastAsia"/>
          <w:sz w:val="28"/>
          <w:szCs w:val="28"/>
        </w:rPr>
        <w:t>尾气洗涤塔+活性炭吸附罐，用于处理乙二醇精馏系统产生的真空泵尾气，乙二醇合成氢气驰放气及事故安全阀泄放气等废气进入厂区现有火炬系统进行焚烧处理。</w:t>
      </w:r>
    </w:p>
    <w:p>
      <w:pPr>
        <w:spacing w:line="520" w:lineRule="exact"/>
        <w:ind w:firstLine="560" w:firstLineChars="200"/>
        <w:rPr>
          <w:rFonts w:ascii="Times New Roman" w:hAnsi="Times New Roman" w:eastAsiaTheme="minorEastAsia"/>
          <w:sz w:val="28"/>
          <w:szCs w:val="28"/>
        </w:rPr>
      </w:pPr>
      <w:r>
        <w:rPr>
          <w:rFonts w:hint="eastAsia" w:ascii="宋体" w:hAnsi="宋体" w:cs="宋体"/>
          <w:sz w:val="28"/>
          <w:szCs w:val="28"/>
        </w:rPr>
        <w:t>②</w:t>
      </w:r>
      <w:r>
        <w:rPr>
          <w:rFonts w:ascii="Times New Roman" w:hAnsi="Times New Roman" w:eastAsiaTheme="minorEastAsia"/>
          <w:sz w:val="28"/>
          <w:szCs w:val="28"/>
        </w:rPr>
        <w:t>废水治理设施</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w:t>
      </w:r>
      <w:r>
        <w:rPr>
          <w:rFonts w:hint="eastAsia" w:ascii="Times New Roman" w:hAnsi="Times New Roman" w:eastAsiaTheme="minorEastAsia"/>
          <w:sz w:val="28"/>
          <w:szCs w:val="28"/>
        </w:rPr>
        <w:t>工艺废水主要是含醇废水，与真空泵废水、地坪冲洗废水一起排入</w:t>
      </w:r>
      <w:r>
        <w:rPr>
          <w:rFonts w:ascii="Times New Roman" w:hAnsi="Times New Roman" w:eastAsiaTheme="minorEastAsia"/>
          <w:sz w:val="28"/>
          <w:szCs w:val="28"/>
        </w:rPr>
        <w:t>现有30万吨/年甲醇项目污水处理站进行处理。</w:t>
      </w:r>
    </w:p>
    <w:p>
      <w:pPr>
        <w:spacing w:line="520" w:lineRule="exact"/>
        <w:ind w:firstLine="560" w:firstLineChars="200"/>
        <w:rPr>
          <w:rFonts w:ascii="Times New Roman" w:hAnsi="Times New Roman" w:eastAsiaTheme="minorEastAsia"/>
          <w:sz w:val="28"/>
          <w:szCs w:val="28"/>
        </w:rPr>
      </w:pPr>
      <w:r>
        <w:rPr>
          <w:rFonts w:hint="eastAsia" w:ascii="宋体" w:hAnsi="宋体" w:cs="宋体"/>
          <w:sz w:val="28"/>
          <w:szCs w:val="28"/>
        </w:rPr>
        <w:t>③</w:t>
      </w:r>
      <w:r>
        <w:rPr>
          <w:rFonts w:ascii="Times New Roman" w:hAnsi="Times New Roman" w:eastAsiaTheme="minorEastAsia"/>
          <w:sz w:val="28"/>
          <w:szCs w:val="28"/>
        </w:rPr>
        <w:t>危废暂存</w:t>
      </w:r>
    </w:p>
    <w:p>
      <w:pPr>
        <w:spacing w:line="520" w:lineRule="exact"/>
        <w:ind w:firstLine="560" w:firstLineChars="200"/>
        <w:rPr>
          <w:rFonts w:ascii="Times New Roman" w:hAnsi="Times New Roman" w:eastAsiaTheme="minorEastAsia"/>
          <w:sz w:val="28"/>
          <w:szCs w:val="28"/>
        </w:rPr>
      </w:pPr>
      <w:bookmarkStart w:id="68" w:name="_Hlk38524023"/>
      <w:r>
        <w:rPr>
          <w:rFonts w:hint="eastAsia" w:ascii="Times New Roman" w:hAnsi="Times New Roman" w:eastAsiaTheme="minorEastAsia"/>
          <w:sz w:val="28"/>
          <w:szCs w:val="28"/>
        </w:rPr>
        <w:t>依托中原大化现有</w:t>
      </w:r>
      <w:r>
        <w:rPr>
          <w:rFonts w:ascii="Times New Roman" w:hAnsi="Times New Roman" w:eastAsiaTheme="minorEastAsia"/>
          <w:sz w:val="28"/>
          <w:szCs w:val="28"/>
        </w:rPr>
        <w:t>30万吨/年甲醇项目</w:t>
      </w:r>
      <w:r>
        <w:rPr>
          <w:rFonts w:hint="eastAsia" w:ascii="Times New Roman" w:hAnsi="Times New Roman" w:eastAsiaTheme="minorEastAsia"/>
          <w:sz w:val="28"/>
          <w:szCs w:val="28"/>
        </w:rPr>
        <w:t>现有危废暂存设施。</w:t>
      </w:r>
    </w:p>
    <w:bookmarkEnd w:id="68"/>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3.2.9  本项目与现有工程的依托关系及可行性分析</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本项目</w:t>
      </w:r>
      <w:r>
        <w:rPr>
          <w:rFonts w:hint="eastAsia" w:ascii="Times New Roman" w:hAnsi="Times New Roman" w:eastAsiaTheme="minorEastAsia"/>
          <w:sz w:val="28"/>
          <w:szCs w:val="28"/>
        </w:rPr>
        <w:t>氢气原料及主要动力消耗均</w:t>
      </w:r>
      <w:r>
        <w:rPr>
          <w:rFonts w:ascii="Times New Roman" w:hAnsi="Times New Roman" w:eastAsiaTheme="minorEastAsia"/>
          <w:sz w:val="28"/>
          <w:szCs w:val="28"/>
        </w:rPr>
        <w:t>依托中原大化30万t/a甲醇项目</w:t>
      </w:r>
      <w:r>
        <w:rPr>
          <w:rFonts w:hint="eastAsia" w:ascii="Times New Roman" w:hAnsi="Times New Roman" w:eastAsiaTheme="minorEastAsia"/>
          <w:sz w:val="28"/>
          <w:szCs w:val="28"/>
        </w:rPr>
        <w:t>现有设施，</w:t>
      </w:r>
      <w:r>
        <w:rPr>
          <w:rFonts w:ascii="Times New Roman" w:hAnsi="Times New Roman" w:eastAsiaTheme="minorEastAsia"/>
          <w:sz w:val="28"/>
          <w:szCs w:val="28"/>
        </w:rPr>
        <w:t>依托</w:t>
      </w:r>
      <w:r>
        <w:rPr>
          <w:rFonts w:hint="eastAsia" w:ascii="Times New Roman" w:hAnsi="Times New Roman" w:eastAsiaTheme="minorEastAsia"/>
          <w:sz w:val="28"/>
          <w:szCs w:val="28"/>
        </w:rPr>
        <w:t>可行性分析</w:t>
      </w:r>
      <w:r>
        <w:rPr>
          <w:rFonts w:ascii="Times New Roman" w:hAnsi="Times New Roman" w:eastAsiaTheme="minorEastAsia"/>
          <w:sz w:val="28"/>
          <w:szCs w:val="28"/>
        </w:rPr>
        <w:t>详见表3.2-11。</w:t>
      </w:r>
    </w:p>
    <w:p>
      <w:pPr>
        <w:pStyle w:val="32"/>
        <w:ind w:firstLine="679" w:firstLineChars="282"/>
      </w:pPr>
      <w:r>
        <w:t>表3.2-11      本项目与中原大化甲醇项目依托关系及可依托性分析</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2"/>
        <w:gridCol w:w="660"/>
        <w:gridCol w:w="1058"/>
        <w:gridCol w:w="1069"/>
        <w:gridCol w:w="992"/>
        <w:gridCol w:w="1351"/>
        <w:gridCol w:w="934"/>
        <w:gridCol w:w="1137"/>
        <w:gridCol w:w="131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序号</w:t>
            </w:r>
          </w:p>
        </w:tc>
        <w:tc>
          <w:tcPr>
            <w:tcW w:w="660"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依托</w:t>
            </w:r>
          </w:p>
          <w:p>
            <w:pPr>
              <w:jc w:val="center"/>
              <w:rPr>
                <w:rFonts w:ascii="Times New Roman" w:hAnsi="Times New Roman"/>
                <w:bCs/>
                <w:szCs w:val="21"/>
              </w:rPr>
            </w:pPr>
            <w:r>
              <w:rPr>
                <w:rFonts w:ascii="Times New Roman" w:hAnsi="Times New Roman"/>
                <w:bCs/>
                <w:szCs w:val="21"/>
              </w:rPr>
              <w:t>分类</w:t>
            </w:r>
          </w:p>
        </w:tc>
        <w:tc>
          <w:tcPr>
            <w:tcW w:w="1058"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依托内容</w:t>
            </w:r>
          </w:p>
        </w:tc>
        <w:tc>
          <w:tcPr>
            <w:tcW w:w="1069"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设计能力</w:t>
            </w:r>
          </w:p>
        </w:tc>
        <w:tc>
          <w:tcPr>
            <w:tcW w:w="2343" w:type="dxa"/>
            <w:gridSpan w:val="2"/>
            <w:tcMar>
              <w:left w:w="28" w:type="dxa"/>
              <w:right w:w="28" w:type="dxa"/>
            </w:tcMar>
            <w:vAlign w:val="center"/>
          </w:tcPr>
          <w:p>
            <w:pPr>
              <w:jc w:val="center"/>
              <w:rPr>
                <w:rFonts w:ascii="Times New Roman" w:hAnsi="Times New Roman"/>
                <w:bCs/>
                <w:szCs w:val="21"/>
              </w:rPr>
            </w:pPr>
            <w:r>
              <w:rPr>
                <w:rFonts w:ascii="Times New Roman" w:hAnsi="Times New Roman"/>
                <w:bCs/>
                <w:szCs w:val="21"/>
              </w:rPr>
              <w:t>已使用量</w:t>
            </w:r>
          </w:p>
        </w:tc>
        <w:tc>
          <w:tcPr>
            <w:tcW w:w="934"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富余能力</w:t>
            </w:r>
          </w:p>
        </w:tc>
        <w:tc>
          <w:tcPr>
            <w:tcW w:w="1137"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本项目</w:t>
            </w:r>
          </w:p>
          <w:p>
            <w:pPr>
              <w:jc w:val="center"/>
              <w:rPr>
                <w:rFonts w:ascii="Times New Roman" w:hAnsi="Times New Roman"/>
                <w:bCs/>
                <w:szCs w:val="21"/>
              </w:rPr>
            </w:pPr>
            <w:r>
              <w:rPr>
                <w:rFonts w:ascii="Times New Roman" w:hAnsi="Times New Roman"/>
                <w:bCs/>
                <w:szCs w:val="21"/>
              </w:rPr>
              <w:t>需求量</w:t>
            </w:r>
          </w:p>
        </w:tc>
        <w:tc>
          <w:tcPr>
            <w:tcW w:w="1312" w:type="dxa"/>
            <w:vMerge w:val="restart"/>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vMerge w:val="continue"/>
            <w:tcMar>
              <w:left w:w="28" w:type="dxa"/>
              <w:right w:w="28" w:type="dxa"/>
            </w:tcMar>
            <w:vAlign w:val="center"/>
          </w:tcPr>
          <w:p>
            <w:pPr>
              <w:jc w:val="center"/>
              <w:rPr>
                <w:rFonts w:ascii="Times New Roman" w:hAnsi="Times New Roman"/>
                <w:bCs/>
                <w:szCs w:val="21"/>
              </w:rPr>
            </w:pPr>
          </w:p>
        </w:tc>
        <w:tc>
          <w:tcPr>
            <w:tcW w:w="660" w:type="dxa"/>
            <w:vMerge w:val="continue"/>
            <w:tcMar>
              <w:left w:w="28" w:type="dxa"/>
              <w:right w:w="28" w:type="dxa"/>
            </w:tcMar>
            <w:vAlign w:val="center"/>
          </w:tcPr>
          <w:p>
            <w:pPr>
              <w:jc w:val="center"/>
              <w:rPr>
                <w:rFonts w:ascii="Times New Roman" w:hAnsi="Times New Roman"/>
                <w:bCs/>
                <w:szCs w:val="21"/>
              </w:rPr>
            </w:pPr>
          </w:p>
        </w:tc>
        <w:tc>
          <w:tcPr>
            <w:tcW w:w="1058" w:type="dxa"/>
            <w:vMerge w:val="continue"/>
            <w:tcMar>
              <w:left w:w="28" w:type="dxa"/>
              <w:right w:w="28" w:type="dxa"/>
            </w:tcMar>
            <w:vAlign w:val="center"/>
          </w:tcPr>
          <w:p>
            <w:pPr>
              <w:jc w:val="center"/>
              <w:rPr>
                <w:rFonts w:ascii="Times New Roman" w:hAnsi="Times New Roman"/>
                <w:bCs/>
                <w:szCs w:val="21"/>
              </w:rPr>
            </w:pPr>
          </w:p>
        </w:tc>
        <w:tc>
          <w:tcPr>
            <w:tcW w:w="1069" w:type="dxa"/>
            <w:vMerge w:val="continue"/>
            <w:tcMar>
              <w:left w:w="28" w:type="dxa"/>
              <w:right w:w="28" w:type="dxa"/>
            </w:tcMar>
            <w:vAlign w:val="center"/>
          </w:tcPr>
          <w:p>
            <w:pPr>
              <w:jc w:val="center"/>
              <w:rPr>
                <w:rFonts w:ascii="Times New Roman" w:hAnsi="Times New Roman"/>
                <w:bCs/>
                <w:szCs w:val="21"/>
              </w:rPr>
            </w:pP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甲醇</w:t>
            </w:r>
            <w:r>
              <w:rPr>
                <w:rFonts w:hint="eastAsia" w:ascii="Times New Roman" w:hAnsi="Times New Roman"/>
                <w:bCs/>
                <w:szCs w:val="21"/>
              </w:rPr>
              <w:t>项目</w:t>
            </w:r>
          </w:p>
        </w:tc>
        <w:tc>
          <w:tcPr>
            <w:tcW w:w="1351" w:type="dxa"/>
            <w:vAlign w:val="center"/>
          </w:tcPr>
          <w:p>
            <w:pPr>
              <w:jc w:val="center"/>
              <w:rPr>
                <w:rFonts w:ascii="Times New Roman" w:hAnsi="Times New Roman"/>
                <w:bCs/>
                <w:szCs w:val="21"/>
              </w:rPr>
            </w:pPr>
            <w:r>
              <w:rPr>
                <w:rFonts w:ascii="Times New Roman" w:hAnsi="Times New Roman"/>
                <w:bCs/>
                <w:szCs w:val="21"/>
              </w:rPr>
              <w:t>MMA中试</w:t>
            </w:r>
          </w:p>
        </w:tc>
        <w:tc>
          <w:tcPr>
            <w:tcW w:w="934" w:type="dxa"/>
            <w:vMerge w:val="continue"/>
            <w:tcMar>
              <w:left w:w="28" w:type="dxa"/>
              <w:right w:w="28" w:type="dxa"/>
            </w:tcMar>
            <w:vAlign w:val="center"/>
          </w:tcPr>
          <w:p>
            <w:pPr>
              <w:jc w:val="center"/>
              <w:rPr>
                <w:rFonts w:ascii="Times New Roman" w:hAnsi="Times New Roman"/>
                <w:bCs/>
                <w:szCs w:val="21"/>
              </w:rPr>
            </w:pPr>
          </w:p>
        </w:tc>
        <w:tc>
          <w:tcPr>
            <w:tcW w:w="1137" w:type="dxa"/>
            <w:vMerge w:val="continue"/>
            <w:tcMar>
              <w:left w:w="28" w:type="dxa"/>
              <w:right w:w="28" w:type="dxa"/>
            </w:tcMar>
            <w:vAlign w:val="center"/>
          </w:tcPr>
          <w:p>
            <w:pPr>
              <w:jc w:val="center"/>
              <w:rPr>
                <w:rFonts w:ascii="Times New Roman" w:hAnsi="Times New Roman"/>
                <w:bCs/>
                <w:szCs w:val="21"/>
              </w:rPr>
            </w:pPr>
          </w:p>
        </w:tc>
        <w:tc>
          <w:tcPr>
            <w:tcW w:w="1312" w:type="dxa"/>
            <w:vMerge w:val="continue"/>
            <w:tcMar>
              <w:left w:w="28" w:type="dxa"/>
              <w:right w:w="28" w:type="dxa"/>
            </w:tcMar>
            <w:vAlign w:val="center"/>
          </w:tcPr>
          <w:p>
            <w:pPr>
              <w:jc w:val="center"/>
              <w:rPr>
                <w:rFonts w:ascii="Times New Roman" w:hAnsi="Times New Roman"/>
                <w:bCs/>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1</w:t>
            </w:r>
          </w:p>
        </w:tc>
        <w:tc>
          <w:tcPr>
            <w:tcW w:w="660"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生产</w:t>
            </w:r>
          </w:p>
          <w:p>
            <w:pPr>
              <w:jc w:val="center"/>
              <w:rPr>
                <w:rFonts w:ascii="Times New Roman" w:hAnsi="Times New Roman"/>
                <w:bCs/>
                <w:szCs w:val="21"/>
              </w:rPr>
            </w:pPr>
            <w:r>
              <w:rPr>
                <w:rFonts w:ascii="Times New Roman" w:hAnsi="Times New Roman"/>
                <w:bCs/>
                <w:szCs w:val="21"/>
              </w:rPr>
              <w:t>原料</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氢气（Nm</w:t>
            </w:r>
            <w:r>
              <w:rPr>
                <w:rFonts w:ascii="Times New Roman" w:hAnsi="Times New Roman"/>
                <w:bCs/>
                <w:szCs w:val="21"/>
                <w:vertAlign w:val="superscript"/>
              </w:rPr>
              <w:t>3</w:t>
            </w:r>
            <w:r>
              <w:rPr>
                <w:rFonts w:ascii="Times New Roman" w:hAnsi="Times New Roman"/>
                <w:bCs/>
                <w:szCs w:val="21"/>
              </w:rPr>
              <w: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szCs w:val="21"/>
              </w:rPr>
              <w:t>41958</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szCs w:val="21"/>
              </w:rPr>
              <w:t>37762</w:t>
            </w:r>
          </w:p>
        </w:tc>
        <w:tc>
          <w:tcPr>
            <w:tcW w:w="1351" w:type="dxa"/>
            <w:vAlign w:val="center"/>
          </w:tcPr>
          <w:p>
            <w:pPr>
              <w:jc w:val="center"/>
              <w:rPr>
                <w:rFonts w:ascii="Times New Roman" w:hAnsi="Times New Roman"/>
                <w:bCs/>
                <w:szCs w:val="21"/>
              </w:rPr>
            </w:pPr>
            <w:r>
              <w:rPr>
                <w:rFonts w:hint="eastAsia" w:ascii="Times New Roman" w:hAnsi="Times New Roman"/>
                <w:bCs/>
                <w:szCs w:val="21"/>
              </w:rPr>
              <w:t>/</w:t>
            </w:r>
          </w:p>
        </w:tc>
        <w:tc>
          <w:tcPr>
            <w:tcW w:w="934" w:type="dxa"/>
            <w:tcMar>
              <w:left w:w="28" w:type="dxa"/>
              <w:right w:w="28" w:type="dxa"/>
            </w:tcMar>
            <w:vAlign w:val="center"/>
          </w:tcPr>
          <w:p>
            <w:pPr>
              <w:jc w:val="center"/>
              <w:rPr>
                <w:rFonts w:ascii="Times New Roman" w:hAnsi="Times New Roman"/>
                <w:bCs/>
                <w:szCs w:val="21"/>
                <w:vertAlign w:val="superscript"/>
              </w:rPr>
            </w:pPr>
            <w:r>
              <w:rPr>
                <w:rFonts w:ascii="Times New Roman" w:hAnsi="Times New Roman"/>
                <w:bCs/>
                <w:szCs w:val="21"/>
              </w:rPr>
              <w:t>4196</w:t>
            </w:r>
          </w:p>
        </w:tc>
        <w:tc>
          <w:tcPr>
            <w:tcW w:w="1137" w:type="dxa"/>
            <w:tcMar>
              <w:left w:w="28" w:type="dxa"/>
              <w:right w:w="28" w:type="dxa"/>
            </w:tcMar>
            <w:vAlign w:val="center"/>
          </w:tcPr>
          <w:p>
            <w:pPr>
              <w:jc w:val="center"/>
              <w:rPr>
                <w:rFonts w:ascii="Times New Roman" w:hAnsi="Times New Roman"/>
                <w:bCs/>
                <w:szCs w:val="21"/>
              </w:rPr>
            </w:pPr>
            <w:r>
              <w:rPr>
                <w:rFonts w:ascii="Times New Roman" w:hAnsi="Times New Roman" w:eastAsiaTheme="minorEastAsia"/>
                <w:szCs w:val="21"/>
              </w:rPr>
              <w:t>160</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2</w:t>
            </w:r>
          </w:p>
        </w:tc>
        <w:tc>
          <w:tcPr>
            <w:tcW w:w="660" w:type="dxa"/>
            <w:vMerge w:val="restart"/>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供水</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一次水（t/h）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2000</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1253</w:t>
            </w:r>
          </w:p>
        </w:tc>
        <w:tc>
          <w:tcPr>
            <w:tcW w:w="1351" w:type="dxa"/>
            <w:vAlign w:val="center"/>
          </w:tcPr>
          <w:p>
            <w:pPr>
              <w:jc w:val="center"/>
              <w:rPr>
                <w:rFonts w:ascii="Times New Roman" w:hAnsi="Times New Roman"/>
                <w:bCs/>
                <w:szCs w:val="21"/>
              </w:rPr>
            </w:pPr>
            <w:r>
              <w:rPr>
                <w:rFonts w:ascii="Times New Roman" w:hAnsi="Times New Roman"/>
                <w:bCs/>
                <w:szCs w:val="21"/>
              </w:rPr>
              <w:t>1.1</w:t>
            </w:r>
          </w:p>
        </w:tc>
        <w:tc>
          <w:tcPr>
            <w:tcW w:w="934"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745.9</w:t>
            </w:r>
          </w:p>
        </w:tc>
        <w:tc>
          <w:tcPr>
            <w:tcW w:w="1137"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4</w:t>
            </w:r>
            <w:r>
              <w:rPr>
                <w:rFonts w:ascii="Times New Roman" w:hAnsi="Times New Roman"/>
                <w:bCs/>
                <w:szCs w:val="21"/>
              </w:rPr>
              <w:t>.8</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3</w:t>
            </w:r>
          </w:p>
        </w:tc>
        <w:tc>
          <w:tcPr>
            <w:tcW w:w="660" w:type="dxa"/>
            <w:vMerge w:val="continue"/>
            <w:shd w:val="clear" w:color="auto" w:fill="auto"/>
            <w:tcMar>
              <w:left w:w="28" w:type="dxa"/>
              <w:right w:w="28" w:type="dxa"/>
            </w:tcMar>
            <w:vAlign w:val="center"/>
          </w:tcPr>
          <w:p>
            <w:pPr>
              <w:jc w:val="center"/>
              <w:rPr>
                <w:rFonts w:ascii="Times New Roman" w:hAnsi="Times New Roman"/>
                <w:bCs/>
                <w:szCs w:val="21"/>
              </w:rPr>
            </w:pP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除盐水（t/h）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650</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467</w:t>
            </w:r>
          </w:p>
        </w:tc>
        <w:tc>
          <w:tcPr>
            <w:tcW w:w="1351" w:type="dxa"/>
            <w:vAlign w:val="center"/>
          </w:tcPr>
          <w:p>
            <w:pPr>
              <w:jc w:val="center"/>
              <w:rPr>
                <w:rFonts w:ascii="Times New Roman" w:hAnsi="Times New Roman"/>
                <w:bCs/>
                <w:szCs w:val="21"/>
              </w:rPr>
            </w:pPr>
            <w:r>
              <w:rPr>
                <w:rFonts w:ascii="Times New Roman" w:hAnsi="Times New Roman"/>
                <w:bCs/>
                <w:szCs w:val="21"/>
              </w:rPr>
              <w:t>0.05</w:t>
            </w:r>
          </w:p>
        </w:tc>
        <w:tc>
          <w:tcPr>
            <w:tcW w:w="934"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182.95</w:t>
            </w:r>
          </w:p>
        </w:tc>
        <w:tc>
          <w:tcPr>
            <w:tcW w:w="1137"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0</w:t>
            </w:r>
            <w:r>
              <w:rPr>
                <w:rFonts w:ascii="Times New Roman" w:hAnsi="Times New Roman"/>
                <w:bCs/>
                <w:szCs w:val="21"/>
              </w:rPr>
              <w:t>.36</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4</w:t>
            </w:r>
          </w:p>
        </w:tc>
        <w:tc>
          <w:tcPr>
            <w:tcW w:w="660" w:type="dxa"/>
            <w:vMerge w:val="continue"/>
            <w:shd w:val="clear" w:color="auto" w:fill="auto"/>
            <w:tcMar>
              <w:left w:w="28" w:type="dxa"/>
              <w:right w:w="28" w:type="dxa"/>
            </w:tcMar>
            <w:vAlign w:val="center"/>
          </w:tcPr>
          <w:p>
            <w:pPr>
              <w:jc w:val="center"/>
              <w:rPr>
                <w:rFonts w:ascii="Times New Roman" w:hAnsi="Times New Roman"/>
                <w:bCs/>
                <w:szCs w:val="21"/>
              </w:rPr>
            </w:pP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循环水（t/h）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50000</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38675</w:t>
            </w:r>
          </w:p>
        </w:tc>
        <w:tc>
          <w:tcPr>
            <w:tcW w:w="1351" w:type="dxa"/>
            <w:vAlign w:val="center"/>
          </w:tcPr>
          <w:p>
            <w:pPr>
              <w:jc w:val="center"/>
              <w:rPr>
                <w:rFonts w:ascii="Times New Roman" w:hAnsi="Times New Roman"/>
                <w:bCs/>
                <w:szCs w:val="21"/>
              </w:rPr>
            </w:pPr>
            <w:r>
              <w:rPr>
                <w:rFonts w:ascii="Times New Roman" w:hAnsi="Times New Roman"/>
                <w:bCs/>
                <w:szCs w:val="21"/>
              </w:rPr>
              <w:t>137.5</w:t>
            </w:r>
          </w:p>
        </w:tc>
        <w:tc>
          <w:tcPr>
            <w:tcW w:w="934"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 xml:space="preserve">11187.5 </w:t>
            </w:r>
          </w:p>
        </w:tc>
        <w:tc>
          <w:tcPr>
            <w:tcW w:w="1137"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1</w:t>
            </w:r>
            <w:r>
              <w:rPr>
                <w:rFonts w:ascii="Times New Roman" w:hAnsi="Times New Roman"/>
                <w:bCs/>
                <w:szCs w:val="21"/>
              </w:rPr>
              <w:t>64.8</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5</w:t>
            </w:r>
          </w:p>
        </w:tc>
        <w:tc>
          <w:tcPr>
            <w:tcW w:w="660"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供热系统</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一次蒸汽（t/h）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3×130+85</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468.9</w:t>
            </w:r>
          </w:p>
        </w:tc>
        <w:tc>
          <w:tcPr>
            <w:tcW w:w="1351" w:type="dxa"/>
            <w:vAlign w:val="center"/>
          </w:tcPr>
          <w:p>
            <w:pPr>
              <w:jc w:val="center"/>
              <w:rPr>
                <w:rFonts w:ascii="Times New Roman" w:hAnsi="Times New Roman"/>
                <w:bCs/>
                <w:szCs w:val="21"/>
              </w:rPr>
            </w:pPr>
            <w:r>
              <w:rPr>
                <w:rFonts w:ascii="Times New Roman" w:hAnsi="Times New Roman"/>
                <w:bCs/>
                <w:szCs w:val="21"/>
              </w:rPr>
              <w:t>1.02</w:t>
            </w:r>
          </w:p>
        </w:tc>
        <w:tc>
          <w:tcPr>
            <w:tcW w:w="934"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5.08</w:t>
            </w:r>
          </w:p>
        </w:tc>
        <w:tc>
          <w:tcPr>
            <w:tcW w:w="1137"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2</w:t>
            </w:r>
            <w:r>
              <w:rPr>
                <w:rFonts w:ascii="Times New Roman" w:hAnsi="Times New Roman"/>
                <w:bCs/>
                <w:szCs w:val="21"/>
              </w:rPr>
              <w:t>.52</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6</w:t>
            </w:r>
          </w:p>
        </w:tc>
        <w:tc>
          <w:tcPr>
            <w:tcW w:w="660" w:type="dxa"/>
            <w:vMerge w:val="restart"/>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废水</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废水处理站（t/h）</w:t>
            </w:r>
          </w:p>
        </w:tc>
        <w:tc>
          <w:tcPr>
            <w:tcW w:w="1069"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300</w:t>
            </w:r>
          </w:p>
        </w:tc>
        <w:tc>
          <w:tcPr>
            <w:tcW w:w="99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253</w:t>
            </w:r>
            <w:r>
              <w:rPr>
                <w:rFonts w:hint="eastAsia" w:ascii="Times New Roman" w:hAnsi="Times New Roman"/>
                <w:bCs/>
                <w:szCs w:val="21"/>
              </w:rPr>
              <w:t>（含永金乙二醇）</w:t>
            </w:r>
            <w:r>
              <w:rPr>
                <w:rFonts w:ascii="Times New Roman" w:hAnsi="Times New Roman"/>
                <w:bCs/>
                <w:szCs w:val="21"/>
              </w:rPr>
              <w:t xml:space="preserve"> </w:t>
            </w:r>
          </w:p>
        </w:tc>
        <w:tc>
          <w:tcPr>
            <w:tcW w:w="1351" w:type="dxa"/>
            <w:vAlign w:val="center"/>
          </w:tcPr>
          <w:p>
            <w:pPr>
              <w:jc w:val="center"/>
              <w:rPr>
                <w:rFonts w:ascii="Times New Roman" w:hAnsi="Times New Roman"/>
                <w:bCs/>
                <w:szCs w:val="21"/>
              </w:rPr>
            </w:pPr>
            <w:r>
              <w:rPr>
                <w:rFonts w:ascii="Times New Roman" w:hAnsi="Times New Roman"/>
                <w:bCs/>
                <w:szCs w:val="21"/>
              </w:rPr>
              <w:t>0.34</w:t>
            </w:r>
          </w:p>
        </w:tc>
        <w:tc>
          <w:tcPr>
            <w:tcW w:w="934"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46.66</w:t>
            </w:r>
          </w:p>
        </w:tc>
        <w:tc>
          <w:tcPr>
            <w:tcW w:w="1137"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1</w:t>
            </w:r>
            <w:r>
              <w:rPr>
                <w:rFonts w:ascii="Times New Roman" w:hAnsi="Times New Roman"/>
                <w:bCs/>
                <w:szCs w:val="21"/>
              </w:rPr>
              <w:t>.22</w:t>
            </w:r>
          </w:p>
        </w:tc>
        <w:tc>
          <w:tcPr>
            <w:tcW w:w="131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可依托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7</w:t>
            </w:r>
          </w:p>
        </w:tc>
        <w:tc>
          <w:tcPr>
            <w:tcW w:w="660" w:type="dxa"/>
            <w:vMerge w:val="continue"/>
            <w:shd w:val="clear" w:color="auto" w:fill="auto"/>
            <w:tcMar>
              <w:left w:w="28" w:type="dxa"/>
              <w:right w:w="28" w:type="dxa"/>
            </w:tcMar>
            <w:vAlign w:val="center"/>
          </w:tcPr>
          <w:p>
            <w:pPr>
              <w:jc w:val="center"/>
              <w:rPr>
                <w:rFonts w:ascii="Times New Roman" w:hAnsi="Times New Roman"/>
                <w:bCs/>
                <w:szCs w:val="21"/>
              </w:rPr>
            </w:pPr>
          </w:p>
        </w:tc>
        <w:tc>
          <w:tcPr>
            <w:tcW w:w="1058" w:type="dxa"/>
            <w:tcMar>
              <w:left w:w="28" w:type="dxa"/>
              <w:right w:w="28" w:type="dxa"/>
            </w:tcMar>
            <w:vAlign w:val="center"/>
          </w:tcPr>
          <w:p>
            <w:pPr>
              <w:jc w:val="center"/>
              <w:rPr>
                <w:rFonts w:ascii="Times New Roman" w:hAnsi="Times New Roman"/>
                <w:bCs/>
                <w:szCs w:val="21"/>
              </w:rPr>
            </w:pPr>
            <w:r>
              <w:rPr>
                <w:rFonts w:hint="eastAsia" w:ascii="Times New Roman" w:hAnsi="Times New Roman"/>
                <w:bCs/>
                <w:szCs w:val="21"/>
              </w:rPr>
              <w:t>事故池及初期雨水收集池</w:t>
            </w:r>
          </w:p>
        </w:tc>
        <w:tc>
          <w:tcPr>
            <w:tcW w:w="6795" w:type="dxa"/>
            <w:gridSpan w:val="6"/>
            <w:tcMar>
              <w:left w:w="28" w:type="dxa"/>
              <w:right w:w="28" w:type="dxa"/>
            </w:tcMar>
            <w:vAlign w:val="center"/>
          </w:tcPr>
          <w:p>
            <w:pPr>
              <w:jc w:val="left"/>
              <w:rPr>
                <w:rFonts w:ascii="Times New Roman" w:hAnsi="Times New Roman"/>
                <w:bCs/>
                <w:szCs w:val="21"/>
              </w:rPr>
            </w:pPr>
            <w:r>
              <w:rPr>
                <w:rFonts w:ascii="Times New Roman" w:hAnsi="Times New Roman"/>
                <w:bCs/>
                <w:szCs w:val="21"/>
              </w:rPr>
              <w:t>因位置关系，本中试项目事故池依托永金乙二醇事故池（</w:t>
            </w:r>
            <w:r>
              <w:rPr>
                <w:rFonts w:hint="eastAsia" w:ascii="Times New Roman" w:hAnsi="Times New Roman"/>
                <w:bCs/>
                <w:szCs w:val="21"/>
                <w:lang w:val="en-US" w:eastAsia="zh-CN"/>
              </w:rPr>
              <w:t>50</w:t>
            </w:r>
            <w:r>
              <w:rPr>
                <w:rFonts w:ascii="Times New Roman" w:hAnsi="Times New Roman"/>
                <w:bCs/>
                <w:szCs w:val="21"/>
              </w:rPr>
              <w:t>00m</w:t>
            </w:r>
            <w:r>
              <w:rPr>
                <w:rFonts w:ascii="Times New Roman" w:hAnsi="Times New Roman"/>
                <w:bCs/>
                <w:szCs w:val="21"/>
                <w:vertAlign w:val="superscript"/>
              </w:rPr>
              <w:t>3</w:t>
            </w:r>
            <w:r>
              <w:rPr>
                <w:rFonts w:ascii="Times New Roman" w:hAnsi="Times New Roman"/>
                <w:bCs/>
                <w:szCs w:val="21"/>
              </w:rPr>
              <w:t>）；项目为试验装置，物料量小，</w:t>
            </w:r>
            <w:r>
              <w:rPr>
                <w:rFonts w:ascii="Times New Roman" w:hAnsi="Times New Roman"/>
                <w:kern w:val="0"/>
                <w:szCs w:val="21"/>
              </w:rPr>
              <w:t>一次消防排水量约1080m</w:t>
            </w:r>
            <w:r>
              <w:rPr>
                <w:rFonts w:ascii="Times New Roman" w:hAnsi="Times New Roman"/>
                <w:kern w:val="0"/>
                <w:szCs w:val="21"/>
                <w:vertAlign w:val="superscript"/>
              </w:rPr>
              <w:t>3</w:t>
            </w:r>
            <w:r>
              <w:rPr>
                <w:rFonts w:ascii="Times New Roman" w:hAnsi="Times New Roman"/>
                <w:kern w:val="0"/>
                <w:szCs w:val="21"/>
              </w:rPr>
              <w:t>，初期污染雨水量约15m</w:t>
            </w:r>
            <w:r>
              <w:rPr>
                <w:rFonts w:ascii="Times New Roman" w:hAnsi="Times New Roman"/>
                <w:kern w:val="0"/>
                <w:szCs w:val="21"/>
                <w:vertAlign w:val="superscript"/>
              </w:rPr>
              <w:t>3</w:t>
            </w:r>
            <w:r>
              <w:rPr>
                <w:rFonts w:ascii="Times New Roman" w:hAnsi="Times New Roman"/>
                <w:kern w:val="0"/>
                <w:szCs w:val="21"/>
              </w:rPr>
              <w:t>，</w:t>
            </w:r>
            <w:r>
              <w:rPr>
                <w:rFonts w:ascii="Times New Roman" w:hAnsi="Times New Roman"/>
                <w:bCs/>
                <w:szCs w:val="21"/>
              </w:rPr>
              <w:t>事故废水发生概率小且事故废水产生量不大，可依托现有事故池。</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8</w:t>
            </w:r>
          </w:p>
        </w:tc>
        <w:tc>
          <w:tcPr>
            <w:tcW w:w="660"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固废</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危废暂存间</w:t>
            </w:r>
          </w:p>
        </w:tc>
        <w:tc>
          <w:tcPr>
            <w:tcW w:w="6795" w:type="dxa"/>
            <w:gridSpan w:val="6"/>
            <w:vAlign w:val="center"/>
          </w:tcPr>
          <w:p>
            <w:pPr>
              <w:jc w:val="left"/>
              <w:rPr>
                <w:rFonts w:ascii="Times New Roman" w:hAnsi="Times New Roman"/>
                <w:bCs/>
                <w:szCs w:val="21"/>
              </w:rPr>
            </w:pPr>
            <w:r>
              <w:rPr>
                <w:rFonts w:ascii="Times New Roman" w:hAnsi="Times New Roman"/>
                <w:bCs/>
                <w:szCs w:val="21"/>
              </w:rPr>
              <w:t>现有危废暂存仓库20m</w:t>
            </w:r>
            <w:r>
              <w:rPr>
                <w:rFonts w:ascii="Times New Roman" w:hAnsi="Times New Roman"/>
                <w:bCs/>
                <w:szCs w:val="21"/>
                <w:vertAlign w:val="superscript"/>
              </w:rPr>
              <w:t>2</w:t>
            </w:r>
            <w:r>
              <w:rPr>
                <w:rFonts w:ascii="Times New Roman" w:hAnsi="Times New Roman"/>
                <w:bCs/>
                <w:szCs w:val="21"/>
              </w:rPr>
              <w:t>，根据调查，目前危废暂存间基本空闲；此次本项目需暂存的危废主要是废催化剂、废润滑油，产生量较小且更换周期长，可依托现有危废暂存仓库。</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2"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9</w:t>
            </w:r>
          </w:p>
        </w:tc>
        <w:tc>
          <w:tcPr>
            <w:tcW w:w="660" w:type="dxa"/>
            <w:shd w:val="clear" w:color="auto" w:fill="auto"/>
            <w:tcMar>
              <w:left w:w="28" w:type="dxa"/>
              <w:right w:w="28" w:type="dxa"/>
            </w:tcMar>
            <w:vAlign w:val="center"/>
          </w:tcPr>
          <w:p>
            <w:pPr>
              <w:jc w:val="center"/>
              <w:rPr>
                <w:rFonts w:ascii="Times New Roman" w:hAnsi="Times New Roman"/>
                <w:bCs/>
                <w:szCs w:val="21"/>
              </w:rPr>
            </w:pPr>
            <w:r>
              <w:rPr>
                <w:rFonts w:ascii="Times New Roman" w:hAnsi="Times New Roman"/>
                <w:bCs/>
                <w:szCs w:val="21"/>
              </w:rPr>
              <w:t>废气</w:t>
            </w:r>
          </w:p>
        </w:tc>
        <w:tc>
          <w:tcPr>
            <w:tcW w:w="105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火炬</w:t>
            </w:r>
          </w:p>
        </w:tc>
        <w:tc>
          <w:tcPr>
            <w:tcW w:w="6795" w:type="dxa"/>
            <w:gridSpan w:val="6"/>
            <w:vAlign w:val="center"/>
          </w:tcPr>
          <w:p>
            <w:pPr>
              <w:jc w:val="left"/>
              <w:rPr>
                <w:rFonts w:ascii="Times New Roman" w:hAnsi="Times New Roman"/>
                <w:bCs/>
                <w:szCs w:val="21"/>
              </w:rPr>
            </w:pPr>
            <w:r>
              <w:rPr>
                <w:rFonts w:ascii="Times New Roman" w:hAnsi="Times New Roman"/>
                <w:bCs/>
                <w:szCs w:val="21"/>
              </w:rPr>
              <w:t>现有火炬系统最大处理能力200t/h，本项目正常生产过程进入火炬系统的废气产生量</w:t>
            </w:r>
            <w:r>
              <w:rPr>
                <w:rFonts w:hint="eastAsia" w:ascii="Times New Roman" w:hAnsi="Times New Roman"/>
                <w:bCs/>
                <w:szCs w:val="21"/>
              </w:rPr>
              <w:t>约</w:t>
            </w:r>
            <w:r>
              <w:rPr>
                <w:rFonts w:ascii="Times New Roman" w:hAnsi="Times New Roman"/>
                <w:bCs/>
                <w:szCs w:val="21"/>
              </w:rPr>
              <w:t>9.1</w:t>
            </w:r>
            <w:r>
              <w:rPr>
                <w:rFonts w:hint="eastAsia" w:ascii="Times New Roman" w:hAnsi="Times New Roman"/>
                <w:bCs/>
                <w:szCs w:val="21"/>
              </w:rPr>
              <w:t>kg</w:t>
            </w:r>
            <w:r>
              <w:rPr>
                <w:rFonts w:ascii="Times New Roman" w:hAnsi="Times New Roman"/>
                <w:bCs/>
                <w:szCs w:val="21"/>
              </w:rPr>
              <w:t>/h，事故</w:t>
            </w:r>
            <w:r>
              <w:rPr>
                <w:rFonts w:hint="eastAsia" w:ascii="Times New Roman" w:hAnsi="Times New Roman"/>
                <w:bCs/>
                <w:szCs w:val="21"/>
              </w:rPr>
              <w:t>安全阀泄放气</w:t>
            </w:r>
            <w:r>
              <w:rPr>
                <w:rFonts w:ascii="Times New Roman" w:hAnsi="Times New Roman"/>
                <w:bCs/>
                <w:szCs w:val="21"/>
              </w:rPr>
              <w:t>排放≤22t/h，可依托</w:t>
            </w:r>
            <w:r>
              <w:rPr>
                <w:rFonts w:hint="eastAsia" w:ascii="Times New Roman" w:hAnsi="Times New Roman"/>
                <w:bCs/>
                <w:szCs w:val="21"/>
              </w:rPr>
              <w:t>现有火炬系统。</w:t>
            </w:r>
          </w:p>
        </w:tc>
      </w:tr>
    </w:tbl>
    <w:p>
      <w:pPr>
        <w:spacing w:line="520" w:lineRule="exact"/>
        <w:ind w:firstLine="560" w:firstLineChars="200"/>
        <w:rPr>
          <w:rFonts w:ascii="Times New Roman" w:hAnsi="Times New Roman"/>
          <w:sz w:val="28"/>
          <w:szCs w:val="28"/>
        </w:rPr>
      </w:pPr>
      <w:r>
        <w:rPr>
          <w:rFonts w:ascii="Times New Roman" w:hAnsi="Times New Roman"/>
          <w:sz w:val="28"/>
          <w:szCs w:val="28"/>
        </w:rPr>
        <w:t>从上表可知，项目</w:t>
      </w:r>
      <w:r>
        <w:rPr>
          <w:rFonts w:hint="eastAsia" w:ascii="Times New Roman" w:hAnsi="Times New Roman"/>
          <w:sz w:val="28"/>
          <w:szCs w:val="28"/>
        </w:rPr>
        <w:t>氢气</w:t>
      </w:r>
      <w:r>
        <w:rPr>
          <w:rFonts w:ascii="Times New Roman" w:hAnsi="Times New Roman"/>
          <w:sz w:val="28"/>
          <w:szCs w:val="28"/>
        </w:rPr>
        <w:t>、</w:t>
      </w:r>
      <w:r>
        <w:rPr>
          <w:rFonts w:hint="eastAsia" w:ascii="Times New Roman" w:hAnsi="Times New Roman"/>
          <w:sz w:val="28"/>
          <w:szCs w:val="28"/>
        </w:rPr>
        <w:t>供水、供热公辅工程及三废处理</w:t>
      </w:r>
      <w:r>
        <w:rPr>
          <w:rFonts w:ascii="Times New Roman" w:hAnsi="Times New Roman"/>
          <w:sz w:val="28"/>
          <w:szCs w:val="28"/>
        </w:rPr>
        <w:t>等系统均可依托大化</w:t>
      </w:r>
      <w:r>
        <w:rPr>
          <w:rFonts w:hint="eastAsia" w:ascii="Times New Roman" w:hAnsi="Times New Roman"/>
          <w:sz w:val="28"/>
          <w:szCs w:val="28"/>
        </w:rPr>
        <w:t>厂区现有设施</w:t>
      </w:r>
      <w:r>
        <w:rPr>
          <w:rFonts w:ascii="Times New Roman" w:hAnsi="Times New Roman"/>
          <w:sz w:val="28"/>
          <w:szCs w:val="28"/>
        </w:rPr>
        <w:t>。</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3.2.10  本项目</w:t>
      </w:r>
      <w:r>
        <w:rPr>
          <w:rFonts w:hint="eastAsia" w:ascii="Times New Roman" w:hAnsi="Times New Roman" w:eastAsia="楷体_GB2312"/>
          <w:sz w:val="28"/>
          <w:szCs w:val="28"/>
          <w:lang w:val="en-US" w:eastAsia="zh-CN"/>
        </w:rPr>
        <w:t>经济技术指标</w:t>
      </w:r>
    </w:p>
    <w:p>
      <w:pPr>
        <w:spacing w:line="520" w:lineRule="exact"/>
        <w:ind w:firstLine="560" w:firstLineChars="200"/>
        <w:rPr>
          <w:rFonts w:ascii="Times New Roman" w:hAnsi="Times New Roman"/>
          <w:sz w:val="28"/>
          <w:szCs w:val="28"/>
        </w:rPr>
      </w:pPr>
      <w:r>
        <w:rPr>
          <w:rFonts w:hint="eastAsia" w:ascii="Times New Roman" w:hAnsi="Times New Roman"/>
          <w:sz w:val="28"/>
          <w:szCs w:val="28"/>
        </w:rPr>
        <w:t>本项目主要经济技术指标参数见</w:t>
      </w:r>
      <w:r>
        <w:rPr>
          <w:rFonts w:ascii="Times New Roman" w:hAnsi="Times New Roman"/>
          <w:sz w:val="28"/>
          <w:szCs w:val="28"/>
        </w:rPr>
        <w:t>表3.2-12</w:t>
      </w:r>
      <w:r>
        <w:rPr>
          <w:rFonts w:hint="eastAsia" w:ascii="Times New Roman" w:hAnsi="Times New Roman"/>
          <w:sz w:val="28"/>
          <w:szCs w:val="28"/>
        </w:rPr>
        <w:t>。</w:t>
      </w:r>
    </w:p>
    <w:p>
      <w:pPr>
        <w:pStyle w:val="32"/>
        <w:ind w:firstLine="679" w:firstLineChars="282"/>
      </w:pPr>
      <w:r>
        <w:t>表3.2-12          本项目</w:t>
      </w:r>
      <w:r>
        <w:rPr>
          <w:rFonts w:hint="eastAsia"/>
        </w:rPr>
        <w:t>主要技术经济指标参数一览表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2"/>
        <w:gridCol w:w="2043"/>
        <w:gridCol w:w="1701"/>
        <w:gridCol w:w="1701"/>
        <w:gridCol w:w="26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
                <w:szCs w:val="21"/>
              </w:rPr>
            </w:pPr>
            <w:r>
              <w:rPr>
                <w:rFonts w:ascii="Times New Roman" w:hAnsi="Times New Roman"/>
                <w:b/>
                <w:szCs w:val="21"/>
              </w:rPr>
              <w:t>序号</w:t>
            </w:r>
          </w:p>
        </w:tc>
        <w:tc>
          <w:tcPr>
            <w:tcW w:w="2043" w:type="dxa"/>
            <w:tcMar>
              <w:left w:w="28" w:type="dxa"/>
              <w:right w:w="28" w:type="dxa"/>
            </w:tcMar>
            <w:vAlign w:val="center"/>
          </w:tcPr>
          <w:p>
            <w:pPr>
              <w:jc w:val="center"/>
              <w:rPr>
                <w:rFonts w:ascii="Times New Roman" w:hAnsi="Times New Roman"/>
                <w:b/>
                <w:szCs w:val="21"/>
              </w:rPr>
            </w:pPr>
            <w:r>
              <w:rPr>
                <w:rFonts w:ascii="Times New Roman" w:hAnsi="Times New Roman"/>
                <w:b/>
                <w:szCs w:val="21"/>
              </w:rPr>
              <w:t>项目名称</w:t>
            </w:r>
          </w:p>
        </w:tc>
        <w:tc>
          <w:tcPr>
            <w:tcW w:w="1701" w:type="dxa"/>
            <w:tcMar>
              <w:left w:w="28" w:type="dxa"/>
              <w:right w:w="28" w:type="dxa"/>
            </w:tcMar>
            <w:vAlign w:val="center"/>
          </w:tcPr>
          <w:p>
            <w:pPr>
              <w:jc w:val="center"/>
              <w:rPr>
                <w:rFonts w:ascii="Times New Roman" w:hAnsi="Times New Roman"/>
                <w:b/>
                <w:szCs w:val="21"/>
              </w:rPr>
            </w:pPr>
            <w:r>
              <w:rPr>
                <w:rFonts w:ascii="Times New Roman" w:hAnsi="Times New Roman"/>
                <w:b/>
                <w:szCs w:val="21"/>
              </w:rPr>
              <w:t>单位</w:t>
            </w:r>
          </w:p>
        </w:tc>
        <w:tc>
          <w:tcPr>
            <w:tcW w:w="1701" w:type="dxa"/>
            <w:tcMar>
              <w:left w:w="28" w:type="dxa"/>
              <w:right w:w="28" w:type="dxa"/>
            </w:tcMar>
            <w:vAlign w:val="center"/>
          </w:tcPr>
          <w:p>
            <w:pPr>
              <w:jc w:val="center"/>
              <w:rPr>
                <w:rFonts w:ascii="Times New Roman" w:hAnsi="Times New Roman"/>
                <w:b/>
                <w:szCs w:val="21"/>
              </w:rPr>
            </w:pPr>
            <w:r>
              <w:rPr>
                <w:rFonts w:ascii="Times New Roman" w:hAnsi="Times New Roman"/>
                <w:b/>
                <w:szCs w:val="21"/>
              </w:rPr>
              <w:t>数量</w:t>
            </w:r>
          </w:p>
        </w:tc>
        <w:tc>
          <w:tcPr>
            <w:tcW w:w="2608" w:type="dxa"/>
            <w:tcMar>
              <w:left w:w="28" w:type="dxa"/>
              <w:right w:w="28" w:type="dxa"/>
            </w:tcMar>
            <w:vAlign w:val="center"/>
          </w:tcPr>
          <w:p>
            <w:pPr>
              <w:jc w:val="center"/>
              <w:rPr>
                <w:rFonts w:ascii="Times New Roman" w:hAnsi="Times New Roman"/>
                <w:b/>
                <w:szCs w:val="21"/>
              </w:rPr>
            </w:pPr>
            <w:r>
              <w:rPr>
                <w:rFonts w:ascii="Times New Roman" w:hAnsi="Times New Roman"/>
                <w:b/>
                <w:szCs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一</w:t>
            </w:r>
          </w:p>
        </w:tc>
        <w:tc>
          <w:tcPr>
            <w:tcW w:w="8053" w:type="dxa"/>
            <w:gridSpan w:val="4"/>
            <w:tcMar>
              <w:left w:w="28" w:type="dxa"/>
              <w:right w:w="28" w:type="dxa"/>
            </w:tcMar>
            <w:vAlign w:val="center"/>
          </w:tcPr>
          <w:p>
            <w:pPr>
              <w:jc w:val="left"/>
              <w:rPr>
                <w:rFonts w:ascii="Times New Roman" w:hAnsi="Times New Roman"/>
                <w:bCs/>
                <w:szCs w:val="21"/>
              </w:rPr>
            </w:pPr>
            <w:r>
              <w:rPr>
                <w:rFonts w:ascii="Times New Roman" w:hAnsi="Times New Roman"/>
                <w:bCs/>
                <w:kern w:val="0"/>
                <w:szCs w:val="21"/>
              </w:rPr>
              <w:t>产品方案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1</w:t>
            </w:r>
          </w:p>
        </w:tc>
        <w:tc>
          <w:tcPr>
            <w:tcW w:w="2043"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乙二醇</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t/a</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746.8</w:t>
            </w:r>
          </w:p>
        </w:tc>
        <w:tc>
          <w:tcPr>
            <w:tcW w:w="2608"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主产品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2</w:t>
            </w:r>
          </w:p>
        </w:tc>
        <w:tc>
          <w:tcPr>
            <w:tcW w:w="2043"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丙二醇</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t/a</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194.4</w:t>
            </w:r>
          </w:p>
        </w:tc>
        <w:tc>
          <w:tcPr>
            <w:tcW w:w="2608"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副产品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3</w:t>
            </w:r>
          </w:p>
        </w:tc>
        <w:tc>
          <w:tcPr>
            <w:tcW w:w="2043"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轻馏分</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t/a</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61.8</w:t>
            </w:r>
          </w:p>
        </w:tc>
        <w:tc>
          <w:tcPr>
            <w:tcW w:w="2608"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副产品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4</w:t>
            </w:r>
          </w:p>
        </w:tc>
        <w:tc>
          <w:tcPr>
            <w:tcW w:w="2043"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重组分</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t/a</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336.0</w:t>
            </w:r>
          </w:p>
        </w:tc>
        <w:tc>
          <w:tcPr>
            <w:tcW w:w="2608"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副产品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 w:type="dxa"/>
            <w:tcMar>
              <w:left w:w="28" w:type="dxa"/>
              <w:right w:w="28" w:type="dxa"/>
            </w:tcMar>
            <w:vAlign w:val="center"/>
          </w:tcPr>
          <w:p>
            <w:pPr>
              <w:jc w:val="center"/>
              <w:rPr>
                <w:rFonts w:ascii="Times New Roman" w:hAnsi="Times New Roman"/>
                <w:bCs/>
                <w:kern w:val="0"/>
                <w:szCs w:val="21"/>
              </w:rPr>
            </w:pPr>
            <w:r>
              <w:rPr>
                <w:rFonts w:ascii="Times New Roman" w:hAnsi="Times New Roman"/>
                <w:bCs/>
                <w:kern w:val="0"/>
                <w:szCs w:val="21"/>
              </w:rPr>
              <w:t>二</w:t>
            </w:r>
          </w:p>
        </w:tc>
        <w:tc>
          <w:tcPr>
            <w:tcW w:w="2043" w:type="dxa"/>
            <w:tcMar>
              <w:left w:w="28" w:type="dxa"/>
              <w:right w:w="28" w:type="dxa"/>
            </w:tcMar>
            <w:vAlign w:val="center"/>
          </w:tcPr>
          <w:p>
            <w:pPr>
              <w:jc w:val="center"/>
              <w:rPr>
                <w:rFonts w:ascii="Times New Roman" w:hAnsi="Times New Roman"/>
                <w:bCs/>
                <w:kern w:val="0"/>
                <w:szCs w:val="21"/>
              </w:rPr>
            </w:pPr>
            <w:r>
              <w:rPr>
                <w:rFonts w:ascii="Times New Roman" w:hAnsi="Times New Roman"/>
                <w:bCs/>
                <w:kern w:val="0"/>
                <w:szCs w:val="21"/>
              </w:rPr>
              <w:t>年操作时间</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kern w:val="0"/>
                <w:szCs w:val="21"/>
              </w:rPr>
              <w:t>天</w:t>
            </w:r>
          </w:p>
        </w:tc>
        <w:tc>
          <w:tcPr>
            <w:tcW w:w="1701"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333</w:t>
            </w:r>
          </w:p>
        </w:tc>
        <w:tc>
          <w:tcPr>
            <w:tcW w:w="2608" w:type="dxa"/>
            <w:tcMar>
              <w:left w:w="28" w:type="dxa"/>
              <w:right w:w="28" w:type="dxa"/>
            </w:tcMar>
            <w:vAlign w:val="center"/>
          </w:tcPr>
          <w:p>
            <w:pPr>
              <w:jc w:val="center"/>
              <w:rPr>
                <w:rFonts w:ascii="Times New Roman" w:hAnsi="Times New Roman"/>
                <w:bCs/>
                <w:szCs w:val="21"/>
              </w:rPr>
            </w:pPr>
            <w:r>
              <w:rPr>
                <w:rFonts w:ascii="Times New Roman" w:hAnsi="Times New Roman"/>
                <w:bCs/>
                <w:szCs w:val="21"/>
              </w:rPr>
              <w:t>折8000h</w:t>
            </w:r>
          </w:p>
        </w:tc>
      </w:tr>
    </w:tbl>
    <w:p>
      <w:pPr>
        <w:pStyle w:val="32"/>
        <w:ind w:firstLine="482" w:firstLineChars="200"/>
        <w:rPr>
          <w:rFonts w:ascii="Times New Roman" w:hAnsi="Times New Roman" w:eastAsia="黑体"/>
          <w:sz w:val="28"/>
          <w:szCs w:val="28"/>
          <w:lang w:val="en-US" w:eastAsia="zh-CN"/>
        </w:rPr>
      </w:pPr>
      <w:r>
        <w:rPr>
          <w:rFonts w:hint="eastAsia"/>
          <w:lang w:eastAsia="zh-CN"/>
        </w:rPr>
        <w:t>（涉及商业机密部分未列出）</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3.3  生产工艺及产污环节分析</w:t>
      </w:r>
    </w:p>
    <w:p>
      <w:pPr>
        <w:autoSpaceDE w:val="0"/>
        <w:autoSpaceDN w:val="0"/>
        <w:adjustRightInd w:val="0"/>
        <w:spacing w:line="520" w:lineRule="exact"/>
        <w:ind w:firstLine="560" w:firstLineChars="200"/>
        <w:jc w:val="left"/>
        <w:rPr>
          <w:rStyle w:val="52"/>
          <w:rFonts w:ascii="Times New Roman" w:eastAsia="宋体" w:cs="Times New Roman"/>
          <w:b w:val="0"/>
          <w:bCs w:val="0"/>
          <w:sz w:val="28"/>
          <w:szCs w:val="28"/>
          <w:lang w:eastAsia="zh-CN"/>
        </w:rPr>
      </w:pPr>
      <w:r>
        <w:rPr>
          <w:rFonts w:ascii="Times New Roman" w:hAnsi="Times New Roman"/>
          <w:kern w:val="0"/>
          <w:sz w:val="28"/>
          <w:szCs w:val="28"/>
        </w:rPr>
        <w:t>本项目以生物质秸秆糖水溶液和氢气为原料，经乙二醇合成工段和乙二醇精馏工段得到乙二醇产品，同时副产丙二醇、轻馏分及重组分产品。</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3.3.1  工艺流程</w:t>
      </w:r>
      <w:r>
        <w:rPr>
          <w:rFonts w:hint="eastAsia" w:ascii="Times New Roman" w:hAnsi="Times New Roman" w:eastAsia="楷体_GB2312"/>
          <w:sz w:val="28"/>
          <w:szCs w:val="28"/>
          <w:lang w:val="en-US" w:eastAsia="zh-CN"/>
        </w:rPr>
        <w:t>简述</w:t>
      </w:r>
    </w:p>
    <w:p>
      <w:pPr>
        <w:pStyle w:val="33"/>
        <w:adjustRightInd w:val="0"/>
        <w:snapToGrid w:val="0"/>
      </w:pPr>
      <w:r>
        <w:t>3.3.1.1  反应原理</w:t>
      </w:r>
    </w:p>
    <w:p>
      <w:pPr>
        <w:autoSpaceDE w:val="0"/>
        <w:autoSpaceDN w:val="0"/>
        <w:adjustRightInd w:val="0"/>
        <w:spacing w:line="520" w:lineRule="exact"/>
        <w:ind w:firstLine="560" w:firstLineChars="200"/>
        <w:jc w:val="left"/>
        <w:rPr>
          <w:rStyle w:val="37"/>
          <w:rFonts w:eastAsiaTheme="minorEastAsia"/>
          <w:sz w:val="28"/>
          <w:szCs w:val="28"/>
          <w:lang w:val="zh-TW"/>
        </w:rPr>
      </w:pPr>
      <w:r>
        <w:rPr>
          <w:rStyle w:val="37"/>
          <w:rFonts w:hint="eastAsia" w:eastAsiaTheme="minorEastAsia"/>
          <w:sz w:val="28"/>
          <w:szCs w:val="28"/>
          <w:lang w:val="zh-TW"/>
        </w:rPr>
        <w:t>由纤维素直接氢解制取包含乙二醇和丙二醇在内的小分子二元醇的反应步骤包括：纤维素的</w:t>
      </w:r>
      <w:r>
        <w:rPr>
          <w:rStyle w:val="37"/>
          <w:rFonts w:eastAsiaTheme="minorEastAsia"/>
          <w:sz w:val="28"/>
          <w:szCs w:val="28"/>
          <w:lang w:val="zh-TW"/>
        </w:rPr>
        <w:t>β-1,4</w:t>
      </w:r>
      <w:r>
        <w:rPr>
          <w:rStyle w:val="37"/>
          <w:rFonts w:hint="eastAsia" w:eastAsiaTheme="minorEastAsia"/>
          <w:sz w:val="28"/>
          <w:szCs w:val="28"/>
          <w:lang w:val="zh-TW"/>
        </w:rPr>
        <w:t>糖苷键在酸性环境下断裂为葡萄糖，葡萄糖在氢气氛下和加氢</w:t>
      </w:r>
      <w:r>
        <w:rPr>
          <w:rStyle w:val="37"/>
          <w:rFonts w:eastAsiaTheme="minorEastAsia"/>
          <w:sz w:val="28"/>
          <w:szCs w:val="28"/>
          <w:lang w:val="zh-TW"/>
        </w:rPr>
        <w:t>/</w:t>
      </w:r>
      <w:r>
        <w:rPr>
          <w:rStyle w:val="37"/>
          <w:rFonts w:hint="eastAsia" w:eastAsiaTheme="minorEastAsia"/>
          <w:sz w:val="28"/>
          <w:szCs w:val="28"/>
          <w:lang w:val="zh-TW"/>
        </w:rPr>
        <w:t>氢解催化剂上选择性断裂</w:t>
      </w:r>
      <w:r>
        <w:rPr>
          <w:rStyle w:val="37"/>
          <w:rFonts w:eastAsiaTheme="minorEastAsia"/>
          <w:sz w:val="28"/>
          <w:szCs w:val="28"/>
          <w:lang w:val="zh-TW"/>
        </w:rPr>
        <w:t>C−C</w:t>
      </w:r>
      <w:r>
        <w:rPr>
          <w:rStyle w:val="37"/>
          <w:rFonts w:hint="eastAsia" w:eastAsiaTheme="minorEastAsia"/>
          <w:sz w:val="28"/>
          <w:szCs w:val="28"/>
          <w:lang w:val="zh-TW"/>
        </w:rPr>
        <w:t>键和</w:t>
      </w:r>
      <w:r>
        <w:rPr>
          <w:rStyle w:val="37"/>
          <w:rFonts w:eastAsiaTheme="minorEastAsia"/>
          <w:sz w:val="28"/>
          <w:szCs w:val="28"/>
          <w:lang w:val="zh-TW"/>
        </w:rPr>
        <w:t>C−O</w:t>
      </w:r>
      <w:r>
        <w:rPr>
          <w:rStyle w:val="37"/>
          <w:rFonts w:hint="eastAsia" w:eastAsiaTheme="minorEastAsia"/>
          <w:sz w:val="28"/>
          <w:szCs w:val="28"/>
          <w:lang w:val="zh-TW"/>
        </w:rPr>
        <w:t>为最终产物，或者葡萄糖加氢为山梨醇，山梨醇再经氢解得到目标产物。</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lang w:val="zh-TW"/>
        </w:rPr>
      </w:pPr>
      <w:r>
        <w:rPr>
          <w:rStyle w:val="37"/>
          <w:rFonts w:hint="eastAsia" w:eastAsiaTheme="minorEastAsia"/>
          <w:sz w:val="28"/>
          <w:szCs w:val="28"/>
          <w:lang w:val="zh-TW"/>
        </w:rPr>
        <w:t>目前报道的纤维素高选择性和高收率制取乙二醇和丙二醇的催化剂体系均与</w:t>
      </w:r>
      <w:r>
        <w:rPr>
          <w:rStyle w:val="37"/>
          <w:rFonts w:eastAsiaTheme="minorEastAsia"/>
          <w:sz w:val="28"/>
          <w:szCs w:val="28"/>
          <w:lang w:val="zh-TW"/>
        </w:rPr>
        <w:t>W</w:t>
      </w:r>
      <w:r>
        <w:rPr>
          <w:rStyle w:val="37"/>
          <w:rFonts w:hint="eastAsia" w:eastAsiaTheme="minorEastAsia"/>
          <w:sz w:val="28"/>
          <w:szCs w:val="28"/>
          <w:lang w:val="zh-TW"/>
        </w:rPr>
        <w:t>元素有关，而所有钨基催化剂在水热环境下都会形成</w:t>
      </w:r>
      <w:r>
        <w:rPr>
          <w:rStyle w:val="37"/>
          <w:rFonts w:eastAsiaTheme="minorEastAsia"/>
          <w:sz w:val="28"/>
          <w:szCs w:val="28"/>
          <w:lang w:val="zh-TW"/>
        </w:rPr>
        <w:t>HxWO</w:t>
      </w:r>
      <w:r>
        <w:rPr>
          <w:rStyle w:val="37"/>
          <w:rFonts w:eastAsiaTheme="minorEastAsia"/>
          <w:sz w:val="28"/>
          <w:szCs w:val="28"/>
          <w:vertAlign w:val="subscript"/>
          <w:lang w:val="zh-TW"/>
        </w:rPr>
        <w:t>3</w:t>
      </w:r>
      <w:r>
        <w:rPr>
          <w:rStyle w:val="37"/>
          <w:rFonts w:hint="eastAsia" w:eastAsiaTheme="minorEastAsia"/>
          <w:sz w:val="28"/>
          <w:szCs w:val="28"/>
          <w:lang w:val="zh-TW"/>
        </w:rPr>
        <w:t>，</w:t>
      </w:r>
      <w:r>
        <w:rPr>
          <w:rStyle w:val="37"/>
          <w:rFonts w:eastAsiaTheme="minorEastAsia"/>
          <w:sz w:val="28"/>
          <w:szCs w:val="28"/>
          <w:lang w:val="zh-TW"/>
        </w:rPr>
        <w:t>HxWO</w:t>
      </w:r>
      <w:r>
        <w:rPr>
          <w:rStyle w:val="37"/>
          <w:rFonts w:eastAsiaTheme="minorEastAsia"/>
          <w:sz w:val="28"/>
          <w:szCs w:val="28"/>
          <w:vertAlign w:val="subscript"/>
          <w:lang w:val="zh-TW"/>
        </w:rPr>
        <w:t>3</w:t>
      </w:r>
      <w:r>
        <w:rPr>
          <w:rStyle w:val="37"/>
          <w:rFonts w:hint="eastAsia" w:eastAsiaTheme="minorEastAsia"/>
          <w:sz w:val="28"/>
          <w:szCs w:val="28"/>
          <w:lang w:val="zh-TW"/>
        </w:rPr>
        <w:t>对断裂</w:t>
      </w:r>
      <w:r>
        <w:rPr>
          <w:rStyle w:val="37"/>
          <w:rFonts w:eastAsiaTheme="minorEastAsia"/>
          <w:sz w:val="28"/>
          <w:szCs w:val="28"/>
          <w:lang w:val="zh-TW"/>
        </w:rPr>
        <w:t>C−C</w:t>
      </w:r>
      <w:r>
        <w:rPr>
          <w:rStyle w:val="37"/>
          <w:rFonts w:hint="eastAsia" w:eastAsiaTheme="minorEastAsia"/>
          <w:sz w:val="28"/>
          <w:szCs w:val="28"/>
          <w:lang w:val="zh-TW"/>
        </w:rPr>
        <w:t>键存在一定的促进作用，所以所有钨基催化剂的反应机理类似。目前对于这个机理尚不完全清楚，其反应的大致路径如图</w:t>
      </w:r>
      <w:r>
        <w:rPr>
          <w:rStyle w:val="37"/>
          <w:rFonts w:eastAsia="PMingLiU"/>
          <w:sz w:val="28"/>
          <w:szCs w:val="28"/>
          <w:lang w:val="zh-TW" w:eastAsia="zh-TW"/>
        </w:rPr>
        <w:t>3.3</w:t>
      </w:r>
      <w:r>
        <w:rPr>
          <w:rStyle w:val="37"/>
          <w:rFonts w:hint="eastAsia" w:asciiTheme="minorEastAsia" w:hAnsiTheme="minorEastAsia" w:eastAsiaTheme="minorEastAsia"/>
          <w:sz w:val="28"/>
          <w:szCs w:val="28"/>
          <w:lang w:val="zh-TW" w:eastAsia="zh-TW"/>
        </w:rPr>
        <w:t>-</w:t>
      </w:r>
      <w:r>
        <w:rPr>
          <w:rStyle w:val="37"/>
          <w:rFonts w:eastAsia="PMingLiU"/>
          <w:sz w:val="28"/>
          <w:szCs w:val="28"/>
          <w:lang w:val="zh-TW" w:eastAsia="zh-TW"/>
        </w:rPr>
        <w:t>1</w:t>
      </w:r>
      <w:r>
        <w:rPr>
          <w:rStyle w:val="37"/>
          <w:rFonts w:hint="eastAsia" w:eastAsiaTheme="minorEastAsia"/>
          <w:sz w:val="28"/>
          <w:szCs w:val="28"/>
          <w:lang w:val="zh-TW"/>
        </w:rPr>
        <w:t>所示。</w:t>
      </w:r>
    </w:p>
    <w:p>
      <w:pPr>
        <w:widowControl/>
        <w:jc w:val="center"/>
        <w:rPr>
          <w:rFonts w:ascii="宋体" w:hAnsi="宋体" w:cs="宋体"/>
          <w:kern w:val="0"/>
          <w:sz w:val="24"/>
          <w:szCs w:val="24"/>
        </w:rPr>
      </w:pPr>
      <w:r>
        <w:rPr>
          <w:rFonts w:ascii="宋体" w:hAnsi="宋体" w:cs="宋体"/>
          <w:kern w:val="0"/>
          <w:sz w:val="24"/>
          <w:szCs w:val="24"/>
        </w:rPr>
        <w:drawing>
          <wp:inline distT="0" distB="0" distL="0" distR="0">
            <wp:extent cx="4988560" cy="3196590"/>
            <wp:effectExtent l="0" t="0" r="254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43">
                      <a:extLst>
                        <a:ext uri="{28A0092B-C50C-407E-A947-70E740481C1C}">
                          <a14:useLocalDpi xmlns:a14="http://schemas.microsoft.com/office/drawing/2010/main" val="0"/>
                        </a:ext>
                      </a:extLst>
                    </a:blip>
                    <a:srcRect t="-1" b="880"/>
                    <a:stretch>
                      <a:fillRect/>
                    </a:stretch>
                  </pic:blipFill>
                  <pic:spPr>
                    <a:xfrm>
                      <a:off x="0" y="0"/>
                      <a:ext cx="5006912" cy="3208502"/>
                    </a:xfrm>
                    <a:prstGeom prst="rect">
                      <a:avLst/>
                    </a:prstGeom>
                    <a:noFill/>
                    <a:ln>
                      <a:noFill/>
                    </a:ln>
                  </pic:spPr>
                </pic:pic>
              </a:graphicData>
            </a:graphic>
          </wp:inline>
        </w:drawing>
      </w:r>
    </w:p>
    <w:p>
      <w:pPr>
        <w:widowControl/>
        <w:jc w:val="center"/>
        <w:rPr>
          <w:rFonts w:ascii="Times New Roman" w:hAnsi="Times New Roman"/>
          <w:b/>
          <w:bCs/>
          <w:kern w:val="0"/>
          <w:sz w:val="24"/>
          <w:szCs w:val="24"/>
        </w:rPr>
      </w:pPr>
      <w:r>
        <w:rPr>
          <w:rFonts w:ascii="Times New Roman" w:hAnsi="Times New Roman"/>
          <w:b/>
          <w:bCs/>
          <w:kern w:val="0"/>
          <w:sz w:val="24"/>
          <w:szCs w:val="24"/>
        </w:rPr>
        <w:t xml:space="preserve">图3.3-1     </w:t>
      </w:r>
      <w:r>
        <w:rPr>
          <w:rFonts w:hint="eastAsia" w:ascii="Times New Roman" w:hAnsi="Times New Roman"/>
          <w:b/>
          <w:bCs/>
          <w:kern w:val="0"/>
          <w:sz w:val="24"/>
          <w:szCs w:val="24"/>
        </w:rPr>
        <w:t>钨基催化剂氢解纤维素的反应路径</w:t>
      </w:r>
      <w:r>
        <w:rPr>
          <w:rFonts w:ascii="Times New Roman" w:hAnsi="Times New Roman"/>
          <w:b/>
          <w:bCs/>
          <w:kern w:val="0"/>
          <w:sz w:val="24"/>
          <w:szCs w:val="24"/>
        </w:rPr>
        <w:t>图</w:t>
      </w:r>
    </w:p>
    <w:p>
      <w:pPr>
        <w:spacing w:line="520" w:lineRule="exact"/>
        <w:ind w:firstLine="560" w:firstLineChars="200"/>
        <w:rPr>
          <w:rFonts w:ascii="Times New Roman" w:hAnsi="Times New Roman"/>
          <w:sz w:val="28"/>
          <w:szCs w:val="28"/>
        </w:rPr>
      </w:pPr>
      <w:r>
        <w:rPr>
          <w:rFonts w:ascii="Times New Roman" w:hAnsi="Times New Roman"/>
          <w:sz w:val="28"/>
          <w:szCs w:val="28"/>
        </w:rPr>
        <w:t>本次中试项目采用的原料是工业秸秆糖溶液，工业秸秆糖溶液主要成分包括木糖、低聚木糖和葡萄糖，上述反应机理图完全适用于葡萄糖转化过程，对于木糖转化途径与上述反应机理图类似，主要产物为乙二醇、1,2-丙二醇、甘油和木糖醇。中试过程中的粗乙二醇产品会伴有木糖醇、甘油、山梨醇、甘露醇以及1，2-丙二醇的产生，但在精馏工段可将木糖醇、甘油、山梨醇、甘露醇分离作为重组分，1，2-丙二醇馏分分开作为副产品。在中试过程中，如果副反应较为突出可以通过对反应的温度、压力以及催化剂比例进行调节，抑制副产的过度产生。</w:t>
      </w:r>
    </w:p>
    <w:p>
      <w:pPr>
        <w:spacing w:line="520" w:lineRule="exact"/>
        <w:ind w:firstLine="560" w:firstLineChars="200"/>
        <w:rPr>
          <w:rFonts w:ascii="Times New Roman" w:hAnsi="Times New Roman"/>
          <w:sz w:val="28"/>
          <w:szCs w:val="28"/>
        </w:rPr>
      </w:pPr>
    </w:p>
    <w:p>
      <w:pPr>
        <w:pStyle w:val="33"/>
        <w:adjustRightInd w:val="0"/>
        <w:snapToGrid w:val="0"/>
      </w:pPr>
      <w:r>
        <w:t>3.3.1.</w:t>
      </w:r>
      <w:r>
        <w:rPr>
          <w:rFonts w:hint="eastAsia"/>
        </w:rPr>
        <w:t>2</w:t>
      </w:r>
      <w:r>
        <w:t xml:space="preserve">  反应控制参数</w:t>
      </w:r>
    </w:p>
    <w:p>
      <w:pPr>
        <w:pStyle w:val="44"/>
        <w:shd w:val="clear" w:color="auto" w:fill="auto"/>
        <w:spacing w:line="520" w:lineRule="exact"/>
        <w:ind w:firstLine="560" w:firstLineChars="200"/>
        <w:rPr>
          <w:rFonts w:ascii="Times New Roman" w:hAnsi="Times New Roman" w:eastAsiaTheme="minorEastAsia"/>
          <w:sz w:val="28"/>
          <w:szCs w:val="28"/>
          <w:lang w:eastAsia="zh-CN"/>
        </w:rPr>
      </w:pPr>
      <w:r>
        <w:rPr>
          <w:rStyle w:val="37"/>
          <w:rFonts w:hint="eastAsia" w:eastAsiaTheme="minorEastAsia"/>
          <w:b w:val="0"/>
          <w:bCs w:val="0"/>
          <w:sz w:val="28"/>
          <w:szCs w:val="28"/>
          <w:lang w:val="zh-TW" w:eastAsia="zh-TW"/>
        </w:rPr>
        <w:t>项目装置</w:t>
      </w:r>
      <w:r>
        <w:rPr>
          <w:rStyle w:val="52"/>
          <w:rFonts w:ascii="Times New Roman" w:cs="Times New Roman" w:eastAsiaTheme="minorEastAsia"/>
          <w:b w:val="0"/>
          <w:bCs w:val="0"/>
          <w:sz w:val="28"/>
          <w:szCs w:val="28"/>
          <w:lang w:eastAsia="zh-CN"/>
        </w:rPr>
        <w:t>各设备的温度及压力控制参数见表</w:t>
      </w:r>
      <w:r>
        <w:rPr>
          <w:rFonts w:ascii="Times New Roman" w:hAnsi="Times New Roman" w:eastAsiaTheme="minorEastAsia"/>
          <w:b w:val="0"/>
          <w:bCs w:val="0"/>
          <w:sz w:val="28"/>
          <w:szCs w:val="28"/>
          <w:lang w:eastAsia="zh-CN"/>
        </w:rPr>
        <w:t>3.3-1</w:t>
      </w:r>
      <w:r>
        <w:rPr>
          <w:rFonts w:ascii="Times New Roman" w:hAnsi="Times New Roman" w:eastAsiaTheme="minorEastAsia"/>
          <w:sz w:val="28"/>
          <w:szCs w:val="28"/>
          <w:lang w:eastAsia="zh-CN"/>
        </w:rPr>
        <w:t>。</w:t>
      </w:r>
    </w:p>
    <w:p>
      <w:pPr>
        <w:pStyle w:val="32"/>
        <w:ind w:firstLine="679" w:firstLineChars="282"/>
      </w:pPr>
      <w:r>
        <w:t xml:space="preserve">表3.3-1         </w:t>
      </w:r>
      <w:r>
        <w:rPr>
          <w:rFonts w:hint="eastAsia"/>
        </w:rPr>
        <w:t xml:space="preserve"> </w:t>
      </w:r>
      <w:r>
        <w:t xml:space="preserve">  </w:t>
      </w:r>
      <w:r>
        <w:rPr>
          <w:rFonts w:hint="eastAsia"/>
        </w:rPr>
        <w:t>装置</w:t>
      </w:r>
      <w:r>
        <w:t>设备主要温度、压力控制参数表</w:t>
      </w:r>
    </w:p>
    <w:p>
      <w:pPr>
        <w:pStyle w:val="32"/>
        <w:ind w:left="0" w:firstLine="482" w:firstLineChars="200"/>
        <w:rPr>
          <w:rFonts w:hint="eastAsia" w:eastAsia="黑体"/>
          <w:lang w:eastAsia="zh-CN"/>
        </w:rPr>
      </w:pPr>
      <w:r>
        <w:rPr>
          <w:rFonts w:hint="eastAsia"/>
          <w:lang w:eastAsia="zh-CN"/>
        </w:rPr>
        <w:t>（涉及商业机密未列出）</w:t>
      </w:r>
    </w:p>
    <w:p>
      <w:pPr>
        <w:pStyle w:val="32"/>
        <w:ind w:firstLine="679" w:firstLineChars="282"/>
      </w:pPr>
    </w:p>
    <w:p>
      <w:pPr>
        <w:pStyle w:val="33"/>
        <w:adjustRightInd w:val="0"/>
        <w:snapToGrid w:val="0"/>
      </w:pPr>
      <w:r>
        <w:t>3.3.1.</w:t>
      </w:r>
      <w:r>
        <w:rPr>
          <w:rFonts w:hint="eastAsia"/>
        </w:rPr>
        <w:t>3</w:t>
      </w:r>
      <w:r>
        <w:t xml:space="preserve">  工艺流程</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（1）乙二醇合成</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乙二醇合成工段采用秸秆糖水溶液为原料，直接加氢</w:t>
      </w:r>
      <w:r>
        <w:rPr>
          <w:rFonts w:hint="eastAsia" w:ascii="Times New Roman" w:hAnsi="Times New Roman"/>
          <w:kern w:val="0"/>
          <w:sz w:val="28"/>
          <w:szCs w:val="28"/>
        </w:rPr>
        <w:t>在催化剂条件下</w:t>
      </w:r>
      <w:r>
        <w:rPr>
          <w:rFonts w:ascii="Times New Roman" w:hAnsi="Times New Roman"/>
          <w:kern w:val="0"/>
          <w:sz w:val="28"/>
          <w:szCs w:val="28"/>
        </w:rPr>
        <w:t>生成粗乙二醇。</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highlight w:val="none"/>
        </w:rPr>
        <w:t>来自界区外的秸秆糖水溶液（或葡萄糖）首先在糖溶液配制罐中利用脱盐水稀释配制成</w:t>
      </w:r>
      <w:r>
        <w:rPr>
          <w:rFonts w:hint="eastAsia" w:ascii="Times New Roman" w:hAnsi="Times New Roman"/>
          <w:kern w:val="0"/>
          <w:sz w:val="28"/>
          <w:szCs w:val="28"/>
          <w:highlight w:val="none"/>
          <w:lang w:eastAsia="zh-CN"/>
        </w:rPr>
        <w:t>稀</w:t>
      </w:r>
      <w:r>
        <w:rPr>
          <w:rFonts w:ascii="Times New Roman" w:hAnsi="Times New Roman"/>
          <w:kern w:val="0"/>
          <w:sz w:val="28"/>
          <w:szCs w:val="28"/>
          <w:highlight w:val="none"/>
        </w:rPr>
        <w:t>秸秆糖水溶液，</w:t>
      </w:r>
      <w:r>
        <w:rPr>
          <w:rFonts w:ascii="Times New Roman" w:hAnsi="Times New Roman"/>
          <w:kern w:val="0"/>
          <w:sz w:val="28"/>
          <w:szCs w:val="28"/>
        </w:rPr>
        <w:t>泵送至糖溶液缓冲罐备用。来自界区外的低压氢气由H</w:t>
      </w:r>
      <w:r>
        <w:rPr>
          <w:rFonts w:ascii="Times New Roman" w:hAnsi="Times New Roman"/>
          <w:kern w:val="0"/>
          <w:sz w:val="28"/>
          <w:szCs w:val="28"/>
          <w:vertAlign w:val="subscript"/>
        </w:rPr>
        <w:t>2</w:t>
      </w:r>
      <w:r>
        <w:rPr>
          <w:rFonts w:ascii="Times New Roman" w:hAnsi="Times New Roman"/>
          <w:kern w:val="0"/>
          <w:sz w:val="28"/>
          <w:szCs w:val="28"/>
        </w:rPr>
        <w:t>压缩机进行增压。秸秆糖水溶液和氢气在液相催化剂和固相催化剂条件下，在反应釜内进行加氢反应，生成粗乙二醇反应液</w:t>
      </w:r>
      <w:r>
        <w:rPr>
          <w:rFonts w:hint="eastAsia" w:ascii="Times New Roman" w:hAnsi="Times New Roman"/>
          <w:kern w:val="0"/>
          <w:sz w:val="28"/>
          <w:szCs w:val="28"/>
          <w:highlight w:val="none"/>
          <w:lang w:eastAsia="zh-CN"/>
        </w:rPr>
        <w:t>。</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液相催化剂在糖溶液配制罐中加入，固相催化剂在固态催化剂配制罐中经脱盐水配制后自流至反应釜，反应釜气相</w:t>
      </w:r>
      <w:r>
        <w:rPr>
          <w:rFonts w:hint="eastAsia" w:ascii="Times New Roman" w:hAnsi="Times New Roman"/>
          <w:kern w:val="0"/>
          <w:sz w:val="28"/>
          <w:szCs w:val="28"/>
        </w:rPr>
        <w:t>（驰放气）</w:t>
      </w:r>
      <w:r>
        <w:rPr>
          <w:rFonts w:ascii="Times New Roman" w:hAnsi="Times New Roman"/>
          <w:kern w:val="0"/>
          <w:sz w:val="28"/>
          <w:szCs w:val="28"/>
        </w:rPr>
        <w:t>去界区外火炬处理，液相主要成分为乙二醇、丙二醇和水，经反应釜内过滤系统处理后送往乙二醇精馏工段。送乙二醇精馏工序。</w:t>
      </w:r>
    </w:p>
    <w:p>
      <w:pPr>
        <w:spacing w:line="520" w:lineRule="exact"/>
        <w:ind w:firstLine="560" w:firstLineChars="200"/>
        <w:rPr>
          <w:rFonts w:ascii="Times New Roman" w:hAnsi="Times New Roman"/>
          <w:kern w:val="0"/>
          <w:sz w:val="28"/>
          <w:szCs w:val="28"/>
        </w:rPr>
      </w:pPr>
      <w:r>
        <w:rPr>
          <w:rFonts w:ascii="Times New Roman" w:hAnsi="Times New Roman"/>
          <w:kern w:val="0"/>
          <w:sz w:val="28"/>
          <w:szCs w:val="28"/>
        </w:rPr>
        <w:t>（2）乙二醇精馏</w:t>
      </w:r>
    </w:p>
    <w:p>
      <w:pPr>
        <w:spacing w:line="520" w:lineRule="exact"/>
        <w:ind w:firstLine="560" w:firstLineChars="200"/>
        <w:rPr>
          <w:rFonts w:ascii="Times New Roman" w:hAnsi="Times New Roman"/>
          <w:kern w:val="0"/>
          <w:sz w:val="28"/>
          <w:szCs w:val="28"/>
        </w:rPr>
      </w:pPr>
      <w:r>
        <w:rPr>
          <w:rFonts w:ascii="Times New Roman" w:hAnsi="Times New Roman"/>
          <w:kern w:val="0"/>
          <w:sz w:val="28"/>
          <w:szCs w:val="28"/>
        </w:rPr>
        <w:t>乙二醇精馏主要流程是：粗乙二醇反应液经两级闪蒸后，液相物料依次流经脱轻塔、丙二醇精制塔、脱重塔和乙二醇精制塔后，分离得到产品乙二醇，同时副产丙二醇、轻馏分和重组分。精馏系统采用负压操作，尾气送尾气洗涤塔处理</w:t>
      </w:r>
      <w:r>
        <w:rPr>
          <w:rFonts w:hint="eastAsia" w:ascii="Times New Roman" w:hAnsi="Times New Roman"/>
          <w:kern w:val="0"/>
          <w:sz w:val="28"/>
          <w:szCs w:val="28"/>
        </w:rPr>
        <w:t>。</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粗乙二醇进高压闪蒸分离罐，高压闪蒸汽经减压阀减压后与低压闪蒸汽共同进入闪蒸汽冷凝器冷凝。高压闪蒸分离罐底部液体再经减压</w:t>
      </w:r>
      <w:r>
        <w:rPr>
          <w:rFonts w:hint="eastAsia" w:ascii="Times New Roman" w:hAnsi="Times New Roman"/>
          <w:kern w:val="0"/>
          <w:sz w:val="28"/>
          <w:szCs w:val="28"/>
          <w:lang w:eastAsia="zh-CN"/>
        </w:rPr>
        <w:t>后</w:t>
      </w:r>
      <w:r>
        <w:rPr>
          <w:rFonts w:ascii="Times New Roman" w:hAnsi="Times New Roman"/>
          <w:kern w:val="0"/>
          <w:sz w:val="28"/>
          <w:szCs w:val="28"/>
        </w:rPr>
        <w:t>进低压闪蒸分离罐，低压闪蒸汽去往闪蒸汽冷凝器冷凝，得到的冷凝液为含醇废水，与脱轻塔塔顶采出的含醇废水混合一起送至尾气洗涤塔。</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低压闪蒸分离罐底部的粗乙二醇利用压差进入脱轻塔，在脱轻塔中将比丙二醇沸点低的低沸点组分脱除，塔顶含醇废水蒸汽经脱轻塔冷凝器冷凝，不凝气由脱轻塔真空泵抽走，冷凝后的含醇废水靠重力自流至脱轻塔回流罐，经脱轻塔回流泵升压后部分回流至脱轻塔，采出的含醇废水送至尾气洗涤塔。脱轻塔设置有脱轻塔再沸器，采用低压蒸汽作为加热热源，塔釜液经丙二醇精制塔进料泵升压后至丙二醇精制塔。</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来自脱轻塔塔釜的粗乙二醇进入丙二醇精制塔，在丙二醇精制塔中充分回收其中的丙二醇以获得工业级的丙二醇产品。塔顶丙二醇汽经丙二醇精制塔冷凝器冷凝，不凝气由丙二醇精制塔真空泵抽走，冷凝后的丙二醇靠重力自流至丙二醇精制塔回流罐，经丙二醇精制塔回流泵升压后部分回流至丙二醇精制塔，其余采出的丙二醇产品经丙二醇产品套管换热器冷却后去送往丙二醇产品吨桶。丙二精制塔设置有丙二醇精制塔再沸器，采用低压蒸汽作为加热热源，塔釜液经脱重塔进料泵升压后至脱重塔。为增加装置操作灵活性，在丙二醇精制塔和脱重塔间设置粗乙二醇罐缓冲系统。</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来自丙二醇精制塔塔釜的粗乙二醇进入脱重塔，在脱重塔中将比乙二醇沸点高的重组分脱除。塔顶乙二醇汽经脱重塔冷凝器冷凝，不凝气由脱重塔真空泵抽走，冷凝的粗乙二醇靠重力自流至脱重塔回流罐，经脱重塔回流泵升压后部分回流至脱重塔，其余采出的粗乙二醇送往下游的乙二醇精制塔</w:t>
      </w:r>
      <w:r>
        <w:rPr>
          <w:rFonts w:hint="eastAsia" w:ascii="Times New Roman" w:hAnsi="Times New Roman"/>
          <w:kern w:val="0"/>
          <w:sz w:val="28"/>
          <w:szCs w:val="28"/>
        </w:rPr>
        <w:t>；</w:t>
      </w:r>
      <w:r>
        <w:rPr>
          <w:rFonts w:ascii="Times New Roman" w:hAnsi="Times New Roman"/>
          <w:kern w:val="0"/>
          <w:sz w:val="28"/>
          <w:szCs w:val="28"/>
        </w:rPr>
        <w:t>塔釜液经重组分输送泵升压后大部分经过再沸器循环至塔内，少量采出的重组分和乙二醇精制塔塔底采出混合后经重组分套管换热器冷却后送往吨桶。</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脱重塔设置有脱重塔再沸器，该再沸器为强制循环式再沸器</w:t>
      </w:r>
      <w:r>
        <w:rPr>
          <w:rFonts w:hint="eastAsia" w:ascii="Times New Roman" w:hAnsi="Times New Roman"/>
          <w:kern w:val="0"/>
          <w:sz w:val="28"/>
          <w:szCs w:val="28"/>
        </w:rPr>
        <w:t>，</w:t>
      </w:r>
      <w:r>
        <w:rPr>
          <w:rFonts w:ascii="Times New Roman" w:hAnsi="Times New Roman"/>
          <w:kern w:val="0"/>
          <w:sz w:val="28"/>
          <w:szCs w:val="28"/>
        </w:rPr>
        <w:t>防止重组分在塔釜结焦发生副反应。再沸器采用低压蒸汽作为加热热源</w:t>
      </w:r>
      <w:r>
        <w:rPr>
          <w:rFonts w:hint="eastAsia" w:ascii="Times New Roman" w:hAnsi="Times New Roman"/>
          <w:kern w:val="0"/>
          <w:sz w:val="28"/>
          <w:szCs w:val="28"/>
        </w:rPr>
        <w:t>。</w:t>
      </w:r>
    </w:p>
    <w:p>
      <w:pPr>
        <w:autoSpaceDE w:val="0"/>
        <w:autoSpaceDN w:val="0"/>
        <w:adjustRightInd w:val="0"/>
        <w:spacing w:line="520" w:lineRule="exact"/>
        <w:ind w:firstLine="560" w:firstLineChars="200"/>
        <w:rPr>
          <w:rFonts w:ascii="Times New Roman" w:hAnsi="Times New Roman"/>
          <w:kern w:val="0"/>
          <w:sz w:val="28"/>
          <w:szCs w:val="28"/>
        </w:rPr>
      </w:pPr>
      <w:r>
        <w:rPr>
          <w:rFonts w:ascii="Times New Roman" w:hAnsi="Times New Roman"/>
          <w:kern w:val="0"/>
          <w:sz w:val="28"/>
          <w:szCs w:val="28"/>
        </w:rPr>
        <w:t>来自脱重塔塔顶的粗乙二醇进入乙二醇精制塔，在乙二醇精制塔中充分回收其中的乙二醇以获得产品乙二醇。塔顶轻馏分汽经乙二醇精制塔冷凝器冷凝，不凝气由乙二醇精制塔真空泵抽走，冷凝后的轻馏分靠重力自流至乙二醇精制塔回流罐，经乙二醇精制塔回流泵升压后部分回流至乙二醇精制塔，其余采出的轻馏分经轻馏分套管换热器冷却后送往轻馏分吨桶。乙二醇精制塔侧线采出的乙二醇产品经乙二醇产品套管换热器冷却后，经乙二醇产品输送泵加压后去往乙二醇罐，最终乙二醇产品经乙二醇泵送往界区外的吨桶</w:t>
      </w:r>
      <w:r>
        <w:rPr>
          <w:rFonts w:hint="eastAsia" w:ascii="Times New Roman" w:hAnsi="Times New Roman"/>
          <w:kern w:val="0"/>
          <w:sz w:val="28"/>
          <w:szCs w:val="28"/>
        </w:rPr>
        <w:t>；</w:t>
      </w:r>
      <w:r>
        <w:rPr>
          <w:rFonts w:ascii="Times New Roman" w:hAnsi="Times New Roman"/>
          <w:kern w:val="0"/>
          <w:sz w:val="28"/>
          <w:szCs w:val="28"/>
        </w:rPr>
        <w:t>塔釜液经与脱重塔塔釜重组分汇合后经重组分经套管换热器冷却后送往界外吨桶。乙二醇精制塔设置有乙二醇精制塔再沸器，采用低压蒸汽作为加热热源</w:t>
      </w:r>
      <w:r>
        <w:rPr>
          <w:rFonts w:hint="eastAsia" w:ascii="Times New Roman" w:hAnsi="Times New Roman"/>
          <w:kern w:val="0"/>
          <w:sz w:val="28"/>
          <w:szCs w:val="28"/>
        </w:rPr>
        <w:t>。</w:t>
      </w:r>
      <w:r>
        <w:rPr>
          <w:rFonts w:ascii="Times New Roman" w:hAnsi="Times New Roman"/>
          <w:kern w:val="0"/>
          <w:sz w:val="28"/>
          <w:szCs w:val="28"/>
        </w:rPr>
        <w:t xml:space="preserve"> </w:t>
      </w:r>
    </w:p>
    <w:p>
      <w:pPr>
        <w:autoSpaceDE w:val="0"/>
        <w:autoSpaceDN w:val="0"/>
        <w:adjustRightInd w:val="0"/>
        <w:spacing w:line="520" w:lineRule="exact"/>
        <w:ind w:firstLine="560" w:firstLineChars="200"/>
        <w:rPr>
          <w:rFonts w:ascii="Times New Roman" w:hAnsi="Times New Roman"/>
          <w:bCs/>
          <w:sz w:val="28"/>
          <w:szCs w:val="28"/>
        </w:rPr>
      </w:pPr>
      <w:r>
        <w:rPr>
          <w:rFonts w:ascii="Times New Roman" w:hAnsi="Times New Roman"/>
          <w:kern w:val="0"/>
          <w:sz w:val="28"/>
          <w:szCs w:val="28"/>
        </w:rPr>
        <w:t>装置内真空泵尾气可能含有少量醇类，装置设有尾气洗涤塔，来自真空泵的尾气和氮封气进尾气洗涤塔，在洗涤塔中尾气与含醇废水逆流接触，塔釜液经尾气洗涤循环泵加压后大部分循环返回塔顶，</w:t>
      </w:r>
      <w:r>
        <w:rPr>
          <w:rFonts w:hint="eastAsia" w:ascii="Times New Roman" w:hAnsi="Times New Roman"/>
          <w:kern w:val="0"/>
          <w:sz w:val="28"/>
          <w:szCs w:val="28"/>
        </w:rPr>
        <w:t>其余带压</w:t>
      </w:r>
      <w:r>
        <w:rPr>
          <w:rFonts w:ascii="Times New Roman" w:hAnsi="Times New Roman"/>
          <w:bCs/>
          <w:sz w:val="28"/>
          <w:szCs w:val="28"/>
        </w:rPr>
        <w:t>工艺含醇废水直接送至MMA</w:t>
      </w:r>
      <w:r>
        <w:rPr>
          <w:rFonts w:hint="eastAsia" w:ascii="Times New Roman" w:hAnsi="Times New Roman"/>
          <w:bCs/>
          <w:sz w:val="28"/>
          <w:szCs w:val="28"/>
        </w:rPr>
        <w:t>中试</w:t>
      </w:r>
      <w:r>
        <w:rPr>
          <w:rFonts w:ascii="Times New Roman" w:hAnsi="Times New Roman"/>
          <w:bCs/>
          <w:sz w:val="28"/>
          <w:szCs w:val="28"/>
        </w:rPr>
        <w:t>装置西侧的小事故池暂存，</w:t>
      </w:r>
      <w:r>
        <w:rPr>
          <w:rFonts w:hint="eastAsia" w:ascii="Times New Roman" w:hAnsi="Times New Roman"/>
          <w:bCs/>
          <w:sz w:val="28"/>
          <w:szCs w:val="28"/>
        </w:rPr>
        <w:t>与其他生产废水（</w:t>
      </w:r>
      <w:r>
        <w:rPr>
          <w:rFonts w:hint="eastAsia" w:ascii="Times New Roman" w:hAnsi="Times New Roman"/>
          <w:kern w:val="0"/>
          <w:sz w:val="28"/>
          <w:szCs w:val="28"/>
        </w:rPr>
        <w:t>地坪冲洗废水、真空泵废水</w:t>
      </w:r>
      <w:r>
        <w:rPr>
          <w:rFonts w:hint="eastAsia" w:ascii="Times New Roman" w:hAnsi="Times New Roman"/>
          <w:bCs/>
          <w:sz w:val="28"/>
          <w:szCs w:val="28"/>
        </w:rPr>
        <w:t>）</w:t>
      </w:r>
      <w:r>
        <w:rPr>
          <w:rFonts w:hint="eastAsia" w:ascii="Times New Roman" w:hAnsi="Times New Roman"/>
          <w:kern w:val="0"/>
          <w:sz w:val="28"/>
          <w:szCs w:val="28"/>
        </w:rPr>
        <w:t>混合后进入</w:t>
      </w:r>
      <w:r>
        <w:rPr>
          <w:rFonts w:ascii="Times New Roman" w:hAnsi="Times New Roman"/>
          <w:bCs/>
          <w:sz w:val="28"/>
          <w:szCs w:val="28"/>
        </w:rPr>
        <w:t>MMA装置北侧</w:t>
      </w:r>
      <w:r>
        <w:rPr>
          <w:rFonts w:hint="eastAsia" w:ascii="Times New Roman" w:hAnsi="Times New Roman"/>
          <w:bCs/>
          <w:sz w:val="28"/>
          <w:szCs w:val="28"/>
        </w:rPr>
        <w:t>永金</w:t>
      </w:r>
      <w:r>
        <w:rPr>
          <w:rFonts w:ascii="Times New Roman" w:hAnsi="Times New Roman"/>
          <w:bCs/>
          <w:sz w:val="28"/>
          <w:szCs w:val="28"/>
        </w:rPr>
        <w:t>乙二醇装置调节池，最后进入甲醇项目污水处理站进行处理。</w:t>
      </w:r>
    </w:p>
    <w:p>
      <w:pPr>
        <w:spacing w:line="520" w:lineRule="exact"/>
        <w:ind w:firstLine="570"/>
        <w:rPr>
          <w:rFonts w:ascii="Times New Roman" w:hAnsi="Times New Roman"/>
          <w:bCs/>
          <w:sz w:val="28"/>
          <w:szCs w:val="28"/>
        </w:rPr>
      </w:pPr>
      <w:r>
        <w:rPr>
          <w:rFonts w:hint="eastAsia" w:ascii="Times New Roman" w:hAnsi="Times New Roman"/>
          <w:bCs/>
          <w:sz w:val="28"/>
          <w:szCs w:val="28"/>
        </w:rPr>
        <w:t>鉴于</w:t>
      </w:r>
      <w:r>
        <w:rPr>
          <w:rFonts w:ascii="Times New Roman" w:hAnsi="Times New Roman"/>
          <w:bCs/>
          <w:sz w:val="28"/>
          <w:szCs w:val="28"/>
        </w:rPr>
        <w:t>真空泵尾气</w:t>
      </w:r>
      <w:r>
        <w:rPr>
          <w:rFonts w:hint="eastAsia" w:ascii="Times New Roman" w:hAnsi="Times New Roman"/>
          <w:bCs/>
          <w:sz w:val="28"/>
          <w:szCs w:val="28"/>
        </w:rPr>
        <w:t>醇类物质成分复杂，可能含有少量的高级醇，评价建议尾气洗涤塔后续设置一台活性炭吸附罐，用于对醇类物质进一步吸附净化。</w:t>
      </w:r>
    </w:p>
    <w:p>
      <w:pPr>
        <w:pStyle w:val="13"/>
        <w:spacing w:after="0" w:line="520" w:lineRule="exact"/>
        <w:ind w:firstLine="560" w:firstLineChars="200"/>
        <w:rPr>
          <w:rFonts w:ascii="Times New Roman" w:hAnsi="Times New Roman"/>
          <w:kern w:val="0"/>
          <w:sz w:val="28"/>
          <w:szCs w:val="28"/>
          <w:lang w:val="zh-TW"/>
        </w:rPr>
      </w:pPr>
      <w:r>
        <w:rPr>
          <w:rFonts w:ascii="Times New Roman" w:hAnsi="Times New Roman"/>
          <w:sz w:val="28"/>
          <w:szCs w:val="28"/>
        </w:rPr>
        <w:t>主要工艺流程示意图见图3.3-1。</w:t>
      </w:r>
    </w:p>
    <w:p>
      <w:pPr>
        <w:pStyle w:val="32"/>
        <w:ind w:left="0" w:firstLine="482" w:firstLineChars="200"/>
        <w:rPr>
          <w:rFonts w:hint="eastAsia" w:eastAsia="黑体"/>
          <w:lang w:eastAsia="zh-CN"/>
        </w:rPr>
      </w:pPr>
      <w:r>
        <w:rPr>
          <w:rFonts w:hint="eastAsia"/>
          <w:lang w:eastAsia="zh-CN"/>
        </w:rPr>
        <w:t>（涉及商业机密未列出）</w:t>
      </w:r>
    </w:p>
    <w:p>
      <w:pPr>
        <w:pStyle w:val="27"/>
        <w:ind w:firstLine="560"/>
        <w:sectPr>
          <w:headerReference r:id="rId6" w:type="default"/>
          <w:footerReference r:id="rId8" w:type="default"/>
          <w:headerReference r:id="rId7" w:type="even"/>
          <w:pgSz w:w="11907" w:h="16840"/>
          <w:pgMar w:top="1474" w:right="1474" w:bottom="1474" w:left="1474" w:header="851" w:footer="851" w:gutter="0"/>
          <w:cols w:space="720" w:num="1"/>
          <w:docGrid w:linePitch="332" w:charSpace="-227"/>
        </w:sectPr>
      </w:pPr>
    </w:p>
    <w:p>
      <w:pPr>
        <w:pStyle w:val="27"/>
        <w:spacing w:line="240" w:lineRule="auto"/>
        <w:ind w:firstLine="198" w:firstLineChars="71"/>
        <w:jc w:val="center"/>
      </w:pP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3.3.2  </w:t>
      </w:r>
      <w:r>
        <w:rPr>
          <w:rFonts w:hint="eastAsia" w:ascii="Times New Roman" w:hAnsi="Times New Roman" w:eastAsia="楷体_GB2312"/>
          <w:sz w:val="28"/>
          <w:szCs w:val="28"/>
          <w:lang w:val="en-US" w:eastAsia="zh-CN"/>
        </w:rPr>
        <w:t>产污环节分析</w:t>
      </w:r>
    </w:p>
    <w:p>
      <w:pPr>
        <w:pStyle w:val="9"/>
        <w:spacing w:before="0" w:after="0" w:line="520" w:lineRule="exact"/>
        <w:ind w:firstLine="562" w:firstLineChars="200"/>
        <w:rPr>
          <w:rStyle w:val="37"/>
          <w:sz w:val="28"/>
          <w:szCs w:val="28"/>
          <w:lang w:val="zh-TW"/>
        </w:rPr>
      </w:pPr>
      <w:r>
        <w:rPr>
          <w:rStyle w:val="37"/>
          <w:sz w:val="28"/>
          <w:szCs w:val="28"/>
          <w:lang w:val="zh-TW"/>
        </w:rPr>
        <w:t>（1）废气</w:t>
      </w:r>
    </w:p>
    <w:p>
      <w:pPr>
        <w:pStyle w:val="27"/>
        <w:ind w:firstLine="560"/>
        <w:rPr>
          <w:kern w:val="0"/>
          <w:szCs w:val="28"/>
        </w:rPr>
      </w:pPr>
      <w:r>
        <w:rPr>
          <w:kern w:val="0"/>
          <w:szCs w:val="28"/>
        </w:rPr>
        <w:t>G</w:t>
      </w:r>
      <w:r>
        <w:rPr>
          <w:kern w:val="0"/>
          <w:szCs w:val="28"/>
          <w:vertAlign w:val="subscript"/>
        </w:rPr>
        <w:t>1</w:t>
      </w:r>
      <w:r>
        <w:rPr>
          <w:kern w:val="0"/>
          <w:szCs w:val="28"/>
        </w:rPr>
        <w:t>：乙二醇合成</w:t>
      </w:r>
      <w:r>
        <w:rPr>
          <w:rFonts w:hint="eastAsia"/>
          <w:kern w:val="0"/>
          <w:szCs w:val="28"/>
        </w:rPr>
        <w:t>氢气驰放气</w:t>
      </w:r>
    </w:p>
    <w:p>
      <w:pPr>
        <w:pStyle w:val="45"/>
        <w:ind w:firstLine="560"/>
        <w:rPr>
          <w:rStyle w:val="37"/>
          <w:sz w:val="28"/>
          <w:szCs w:val="28"/>
          <w:lang w:val="zh-TW" w:eastAsia="zh-TW"/>
        </w:rPr>
      </w:pPr>
      <w:r>
        <w:rPr>
          <w:rStyle w:val="37"/>
          <w:sz w:val="28"/>
          <w:szCs w:val="28"/>
          <w:lang w:val="zh-TW" w:eastAsia="zh-TW"/>
        </w:rPr>
        <w:t>项目秸秆糖水溶液和</w:t>
      </w:r>
      <w:r>
        <w:rPr>
          <w:rStyle w:val="37"/>
          <w:sz w:val="28"/>
          <w:szCs w:val="28"/>
          <w:lang w:val="zh-TW"/>
        </w:rPr>
        <w:t>H</w:t>
      </w:r>
      <w:r>
        <w:rPr>
          <w:rStyle w:val="37"/>
          <w:sz w:val="28"/>
          <w:szCs w:val="28"/>
          <w:vertAlign w:val="subscript"/>
          <w:lang w:val="zh-TW" w:eastAsia="zh-TW"/>
        </w:rPr>
        <w:t>2</w:t>
      </w:r>
      <w:r>
        <w:rPr>
          <w:rStyle w:val="37"/>
          <w:sz w:val="28"/>
          <w:szCs w:val="28"/>
          <w:lang w:val="zh-TW" w:eastAsia="zh-TW"/>
        </w:rPr>
        <w:t>在</w:t>
      </w:r>
      <w:r>
        <w:rPr>
          <w:rStyle w:val="37"/>
          <w:rFonts w:hint="eastAsia"/>
          <w:sz w:val="28"/>
          <w:szCs w:val="28"/>
          <w:lang w:val="zh-TW" w:eastAsia="zh-TW"/>
        </w:rPr>
        <w:t>高温、高压和</w:t>
      </w:r>
      <w:r>
        <w:rPr>
          <w:rStyle w:val="37"/>
          <w:sz w:val="28"/>
          <w:szCs w:val="28"/>
          <w:lang w:val="zh-TW" w:eastAsia="zh-TW"/>
        </w:rPr>
        <w:t>催化剂条件下反应生成粗乙二醇</w:t>
      </w:r>
      <w:r>
        <w:rPr>
          <w:szCs w:val="28"/>
        </w:rPr>
        <w:t>，</w:t>
      </w:r>
      <w:r>
        <w:rPr>
          <w:rFonts w:hint="eastAsia"/>
          <w:szCs w:val="28"/>
        </w:rPr>
        <w:t>反应过程中会产生合成氢气驰放气</w:t>
      </w:r>
      <w:r>
        <w:rPr>
          <w:rFonts w:hint="eastAsia"/>
          <w:kern w:val="0"/>
          <w:szCs w:val="28"/>
        </w:rPr>
        <w:t>，</w:t>
      </w:r>
      <w:r>
        <w:rPr>
          <w:kern w:val="0"/>
          <w:szCs w:val="28"/>
        </w:rPr>
        <w:t>送煤化工厂区现有火炬系统处理。</w:t>
      </w:r>
    </w:p>
    <w:p>
      <w:pPr>
        <w:pStyle w:val="27"/>
        <w:ind w:firstLine="560"/>
        <w:rPr>
          <w:kern w:val="0"/>
          <w:szCs w:val="28"/>
        </w:rPr>
      </w:pPr>
      <w:r>
        <w:rPr>
          <w:kern w:val="0"/>
          <w:szCs w:val="28"/>
        </w:rPr>
        <w:t>G</w:t>
      </w:r>
      <w:r>
        <w:rPr>
          <w:kern w:val="0"/>
          <w:szCs w:val="28"/>
          <w:vertAlign w:val="subscript"/>
        </w:rPr>
        <w:t>2</w:t>
      </w:r>
      <w:r>
        <w:rPr>
          <w:kern w:val="0"/>
          <w:szCs w:val="28"/>
        </w:rPr>
        <w:t>：闪蒸汽冷凝罐废气</w:t>
      </w:r>
    </w:p>
    <w:p>
      <w:pPr>
        <w:pStyle w:val="27"/>
        <w:ind w:firstLine="560"/>
        <w:rPr>
          <w:kern w:val="0"/>
          <w:szCs w:val="28"/>
        </w:rPr>
      </w:pPr>
      <w:r>
        <w:rPr>
          <w:kern w:val="0"/>
          <w:szCs w:val="28"/>
        </w:rPr>
        <w:t>闪蒸汽冷凝罐</w:t>
      </w:r>
      <w:r>
        <w:rPr>
          <w:rFonts w:hint="eastAsia"/>
          <w:kern w:val="0"/>
          <w:szCs w:val="28"/>
        </w:rPr>
        <w:t>介质主要是</w:t>
      </w:r>
      <w:r>
        <w:rPr>
          <w:kern w:val="0"/>
          <w:szCs w:val="28"/>
        </w:rPr>
        <w:t>高压闪蒸汽和低压闪蒸汽</w:t>
      </w:r>
      <w:r>
        <w:rPr>
          <w:rFonts w:hint="eastAsia"/>
          <w:kern w:val="0"/>
          <w:szCs w:val="28"/>
        </w:rPr>
        <w:t>，闪蒸汽</w:t>
      </w:r>
      <w:r>
        <w:rPr>
          <w:kern w:val="0"/>
          <w:szCs w:val="28"/>
        </w:rPr>
        <w:t>冷凝</w:t>
      </w:r>
      <w:r>
        <w:rPr>
          <w:rFonts w:hint="eastAsia"/>
          <w:kern w:val="0"/>
          <w:szCs w:val="28"/>
        </w:rPr>
        <w:t>过程产生的</w:t>
      </w:r>
      <w:r>
        <w:rPr>
          <w:kern w:val="0"/>
          <w:szCs w:val="28"/>
        </w:rPr>
        <w:t>不凝气送煤化工厂区现有火炬系统处理。</w:t>
      </w:r>
    </w:p>
    <w:p>
      <w:pPr>
        <w:pStyle w:val="27"/>
        <w:ind w:firstLine="560"/>
        <w:rPr>
          <w:kern w:val="0"/>
          <w:szCs w:val="28"/>
        </w:rPr>
      </w:pPr>
      <w:r>
        <w:rPr>
          <w:kern w:val="0"/>
          <w:szCs w:val="28"/>
        </w:rPr>
        <w:t>G</w:t>
      </w:r>
      <w:r>
        <w:rPr>
          <w:kern w:val="0"/>
          <w:szCs w:val="28"/>
          <w:vertAlign w:val="subscript"/>
        </w:rPr>
        <w:t>3</w:t>
      </w:r>
      <w:r>
        <w:rPr>
          <w:kern w:val="0"/>
          <w:szCs w:val="28"/>
        </w:rPr>
        <w:t>：</w:t>
      </w:r>
      <w:r>
        <w:rPr>
          <w:rFonts w:hint="eastAsia"/>
          <w:kern w:val="0"/>
          <w:szCs w:val="28"/>
        </w:rPr>
        <w:t>真空泵尾气</w:t>
      </w:r>
    </w:p>
    <w:p>
      <w:pPr>
        <w:pStyle w:val="45"/>
        <w:ind w:firstLine="560"/>
        <w:rPr>
          <w:kern w:val="0"/>
          <w:szCs w:val="28"/>
        </w:rPr>
      </w:pPr>
      <w:r>
        <w:rPr>
          <w:rFonts w:hint="eastAsia"/>
          <w:kern w:val="0"/>
          <w:szCs w:val="28"/>
        </w:rPr>
        <w:t>乙二醇精制</w:t>
      </w:r>
      <w:r>
        <w:rPr>
          <w:kern w:val="0"/>
          <w:szCs w:val="28"/>
        </w:rPr>
        <w:t>装置</w:t>
      </w:r>
      <w:r>
        <w:rPr>
          <w:rFonts w:hint="eastAsia"/>
          <w:kern w:val="0"/>
          <w:szCs w:val="28"/>
        </w:rPr>
        <w:t>采用负压操作，真空泵尾气主要来自</w:t>
      </w:r>
      <w:r>
        <w:rPr>
          <w:kern w:val="0"/>
          <w:szCs w:val="28"/>
        </w:rPr>
        <w:t>脱轻塔</w:t>
      </w:r>
      <w:r>
        <w:rPr>
          <w:rFonts w:hint="eastAsia"/>
          <w:kern w:val="0"/>
          <w:szCs w:val="28"/>
        </w:rPr>
        <w:t>、</w:t>
      </w:r>
      <w:r>
        <w:rPr>
          <w:kern w:val="0"/>
          <w:szCs w:val="28"/>
        </w:rPr>
        <w:t>丙二醇精制塔</w:t>
      </w:r>
      <w:r>
        <w:rPr>
          <w:rFonts w:hint="eastAsia"/>
          <w:kern w:val="0"/>
          <w:szCs w:val="28"/>
        </w:rPr>
        <w:t>、</w:t>
      </w:r>
      <w:r>
        <w:rPr>
          <w:kern w:val="0"/>
          <w:szCs w:val="28"/>
        </w:rPr>
        <w:t>脱重塔</w:t>
      </w:r>
      <w:r>
        <w:rPr>
          <w:rFonts w:hint="eastAsia"/>
          <w:kern w:val="0"/>
          <w:szCs w:val="28"/>
        </w:rPr>
        <w:t>和</w:t>
      </w:r>
      <w:r>
        <w:rPr>
          <w:kern w:val="0"/>
          <w:szCs w:val="28"/>
        </w:rPr>
        <w:t>乙二醇精制塔</w:t>
      </w:r>
      <w:r>
        <w:rPr>
          <w:rFonts w:hint="eastAsia"/>
          <w:kern w:val="0"/>
          <w:szCs w:val="28"/>
        </w:rPr>
        <w:t>的塔顶不凝气，真空泵尾气主要成分是氮气和少量醇类，设置</w:t>
      </w:r>
      <w:r>
        <w:rPr>
          <w:kern w:val="0"/>
          <w:szCs w:val="28"/>
        </w:rPr>
        <w:t>尾气洗涤塔</w:t>
      </w:r>
      <w:r>
        <w:rPr>
          <w:rFonts w:hint="eastAsia"/>
          <w:kern w:val="0"/>
          <w:szCs w:val="28"/>
        </w:rPr>
        <w:t>+活性炭吸附罐对这部分尾气进行净化处理。</w:t>
      </w:r>
    </w:p>
    <w:p>
      <w:pPr>
        <w:pStyle w:val="27"/>
        <w:ind w:firstLine="560"/>
        <w:rPr>
          <w:kern w:val="0"/>
          <w:szCs w:val="28"/>
        </w:rPr>
      </w:pPr>
      <w:r>
        <w:rPr>
          <w:kern w:val="0"/>
          <w:szCs w:val="28"/>
        </w:rPr>
        <w:t>g</w:t>
      </w:r>
      <w:r>
        <w:rPr>
          <w:kern w:val="0"/>
          <w:szCs w:val="28"/>
          <w:vertAlign w:val="subscript"/>
        </w:rPr>
        <w:t>1</w:t>
      </w:r>
      <w:r>
        <w:rPr>
          <w:kern w:val="0"/>
          <w:szCs w:val="28"/>
        </w:rPr>
        <w:t>：</w:t>
      </w:r>
      <w:r>
        <w:rPr>
          <w:rFonts w:hint="eastAsia"/>
          <w:kern w:val="0"/>
          <w:szCs w:val="28"/>
        </w:rPr>
        <w:t>装置区无组织废气</w:t>
      </w:r>
    </w:p>
    <w:p>
      <w:pPr>
        <w:spacing w:line="520" w:lineRule="exact"/>
        <w:ind w:firstLine="560" w:firstLineChars="200"/>
        <w:rPr>
          <w:rFonts w:ascii="Times New Roman" w:hAnsi="Times New Roman"/>
          <w:sz w:val="28"/>
          <w:szCs w:val="28"/>
        </w:rPr>
      </w:pPr>
      <w:r>
        <w:rPr>
          <w:rFonts w:ascii="Times New Roman" w:hAnsi="Times New Roman"/>
          <w:kern w:val="0"/>
          <w:sz w:val="28"/>
          <w:szCs w:val="28"/>
        </w:rPr>
        <w:t>本次工程不单独设置储运区域，项目</w:t>
      </w:r>
      <w:r>
        <w:rPr>
          <w:rFonts w:ascii="Times New Roman" w:hAnsi="Times New Roman"/>
          <w:sz w:val="28"/>
          <w:szCs w:val="28"/>
        </w:rPr>
        <w:t>无组织废气主要是各装置管道、阀门、法兰等连接处会存在微量的泄露，主要污染物为乙二醇、丙二醇</w:t>
      </w:r>
      <w:r>
        <w:rPr>
          <w:rFonts w:hint="eastAsia" w:ascii="Times New Roman" w:hAnsi="Times New Roman"/>
          <w:sz w:val="28"/>
          <w:szCs w:val="28"/>
        </w:rPr>
        <w:t>、有机物</w:t>
      </w:r>
      <w:r>
        <w:rPr>
          <w:rFonts w:ascii="Times New Roman" w:hAnsi="Times New Roman"/>
          <w:sz w:val="28"/>
          <w:szCs w:val="28"/>
        </w:rPr>
        <w:t>等。</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（2）废水</w:t>
      </w:r>
    </w:p>
    <w:p>
      <w:pPr>
        <w:pStyle w:val="27"/>
        <w:ind w:firstLine="560"/>
        <w:rPr>
          <w:rFonts w:eastAsiaTheme="minorEastAsia"/>
          <w:kern w:val="0"/>
          <w:szCs w:val="28"/>
        </w:rPr>
      </w:pPr>
      <w:r>
        <w:rPr>
          <w:rFonts w:eastAsiaTheme="minorEastAsia"/>
          <w:kern w:val="0"/>
          <w:szCs w:val="28"/>
        </w:rPr>
        <w:t>W</w:t>
      </w:r>
      <w:r>
        <w:rPr>
          <w:rFonts w:eastAsiaTheme="minorEastAsia"/>
          <w:kern w:val="0"/>
          <w:szCs w:val="28"/>
          <w:vertAlign w:val="subscript"/>
        </w:rPr>
        <w:t>1</w:t>
      </w:r>
      <w:r>
        <w:rPr>
          <w:rFonts w:eastAsiaTheme="minorEastAsia"/>
          <w:kern w:val="0"/>
          <w:szCs w:val="28"/>
        </w:rPr>
        <w:t>：</w:t>
      </w:r>
      <w:r>
        <w:rPr>
          <w:rFonts w:hint="eastAsia" w:eastAsiaTheme="minorEastAsia"/>
          <w:kern w:val="0"/>
          <w:szCs w:val="28"/>
        </w:rPr>
        <w:t>闪蒸汽冷凝液</w:t>
      </w:r>
    </w:p>
    <w:p>
      <w:pPr>
        <w:pStyle w:val="27"/>
        <w:ind w:firstLine="560"/>
        <w:rPr>
          <w:rFonts w:eastAsiaTheme="minorEastAsia"/>
          <w:kern w:val="0"/>
          <w:szCs w:val="28"/>
        </w:rPr>
      </w:pPr>
      <w:r>
        <w:rPr>
          <w:rFonts w:hint="eastAsia" w:eastAsiaTheme="minorEastAsia"/>
          <w:kern w:val="0"/>
          <w:szCs w:val="28"/>
        </w:rPr>
        <w:t>高压闪蒸汽和低压闪蒸汽在闪蒸汽冷凝罐中冷凝，其冷凝液主要为含醇废水，送尾气洗涤塔吸收尾气用。</w:t>
      </w:r>
    </w:p>
    <w:p>
      <w:pPr>
        <w:pStyle w:val="27"/>
        <w:ind w:firstLine="560"/>
        <w:rPr>
          <w:rFonts w:eastAsiaTheme="minorEastAsia"/>
          <w:kern w:val="0"/>
          <w:szCs w:val="28"/>
        </w:rPr>
      </w:pPr>
      <w:r>
        <w:rPr>
          <w:rFonts w:eastAsiaTheme="minorEastAsia"/>
          <w:kern w:val="0"/>
          <w:szCs w:val="28"/>
        </w:rPr>
        <w:t>W</w:t>
      </w:r>
      <w:r>
        <w:rPr>
          <w:rFonts w:eastAsiaTheme="minorEastAsia"/>
          <w:kern w:val="0"/>
          <w:szCs w:val="28"/>
          <w:vertAlign w:val="subscript"/>
        </w:rPr>
        <w:t>2</w:t>
      </w:r>
      <w:r>
        <w:rPr>
          <w:rFonts w:eastAsiaTheme="minorEastAsia"/>
          <w:kern w:val="0"/>
          <w:szCs w:val="28"/>
        </w:rPr>
        <w:t>：</w:t>
      </w:r>
      <w:r>
        <w:rPr>
          <w:rFonts w:hint="eastAsia" w:eastAsiaTheme="minorEastAsia"/>
          <w:kern w:val="0"/>
          <w:szCs w:val="28"/>
        </w:rPr>
        <w:t>脱轻塔塔顶冷凝液</w:t>
      </w:r>
    </w:p>
    <w:p>
      <w:pPr>
        <w:pStyle w:val="27"/>
        <w:ind w:firstLine="560"/>
        <w:rPr>
          <w:rFonts w:eastAsiaTheme="minorEastAsia"/>
          <w:kern w:val="0"/>
          <w:szCs w:val="28"/>
        </w:rPr>
      </w:pPr>
      <w:r>
        <w:rPr>
          <w:rFonts w:hint="eastAsia" w:eastAsiaTheme="minorEastAsia"/>
          <w:kern w:val="0"/>
          <w:szCs w:val="28"/>
        </w:rPr>
        <w:t>脱轻塔介质主要为粗乙二醇、丙二醇和低沸点组分，经脱轻塔再沸器加热后，</w:t>
      </w:r>
      <w:r>
        <w:rPr>
          <w:kern w:val="0"/>
          <w:szCs w:val="28"/>
        </w:rPr>
        <w:t>低沸点组分</w:t>
      </w:r>
      <w:r>
        <w:rPr>
          <w:rFonts w:hint="eastAsia"/>
          <w:kern w:val="0"/>
          <w:szCs w:val="28"/>
        </w:rPr>
        <w:t>从塔顶脱除，经脱轻塔冷凝器冷凝后，</w:t>
      </w:r>
      <w:r>
        <w:rPr>
          <w:kern w:val="0"/>
          <w:szCs w:val="28"/>
        </w:rPr>
        <w:t>不凝气由脱轻塔真空泵抽走</w:t>
      </w:r>
      <w:r>
        <w:rPr>
          <w:rFonts w:hint="eastAsia"/>
          <w:kern w:val="0"/>
          <w:szCs w:val="28"/>
        </w:rPr>
        <w:t>，</w:t>
      </w:r>
      <w:r>
        <w:rPr>
          <w:kern w:val="0"/>
          <w:szCs w:val="28"/>
        </w:rPr>
        <w:t>冷凝的含醇废水自流至脱轻塔回流罐，部分回流至脱轻塔，</w:t>
      </w:r>
      <w:r>
        <w:rPr>
          <w:rFonts w:hint="eastAsia"/>
          <w:kern w:val="0"/>
          <w:szCs w:val="28"/>
        </w:rPr>
        <w:t>其余冷凝液（</w:t>
      </w:r>
      <w:r>
        <w:rPr>
          <w:kern w:val="0"/>
          <w:szCs w:val="28"/>
        </w:rPr>
        <w:t>含醇废水</w:t>
      </w:r>
      <w:r>
        <w:rPr>
          <w:rFonts w:hint="eastAsia"/>
          <w:kern w:val="0"/>
          <w:szCs w:val="28"/>
        </w:rPr>
        <w:t>）</w:t>
      </w:r>
      <w:r>
        <w:rPr>
          <w:kern w:val="0"/>
          <w:szCs w:val="28"/>
        </w:rPr>
        <w:t>送尾气洗涤塔</w:t>
      </w:r>
      <w:r>
        <w:rPr>
          <w:rFonts w:hint="eastAsia" w:eastAsiaTheme="minorEastAsia"/>
          <w:kern w:val="0"/>
          <w:szCs w:val="28"/>
        </w:rPr>
        <w:t>吸收尾气用</w:t>
      </w:r>
      <w:r>
        <w:rPr>
          <w:kern w:val="0"/>
          <w:szCs w:val="28"/>
        </w:rPr>
        <w:t>。</w:t>
      </w:r>
    </w:p>
    <w:p>
      <w:pPr>
        <w:pStyle w:val="27"/>
        <w:ind w:firstLine="560"/>
        <w:rPr>
          <w:rFonts w:eastAsiaTheme="minorEastAsia"/>
          <w:kern w:val="0"/>
          <w:szCs w:val="28"/>
        </w:rPr>
      </w:pPr>
      <w:r>
        <w:rPr>
          <w:rFonts w:eastAsiaTheme="minorEastAsia"/>
          <w:kern w:val="0"/>
          <w:szCs w:val="28"/>
        </w:rPr>
        <w:t>W</w:t>
      </w:r>
      <w:r>
        <w:rPr>
          <w:rFonts w:eastAsiaTheme="minorEastAsia"/>
          <w:kern w:val="0"/>
          <w:szCs w:val="28"/>
          <w:vertAlign w:val="subscript"/>
        </w:rPr>
        <w:t>3</w:t>
      </w:r>
      <w:r>
        <w:rPr>
          <w:rFonts w:eastAsiaTheme="minorEastAsia"/>
          <w:kern w:val="0"/>
          <w:szCs w:val="28"/>
        </w:rPr>
        <w:t>：</w:t>
      </w:r>
      <w:r>
        <w:rPr>
          <w:rFonts w:hint="eastAsia" w:eastAsiaTheme="minorEastAsia"/>
          <w:kern w:val="0"/>
          <w:szCs w:val="28"/>
        </w:rPr>
        <w:t>尾气洗涤塔废水</w:t>
      </w:r>
    </w:p>
    <w:p>
      <w:pPr>
        <w:autoSpaceDE w:val="0"/>
        <w:autoSpaceDN w:val="0"/>
        <w:adjustRightInd w:val="0"/>
        <w:spacing w:line="520" w:lineRule="exact"/>
        <w:ind w:firstLine="560" w:firstLineChars="200"/>
        <w:rPr>
          <w:rFonts w:ascii="Times New Roman" w:hAnsi="Times New Roman"/>
          <w:kern w:val="0"/>
          <w:sz w:val="28"/>
          <w:szCs w:val="28"/>
        </w:rPr>
      </w:pPr>
      <w:r>
        <w:rPr>
          <w:rFonts w:hint="eastAsia" w:ascii="Times New Roman" w:hAnsi="Times New Roman"/>
          <w:kern w:val="0"/>
          <w:sz w:val="28"/>
          <w:szCs w:val="28"/>
        </w:rPr>
        <w:t>项目设置尾气</w:t>
      </w:r>
      <w:r>
        <w:rPr>
          <w:rFonts w:ascii="Times New Roman" w:hAnsi="Times New Roman"/>
          <w:kern w:val="0"/>
          <w:sz w:val="28"/>
          <w:szCs w:val="28"/>
        </w:rPr>
        <w:t>洗涤塔，</w:t>
      </w:r>
      <w:r>
        <w:rPr>
          <w:rFonts w:hint="eastAsia" w:ascii="Times New Roman" w:hAnsi="Times New Roman"/>
          <w:kern w:val="0"/>
          <w:sz w:val="28"/>
          <w:szCs w:val="28"/>
        </w:rPr>
        <w:t>主要是</w:t>
      </w:r>
      <w:r>
        <w:rPr>
          <w:rFonts w:ascii="Times New Roman" w:hAnsi="Times New Roman"/>
          <w:kern w:val="0"/>
          <w:sz w:val="28"/>
          <w:szCs w:val="28"/>
        </w:rPr>
        <w:t>用含醇废水将尾气中醇类洗涤回收</w:t>
      </w:r>
      <w:r>
        <w:rPr>
          <w:rFonts w:hint="eastAsia" w:ascii="Times New Roman" w:hAnsi="Times New Roman"/>
          <w:kern w:val="0"/>
          <w:sz w:val="28"/>
          <w:szCs w:val="28"/>
        </w:rPr>
        <w:t>；</w:t>
      </w:r>
      <w:r>
        <w:rPr>
          <w:rFonts w:ascii="Times New Roman" w:hAnsi="Times New Roman"/>
          <w:kern w:val="0"/>
          <w:sz w:val="28"/>
          <w:szCs w:val="28"/>
        </w:rPr>
        <w:t>在洗涤塔中尾气与含醇废水逆流接触，塔釜液经尾气洗涤循环泵加压后大部分循环返回塔顶，</w:t>
      </w:r>
      <w:r>
        <w:rPr>
          <w:rFonts w:hint="eastAsia" w:ascii="Times New Roman" w:hAnsi="Times New Roman"/>
          <w:kern w:val="0"/>
          <w:sz w:val="28"/>
          <w:szCs w:val="28"/>
        </w:rPr>
        <w:t>其余带压工艺含醇废水</w:t>
      </w:r>
      <w:r>
        <w:rPr>
          <w:rFonts w:ascii="Times New Roman" w:hAnsi="Times New Roman"/>
          <w:bCs/>
          <w:sz w:val="28"/>
          <w:szCs w:val="28"/>
        </w:rPr>
        <w:t>送至界外MMA装置西侧的小事故池暂存，</w:t>
      </w:r>
      <w:r>
        <w:rPr>
          <w:rFonts w:hint="eastAsia" w:ascii="Times New Roman" w:hAnsi="Times New Roman"/>
          <w:bCs/>
          <w:sz w:val="28"/>
          <w:szCs w:val="28"/>
        </w:rPr>
        <w:t>与其他生产废水（</w:t>
      </w:r>
      <w:r>
        <w:rPr>
          <w:rFonts w:hint="eastAsia" w:ascii="Times New Roman" w:hAnsi="Times New Roman"/>
          <w:kern w:val="0"/>
          <w:sz w:val="28"/>
          <w:szCs w:val="28"/>
        </w:rPr>
        <w:t>地坪冲洗废水、真空泵废水</w:t>
      </w:r>
      <w:r>
        <w:rPr>
          <w:rFonts w:hint="eastAsia" w:ascii="Times New Roman" w:hAnsi="Times New Roman"/>
          <w:bCs/>
          <w:sz w:val="28"/>
          <w:szCs w:val="28"/>
        </w:rPr>
        <w:t>）</w:t>
      </w:r>
      <w:r>
        <w:rPr>
          <w:rFonts w:hint="eastAsia" w:ascii="Times New Roman" w:hAnsi="Times New Roman"/>
          <w:kern w:val="0"/>
          <w:sz w:val="28"/>
          <w:szCs w:val="28"/>
        </w:rPr>
        <w:t>混合后进入</w:t>
      </w:r>
      <w:r>
        <w:rPr>
          <w:rFonts w:ascii="Times New Roman" w:hAnsi="Times New Roman"/>
          <w:bCs/>
          <w:sz w:val="28"/>
          <w:szCs w:val="28"/>
        </w:rPr>
        <w:t>MMA装置北侧</w:t>
      </w:r>
      <w:r>
        <w:rPr>
          <w:rFonts w:hint="eastAsia" w:ascii="Times New Roman" w:hAnsi="Times New Roman"/>
          <w:bCs/>
          <w:sz w:val="28"/>
          <w:szCs w:val="28"/>
        </w:rPr>
        <w:t>永金</w:t>
      </w:r>
      <w:r>
        <w:rPr>
          <w:rFonts w:ascii="Times New Roman" w:hAnsi="Times New Roman"/>
          <w:bCs/>
          <w:sz w:val="28"/>
          <w:szCs w:val="28"/>
        </w:rPr>
        <w:t>乙二醇装置调节池，最后进入甲醇项目污水处理站进行处理。</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（3）固体废弃物</w:t>
      </w:r>
    </w:p>
    <w:p>
      <w:pPr>
        <w:pStyle w:val="27"/>
        <w:ind w:firstLine="560"/>
        <w:rPr>
          <w:kern w:val="0"/>
          <w:szCs w:val="28"/>
        </w:rPr>
      </w:pPr>
      <w:r>
        <w:rPr>
          <w:kern w:val="0"/>
          <w:szCs w:val="28"/>
        </w:rPr>
        <w:t>S</w:t>
      </w:r>
      <w:r>
        <w:rPr>
          <w:kern w:val="0"/>
          <w:szCs w:val="28"/>
          <w:vertAlign w:val="subscript"/>
        </w:rPr>
        <w:t>1</w:t>
      </w:r>
      <w:r>
        <w:rPr>
          <w:kern w:val="0"/>
          <w:szCs w:val="28"/>
        </w:rPr>
        <w:t>：废催化剂</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sz w:val="28"/>
          <w:szCs w:val="28"/>
          <w:highlight w:val="none"/>
        </w:rPr>
        <w:t>项目乙二醇合成采用</w:t>
      </w:r>
      <w:r>
        <w:rPr>
          <w:rFonts w:ascii="Times New Roman" w:hAnsi="Times New Roman"/>
          <w:kern w:val="0"/>
          <w:sz w:val="28"/>
          <w:szCs w:val="28"/>
          <w:highlight w:val="none"/>
        </w:rPr>
        <w:t>固相催化剂</w:t>
      </w:r>
      <w:r>
        <w:rPr>
          <w:rFonts w:ascii="Times New Roman" w:hAnsi="Times New Roman"/>
          <w:sz w:val="28"/>
          <w:szCs w:val="28"/>
        </w:rPr>
        <w:t>这部分固废属于危险固废（</w:t>
      </w:r>
      <w:r>
        <w:rPr>
          <w:rFonts w:ascii="Times New Roman" w:hAnsi="Times New Roman"/>
          <w:kern w:val="0"/>
          <w:sz w:val="28"/>
          <w:szCs w:val="28"/>
        </w:rPr>
        <w:t>HW900-037-46</w:t>
      </w:r>
      <w:r>
        <w:rPr>
          <w:rFonts w:ascii="Times New Roman" w:hAnsi="Times New Roman"/>
          <w:sz w:val="28"/>
          <w:szCs w:val="28"/>
        </w:rPr>
        <w:t>），厂区集中收集后送有资质单位安全处置</w:t>
      </w:r>
      <w:r>
        <w:rPr>
          <w:rFonts w:ascii="Times New Roman" w:hAnsi="Times New Roman"/>
          <w:kern w:val="0"/>
          <w:sz w:val="28"/>
          <w:szCs w:val="28"/>
        </w:rPr>
        <w:t>。</w:t>
      </w:r>
    </w:p>
    <w:p>
      <w:pPr>
        <w:pStyle w:val="27"/>
        <w:ind w:firstLine="560"/>
        <w:rPr>
          <w:szCs w:val="28"/>
        </w:rPr>
      </w:pPr>
      <w:r>
        <w:rPr>
          <w:szCs w:val="28"/>
        </w:rPr>
        <w:t>S</w:t>
      </w:r>
      <w:r>
        <w:rPr>
          <w:szCs w:val="28"/>
          <w:vertAlign w:val="subscript"/>
        </w:rPr>
        <w:t>2</w:t>
      </w:r>
      <w:r>
        <w:rPr>
          <w:szCs w:val="28"/>
        </w:rPr>
        <w:t>：废</w:t>
      </w:r>
      <w:r>
        <w:rPr>
          <w:rFonts w:hint="eastAsia"/>
          <w:szCs w:val="28"/>
        </w:rPr>
        <w:t>活性炭</w:t>
      </w:r>
    </w:p>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项目真空泵尾气采用</w:t>
      </w:r>
      <w:r>
        <w:rPr>
          <w:rFonts w:ascii="Times New Roman" w:hAnsi="Times New Roman"/>
          <w:sz w:val="28"/>
          <w:szCs w:val="28"/>
        </w:rPr>
        <w:t>尾气洗涤塔</w:t>
      </w:r>
      <w:r>
        <w:rPr>
          <w:rFonts w:hint="eastAsia" w:ascii="Times New Roman" w:hAnsi="Times New Roman"/>
          <w:sz w:val="28"/>
          <w:szCs w:val="28"/>
        </w:rPr>
        <w:t>+活性炭吸附罐装置进行净化处理，届时会产生少量的废活性炭</w:t>
      </w:r>
      <w:r>
        <w:rPr>
          <w:rFonts w:hint="eastAsia" w:ascii="Times New Roman" w:hAnsi="Times New Roman"/>
          <w:kern w:val="0"/>
          <w:sz w:val="28"/>
          <w:szCs w:val="28"/>
        </w:rPr>
        <w:t>。</w:t>
      </w:r>
      <w:r>
        <w:rPr>
          <w:rFonts w:ascii="Times New Roman" w:hAnsi="Times New Roman"/>
          <w:kern w:val="0"/>
          <w:sz w:val="28"/>
          <w:szCs w:val="28"/>
        </w:rPr>
        <w:t>这部分固废属于危险固废（HW900-039-49），</w:t>
      </w:r>
      <w:r>
        <w:rPr>
          <w:rFonts w:ascii="Times New Roman" w:hAnsi="Times New Roman"/>
          <w:sz w:val="28"/>
          <w:szCs w:val="28"/>
        </w:rPr>
        <w:t>厂区集中收集后送有资质单位安全处置。</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（4）噪声</w:t>
      </w:r>
    </w:p>
    <w:p>
      <w:pPr>
        <w:spacing w:line="520" w:lineRule="exact"/>
        <w:ind w:firstLine="560" w:firstLineChars="200"/>
        <w:rPr>
          <w:rFonts w:ascii="Times New Roman" w:hAnsi="Times New Roman"/>
          <w:sz w:val="28"/>
          <w:szCs w:val="28"/>
        </w:rPr>
      </w:pPr>
      <w:r>
        <w:rPr>
          <w:rFonts w:hint="eastAsia" w:ascii="Times New Roman" w:hAnsi="Times New Roman"/>
          <w:sz w:val="28"/>
          <w:szCs w:val="28"/>
        </w:rPr>
        <w:t>项目装置</w:t>
      </w:r>
      <w:r>
        <w:rPr>
          <w:rFonts w:ascii="Times New Roman" w:hAnsi="Times New Roman"/>
          <w:sz w:val="28"/>
          <w:szCs w:val="28"/>
        </w:rPr>
        <w:t>主要高噪声设备包括各类物料泵、</w:t>
      </w:r>
      <w:r>
        <w:rPr>
          <w:rFonts w:hint="eastAsia" w:ascii="Times New Roman" w:hAnsi="Times New Roman"/>
          <w:sz w:val="28"/>
          <w:szCs w:val="28"/>
        </w:rPr>
        <w:t>压缩机</w:t>
      </w:r>
      <w:r>
        <w:rPr>
          <w:rFonts w:ascii="Times New Roman" w:hAnsi="Times New Roman"/>
          <w:sz w:val="28"/>
          <w:szCs w:val="28"/>
        </w:rPr>
        <w:t>等。</w:t>
      </w:r>
    </w:p>
    <w:p>
      <w:pPr>
        <w:pStyle w:val="27"/>
        <w:spacing w:line="500" w:lineRule="exact"/>
        <w:ind w:firstLine="560"/>
      </w:pPr>
      <w:r>
        <w:rPr>
          <w:rFonts w:hint="eastAsia"/>
          <w:szCs w:val="28"/>
        </w:rPr>
        <w:t>项目</w:t>
      </w:r>
      <w:r>
        <w:t>主要产污环节及拟采取的治理措施见表3.3-2。</w:t>
      </w:r>
    </w:p>
    <w:p>
      <w:pPr>
        <w:pStyle w:val="32"/>
        <w:ind w:firstLine="679" w:firstLineChars="282"/>
      </w:pPr>
      <w:r>
        <w:t>表3.3-2          项目产污环节及治理措施一览表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52"/>
        <w:gridCol w:w="1563"/>
        <w:gridCol w:w="1842"/>
        <w:gridCol w:w="1275"/>
        <w:gridCol w:w="993"/>
        <w:gridCol w:w="197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Align w:val="center"/>
          </w:tcPr>
          <w:p>
            <w:pPr>
              <w:pStyle w:val="53"/>
              <w:tabs>
                <w:tab w:val="left" w:pos="792"/>
                <w:tab w:val="clear" w:pos="567"/>
              </w:tabs>
              <w:snapToGrid w:val="0"/>
              <w:spacing w:line="240" w:lineRule="auto"/>
              <w:jc w:val="center"/>
              <w:rPr>
                <w:rFonts w:eastAsia="宋体"/>
                <w:snapToGrid w:val="0"/>
                <w:spacing w:val="0"/>
                <w:kern w:val="0"/>
                <w:sz w:val="21"/>
                <w:szCs w:val="21"/>
              </w:rPr>
            </w:pPr>
            <w:bookmarkStart w:id="69" w:name="_Hlk35006264"/>
            <w:r>
              <w:rPr>
                <w:rFonts w:eastAsia="宋体"/>
                <w:snapToGrid w:val="0"/>
                <w:spacing w:val="0"/>
                <w:kern w:val="0"/>
                <w:sz w:val="21"/>
                <w:szCs w:val="21"/>
              </w:rPr>
              <w:t>污染</w:t>
            </w:r>
          </w:p>
          <w:p>
            <w:pPr>
              <w:pStyle w:val="53"/>
              <w:tabs>
                <w:tab w:val="left" w:pos="792"/>
                <w:tab w:val="clear" w:pos="567"/>
              </w:tabs>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类型</w:t>
            </w:r>
          </w:p>
        </w:tc>
        <w:tc>
          <w:tcPr>
            <w:tcW w:w="464"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编号</w:t>
            </w:r>
          </w:p>
        </w:tc>
        <w:tc>
          <w:tcPr>
            <w:tcW w:w="852"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污染源名称</w:t>
            </w:r>
          </w:p>
        </w:tc>
        <w:tc>
          <w:tcPr>
            <w:tcW w:w="1004"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产污环节</w:t>
            </w:r>
          </w:p>
        </w:tc>
        <w:tc>
          <w:tcPr>
            <w:tcW w:w="695"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主要污染物</w:t>
            </w:r>
          </w:p>
        </w:tc>
        <w:tc>
          <w:tcPr>
            <w:tcW w:w="541"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排放</w:t>
            </w:r>
          </w:p>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方式</w:t>
            </w:r>
          </w:p>
        </w:tc>
        <w:tc>
          <w:tcPr>
            <w:tcW w:w="1077"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污防措施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废气</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氢气驰放气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合成</w:t>
            </w:r>
            <w:r>
              <w:rPr>
                <w:rFonts w:eastAsia="宋体"/>
                <w:b w:val="0"/>
                <w:bCs/>
                <w:snapToGrid w:val="0"/>
                <w:spacing w:val="0"/>
                <w:kern w:val="0"/>
                <w:sz w:val="21"/>
                <w:szCs w:val="21"/>
              </w:rPr>
              <w:t>反应釜</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氢气</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送</w:t>
            </w:r>
            <w:r>
              <w:rPr>
                <w:rFonts w:hint="eastAsia" w:eastAsia="宋体"/>
                <w:b w:val="0"/>
                <w:bCs/>
                <w:snapToGrid w:val="0"/>
                <w:spacing w:val="0"/>
                <w:kern w:val="0"/>
                <w:sz w:val="21"/>
                <w:szCs w:val="21"/>
              </w:rPr>
              <w:t>现有</w:t>
            </w:r>
            <w:r>
              <w:rPr>
                <w:rFonts w:eastAsia="宋体"/>
                <w:b w:val="0"/>
                <w:bCs/>
                <w:snapToGrid w:val="0"/>
                <w:spacing w:val="0"/>
                <w:kern w:val="0"/>
                <w:sz w:val="21"/>
                <w:szCs w:val="21"/>
              </w:rPr>
              <w:t>火炬焚烧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kern w:val="0"/>
                <w:sz w:val="21"/>
                <w:szCs w:val="21"/>
              </w:rPr>
              <w:t>不凝气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闪蒸汽冷凝罐</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醇类</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送</w:t>
            </w:r>
            <w:r>
              <w:rPr>
                <w:rFonts w:hint="eastAsia" w:eastAsia="宋体"/>
                <w:b w:val="0"/>
                <w:bCs/>
                <w:snapToGrid w:val="0"/>
                <w:spacing w:val="0"/>
                <w:kern w:val="0"/>
                <w:sz w:val="21"/>
                <w:szCs w:val="21"/>
              </w:rPr>
              <w:t>现有</w:t>
            </w:r>
            <w:r>
              <w:rPr>
                <w:rFonts w:eastAsia="宋体"/>
                <w:b w:val="0"/>
                <w:bCs/>
                <w:snapToGrid w:val="0"/>
                <w:spacing w:val="0"/>
                <w:kern w:val="0"/>
                <w:sz w:val="21"/>
                <w:szCs w:val="21"/>
              </w:rPr>
              <w:t>火炬焚烧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3</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真空</w:t>
            </w:r>
            <w:r>
              <w:rPr>
                <w:rFonts w:hint="eastAsia" w:eastAsia="宋体"/>
                <w:b w:val="0"/>
                <w:bCs/>
                <w:snapToGrid w:val="0"/>
                <w:spacing w:val="0"/>
                <w:kern w:val="0"/>
                <w:sz w:val="21"/>
                <w:szCs w:val="21"/>
              </w:rPr>
              <w:t>泵</w:t>
            </w:r>
            <w:r>
              <w:rPr>
                <w:rFonts w:eastAsia="宋体"/>
                <w:b w:val="0"/>
                <w:bCs/>
                <w:snapToGrid w:val="0"/>
                <w:spacing w:val="0"/>
                <w:kern w:val="0"/>
                <w:sz w:val="21"/>
                <w:szCs w:val="21"/>
              </w:rPr>
              <w:t>尾气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脱轻塔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丙二醇精制塔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脱重塔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乙二醇精制塔</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氮气、</w:t>
            </w:r>
            <w:r>
              <w:rPr>
                <w:rFonts w:eastAsia="宋体"/>
                <w:b w:val="0"/>
                <w:bCs/>
                <w:snapToGrid w:val="0"/>
                <w:spacing w:val="0"/>
                <w:kern w:val="0"/>
                <w:sz w:val="21"/>
                <w:szCs w:val="21"/>
              </w:rPr>
              <w:t>醇类</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尾气洗涤塔</w:t>
            </w:r>
            <w:r>
              <w:rPr>
                <w:rFonts w:hint="eastAsia" w:eastAsia="宋体"/>
                <w:b w:val="0"/>
                <w:bCs/>
                <w:snapToGrid w:val="0"/>
                <w:spacing w:val="0"/>
                <w:kern w:val="0"/>
                <w:sz w:val="21"/>
                <w:szCs w:val="21"/>
              </w:rPr>
              <w:t>+活性炭吸附罐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无组织</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装置区</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VOC</w:t>
            </w:r>
            <w:r>
              <w:rPr>
                <w:rFonts w:eastAsia="宋体"/>
                <w:b w:val="0"/>
                <w:bCs/>
                <w:snapToGrid w:val="0"/>
                <w:spacing w:val="0"/>
                <w:kern w:val="0"/>
                <w:sz w:val="21"/>
                <w:szCs w:val="21"/>
                <w:vertAlign w:val="subscript"/>
              </w:rPr>
              <w:t>S</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ind w:firstLine="420"/>
              <w:jc w:val="center"/>
              <w:rPr>
                <w:rFonts w:eastAsia="宋体"/>
                <w:b w:val="0"/>
                <w:bCs/>
                <w:snapToGrid w:val="0"/>
                <w:spacing w:val="0"/>
                <w:kern w:val="0"/>
                <w:sz w:val="21"/>
                <w:szCs w:val="21"/>
              </w:rPr>
            </w:pPr>
            <w:r>
              <w:rPr>
                <w:rFonts w:eastAsia="宋体"/>
                <w:b w:val="0"/>
                <w:bCs/>
                <w:snapToGrid w:val="0"/>
                <w:spacing w:val="0"/>
                <w:kern w:val="0"/>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废水</w:t>
            </w: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闪蒸冷凝废水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闪蒸汽冷凝器</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送尾气洗涤塔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脱轻塔冷凝废水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脱轻塔冷凝器</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送尾气洗涤塔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3</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尾气洗涤塔外排水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尾气洗涤塔</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送</w:t>
            </w:r>
            <w:r>
              <w:rPr>
                <w:rFonts w:eastAsia="宋体"/>
                <w:b w:val="0"/>
                <w:bCs/>
                <w:snapToGrid w:val="0"/>
                <w:spacing w:val="0"/>
                <w:kern w:val="0"/>
                <w:sz w:val="21"/>
                <w:szCs w:val="21"/>
              </w:rPr>
              <w:t>现有污水处理站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固废</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S</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废催化剂</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合成反应器</w:t>
            </w:r>
          </w:p>
        </w:tc>
        <w:tc>
          <w:tcPr>
            <w:tcW w:w="695" w:type="pct"/>
            <w:vAlign w:val="center"/>
          </w:tcPr>
          <w:p>
            <w:pPr>
              <w:pStyle w:val="40"/>
              <w:adjustRightInd w:val="0"/>
              <w:snapToGrid w:val="0"/>
              <w:jc w:val="center"/>
              <w:rPr>
                <w:bCs/>
                <w:szCs w:val="21"/>
              </w:rPr>
            </w:pPr>
            <w:r>
              <w:rPr>
                <w:bCs/>
                <w:kern w:val="0"/>
                <w:szCs w:val="21"/>
              </w:rPr>
              <w:t>HW 900-037-46</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S</w:t>
            </w:r>
            <w:r>
              <w:rPr>
                <w:rFonts w:eastAsia="宋体"/>
                <w:b w:val="0"/>
                <w:bCs/>
                <w:snapToGrid w:val="0"/>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废活性炭</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尾气吸附罐</w:t>
            </w:r>
          </w:p>
        </w:tc>
        <w:tc>
          <w:tcPr>
            <w:tcW w:w="695" w:type="pct"/>
            <w:vAlign w:val="center"/>
          </w:tcPr>
          <w:p>
            <w:pPr>
              <w:pStyle w:val="40"/>
              <w:adjustRightInd w:val="0"/>
              <w:snapToGrid w:val="0"/>
              <w:jc w:val="center"/>
              <w:rPr>
                <w:bCs/>
                <w:kern w:val="0"/>
                <w:szCs w:val="21"/>
              </w:rPr>
            </w:pPr>
            <w:r>
              <w:rPr>
                <w:bCs/>
                <w:kern w:val="0"/>
                <w:szCs w:val="21"/>
              </w:rPr>
              <w:t>HW</w:t>
            </w:r>
          </w:p>
          <w:p>
            <w:pPr>
              <w:pStyle w:val="40"/>
              <w:adjustRightInd w:val="0"/>
              <w:snapToGrid w:val="0"/>
              <w:jc w:val="center"/>
              <w:rPr>
                <w:bCs/>
                <w:kern w:val="0"/>
                <w:szCs w:val="21"/>
              </w:rPr>
            </w:pPr>
            <w:r>
              <w:rPr>
                <w:bCs/>
                <w:kern w:val="0"/>
                <w:szCs w:val="21"/>
              </w:rPr>
              <w:t>900-039-49</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噪声</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N</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压缩机</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乙二醇合成</w:t>
            </w:r>
          </w:p>
        </w:tc>
        <w:tc>
          <w:tcPr>
            <w:tcW w:w="695" w:type="pct"/>
            <w:vAlign w:val="center"/>
          </w:tcPr>
          <w:p>
            <w:pPr>
              <w:pStyle w:val="40"/>
              <w:adjustRightInd w:val="0"/>
              <w:snapToGrid w:val="0"/>
              <w:jc w:val="center"/>
              <w:rPr>
                <w:bCs/>
                <w:kern w:val="0"/>
                <w:szCs w:val="21"/>
              </w:rPr>
            </w:pPr>
            <w:r>
              <w:rPr>
                <w:rFonts w:hint="eastAsia"/>
                <w:bCs/>
                <w:kern w:val="0"/>
                <w:szCs w:val="21"/>
              </w:rPr>
              <w:t>1</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bCs/>
                <w:snapToGrid w:val="0"/>
                <w:spacing w:val="0"/>
                <w:kern w:val="0"/>
                <w:sz w:val="21"/>
                <w:szCs w:val="21"/>
              </w:rPr>
              <w:t>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Merge w:val="restar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N</w:t>
            </w:r>
            <w:r>
              <w:rPr>
                <w:rFonts w:eastAsia="宋体"/>
                <w:b w:val="0"/>
                <w:bCs/>
                <w:snapToGrid w:val="0"/>
                <w:spacing w:val="0"/>
                <w:kern w:val="0"/>
                <w:sz w:val="21"/>
                <w:szCs w:val="21"/>
                <w:vertAlign w:val="subscript"/>
              </w:rPr>
              <w:t>2</w:t>
            </w:r>
          </w:p>
        </w:tc>
        <w:tc>
          <w:tcPr>
            <w:tcW w:w="852" w:type="pct"/>
            <w:vMerge w:val="restar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泵类</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乙二醇合成</w:t>
            </w:r>
          </w:p>
        </w:tc>
        <w:tc>
          <w:tcPr>
            <w:tcW w:w="695" w:type="pct"/>
            <w:vAlign w:val="center"/>
          </w:tcPr>
          <w:p>
            <w:pPr>
              <w:pStyle w:val="40"/>
              <w:adjustRightInd w:val="0"/>
              <w:snapToGrid w:val="0"/>
              <w:jc w:val="center"/>
              <w:rPr>
                <w:bCs/>
                <w:kern w:val="0"/>
                <w:szCs w:val="21"/>
              </w:rPr>
            </w:pPr>
            <w:r>
              <w:rPr>
                <w:rFonts w:hint="eastAsia"/>
                <w:bCs/>
                <w:kern w:val="0"/>
                <w:szCs w:val="21"/>
              </w:rPr>
              <w:t>5</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bCs/>
                <w:snapToGrid w:val="0"/>
                <w:spacing w:val="0"/>
                <w:kern w:val="0"/>
                <w:sz w:val="21"/>
                <w:szCs w:val="21"/>
              </w:rPr>
              <w:t>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Merge w:val="continue"/>
            <w:vAlign w:val="center"/>
          </w:tcPr>
          <w:p>
            <w:pPr>
              <w:pStyle w:val="53"/>
              <w:snapToGrid w:val="0"/>
              <w:spacing w:line="240" w:lineRule="auto"/>
              <w:jc w:val="center"/>
              <w:rPr>
                <w:rFonts w:eastAsia="宋体"/>
                <w:b w:val="0"/>
                <w:bCs/>
                <w:snapToGrid w:val="0"/>
                <w:spacing w:val="0"/>
                <w:kern w:val="0"/>
                <w:sz w:val="21"/>
                <w:szCs w:val="21"/>
              </w:rPr>
            </w:pPr>
          </w:p>
        </w:tc>
        <w:tc>
          <w:tcPr>
            <w:tcW w:w="852" w:type="pct"/>
            <w:vMerge w:val="continue"/>
            <w:vAlign w:val="center"/>
          </w:tcPr>
          <w:p>
            <w:pPr>
              <w:pStyle w:val="53"/>
              <w:snapToGrid w:val="0"/>
              <w:spacing w:line="240" w:lineRule="auto"/>
              <w:jc w:val="center"/>
              <w:rPr>
                <w:rFonts w:eastAsia="宋体"/>
                <w:b w:val="0"/>
                <w:bCs/>
                <w:spacing w:val="0"/>
                <w:kern w:val="0"/>
                <w:sz w:val="21"/>
                <w:szCs w:val="21"/>
              </w:rPr>
            </w:pP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乙二醇精馏</w:t>
            </w:r>
          </w:p>
        </w:tc>
        <w:tc>
          <w:tcPr>
            <w:tcW w:w="695" w:type="pct"/>
            <w:vAlign w:val="center"/>
          </w:tcPr>
          <w:p>
            <w:pPr>
              <w:pStyle w:val="40"/>
              <w:adjustRightInd w:val="0"/>
              <w:snapToGrid w:val="0"/>
              <w:jc w:val="center"/>
              <w:rPr>
                <w:bCs/>
                <w:kern w:val="0"/>
                <w:szCs w:val="21"/>
              </w:rPr>
            </w:pPr>
            <w:r>
              <w:rPr>
                <w:rFonts w:hint="eastAsia"/>
                <w:bCs/>
                <w:kern w:val="0"/>
                <w:szCs w:val="21"/>
              </w:rPr>
              <w:t>1</w:t>
            </w:r>
            <w:r>
              <w:rPr>
                <w:bCs/>
                <w:kern w:val="0"/>
                <w:szCs w:val="21"/>
              </w:rPr>
              <w:t>8</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Theme="minorEastAsia"/>
                <w:b w:val="0"/>
                <w:bCs/>
                <w:snapToGrid w:val="0"/>
                <w:spacing w:val="0"/>
                <w:kern w:val="0"/>
                <w:sz w:val="21"/>
                <w:szCs w:val="21"/>
              </w:rPr>
            </w:pPr>
            <w:r>
              <w:rPr>
                <w:rFonts w:eastAsiaTheme="minorEastAsia"/>
                <w:b w:val="0"/>
                <w:bCs/>
                <w:snapToGrid w:val="0"/>
                <w:spacing w:val="0"/>
                <w:kern w:val="0"/>
                <w:sz w:val="21"/>
                <w:szCs w:val="21"/>
              </w:rPr>
              <w:t>减振、隔声</w:t>
            </w:r>
          </w:p>
        </w:tc>
      </w:tr>
      <w:bookmarkEnd w:id="69"/>
    </w:tbl>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3.3.3  公辅工程产污环节分析</w:t>
      </w:r>
    </w:p>
    <w:p>
      <w:pPr>
        <w:spacing w:line="520" w:lineRule="exact"/>
        <w:ind w:firstLine="560" w:firstLineChars="200"/>
        <w:rPr>
          <w:rFonts w:ascii="Times New Roman" w:hAnsi="Times New Roman"/>
          <w:snapToGrid w:val="0"/>
          <w:kern w:val="0"/>
          <w:sz w:val="28"/>
          <w:szCs w:val="28"/>
        </w:rPr>
      </w:pPr>
      <w:r>
        <w:rPr>
          <w:rFonts w:ascii="Times New Roman" w:hAnsi="Times New Roman"/>
          <w:snapToGrid w:val="0"/>
          <w:kern w:val="0"/>
          <w:sz w:val="28"/>
          <w:szCs w:val="28"/>
        </w:rPr>
        <w:t>（1）真空系统</w:t>
      </w:r>
    </w:p>
    <w:p>
      <w:pPr>
        <w:spacing w:line="520" w:lineRule="exact"/>
        <w:ind w:firstLine="560" w:firstLineChars="200"/>
        <w:rPr>
          <w:rFonts w:ascii="Times New Roman" w:hAnsi="Times New Roman"/>
          <w:sz w:val="28"/>
          <w:szCs w:val="28"/>
        </w:rPr>
      </w:pPr>
      <w:r>
        <w:rPr>
          <w:rFonts w:ascii="Times New Roman" w:hAnsi="Times New Roman"/>
          <w:snapToGrid w:val="0"/>
          <w:kern w:val="0"/>
          <w:sz w:val="28"/>
          <w:szCs w:val="28"/>
        </w:rPr>
        <w:t>项目脱轻塔、丙二醇精制塔、脱重塔、乙二醇精制塔均采用减</w:t>
      </w:r>
      <w:r>
        <w:rPr>
          <w:rFonts w:ascii="Times New Roman" w:hAnsi="Times New Roman"/>
          <w:sz w:val="28"/>
          <w:szCs w:val="28"/>
        </w:rPr>
        <w:t>压精馏技术，塔顶回流罐连接真空系统，</w:t>
      </w:r>
      <w:r>
        <w:rPr>
          <w:rFonts w:hint="eastAsia" w:ascii="Times New Roman" w:hAnsi="Times New Roman"/>
          <w:sz w:val="28"/>
          <w:szCs w:val="28"/>
        </w:rPr>
        <w:t>乙二醇精馏系统设置4台水</w:t>
      </w:r>
      <w:r>
        <w:rPr>
          <w:rFonts w:hint="eastAsia"/>
          <w:szCs w:val="21"/>
          <w:shd w:val="clear" w:color="auto" w:fill="FFFFFF"/>
        </w:rPr>
        <w:t>环</w:t>
      </w:r>
      <w:r>
        <w:rPr>
          <w:rFonts w:hint="eastAsia" w:ascii="Times New Roman" w:hAnsi="Times New Roman"/>
          <w:sz w:val="28"/>
          <w:szCs w:val="28"/>
        </w:rPr>
        <w:t>真空泵，</w:t>
      </w:r>
      <w:r>
        <w:rPr>
          <w:rFonts w:ascii="Times New Roman" w:hAnsi="Times New Roman"/>
          <w:sz w:val="28"/>
          <w:szCs w:val="28"/>
        </w:rPr>
        <w:t>，真空线上接氮气线，通过调节氮气量控制真空度。</w:t>
      </w:r>
      <w:r>
        <w:rPr>
          <w:rFonts w:hint="eastAsia" w:ascii="Times New Roman" w:hAnsi="Times New Roman"/>
          <w:sz w:val="28"/>
          <w:szCs w:val="28"/>
        </w:rPr>
        <w:t>各精馏塔不凝气</w:t>
      </w:r>
      <w:r>
        <w:rPr>
          <w:rFonts w:ascii="Times New Roman" w:hAnsi="Times New Roman"/>
          <w:kern w:val="0"/>
          <w:sz w:val="28"/>
          <w:szCs w:val="28"/>
        </w:rPr>
        <w:t>由真空泵抽走，</w:t>
      </w:r>
      <w:r>
        <w:rPr>
          <w:rFonts w:ascii="Times New Roman" w:hAnsi="Times New Roman"/>
          <w:sz w:val="28"/>
          <w:szCs w:val="28"/>
        </w:rPr>
        <w:t>真空泵尾气（</w:t>
      </w:r>
      <w:r>
        <w:rPr>
          <w:rFonts w:ascii="Times New Roman" w:hAnsi="Times New Roman"/>
          <w:snapToGrid w:val="0"/>
          <w:kern w:val="0"/>
          <w:sz w:val="28"/>
          <w:szCs w:val="28"/>
        </w:rPr>
        <w:t>G</w:t>
      </w:r>
      <w:r>
        <w:rPr>
          <w:rFonts w:ascii="Times New Roman" w:hAnsi="Times New Roman"/>
          <w:snapToGrid w:val="0"/>
          <w:kern w:val="0"/>
          <w:sz w:val="28"/>
          <w:szCs w:val="28"/>
          <w:vertAlign w:val="subscript"/>
        </w:rPr>
        <w:t>3</w:t>
      </w:r>
      <w:r>
        <w:rPr>
          <w:rFonts w:ascii="Times New Roman" w:hAnsi="Times New Roman"/>
          <w:sz w:val="28"/>
          <w:szCs w:val="28"/>
        </w:rPr>
        <w:t>）主要为醇类，送尾气洗涤塔</w:t>
      </w:r>
      <w:r>
        <w:rPr>
          <w:rFonts w:hint="eastAsia" w:ascii="Times New Roman" w:hAnsi="Times New Roman"/>
          <w:sz w:val="28"/>
          <w:szCs w:val="28"/>
        </w:rPr>
        <w:t>+活性炭吸附罐装置</w:t>
      </w:r>
      <w:r>
        <w:rPr>
          <w:rFonts w:ascii="Times New Roman" w:hAnsi="Times New Roman"/>
          <w:sz w:val="28"/>
          <w:szCs w:val="28"/>
        </w:rPr>
        <w:t>处理；同时，</w:t>
      </w:r>
      <w:r>
        <w:rPr>
          <w:rFonts w:ascii="Times New Roman" w:hAnsi="Times New Roman"/>
          <w:sz w:val="28"/>
          <w:szCs w:val="28"/>
          <w:shd w:val="clear" w:color="auto" w:fill="FFFFFF"/>
        </w:rPr>
        <w:t>真空泵工作过程中抽吸的精馏塔不凝气溶入水环式真空泵内的水后形成废水</w:t>
      </w:r>
      <w:r>
        <w:rPr>
          <w:rFonts w:ascii="Times New Roman" w:hAnsi="Times New Roman"/>
          <w:sz w:val="28"/>
          <w:szCs w:val="28"/>
        </w:rPr>
        <w:t>（W</w:t>
      </w:r>
      <w:r>
        <w:rPr>
          <w:rFonts w:ascii="Times New Roman" w:hAnsi="Times New Roman"/>
          <w:sz w:val="28"/>
          <w:szCs w:val="28"/>
          <w:vertAlign w:val="subscript"/>
        </w:rPr>
        <w:t>4</w:t>
      </w:r>
      <w:r>
        <w:rPr>
          <w:rFonts w:ascii="Times New Roman" w:hAnsi="Times New Roman"/>
          <w:sz w:val="28"/>
          <w:szCs w:val="28"/>
        </w:rPr>
        <w:t>）</w:t>
      </w:r>
      <w:r>
        <w:rPr>
          <w:rFonts w:ascii="Times New Roman" w:hAnsi="Times New Roman"/>
          <w:sz w:val="28"/>
          <w:szCs w:val="28"/>
          <w:shd w:val="clear" w:color="auto" w:fill="FFFFFF"/>
        </w:rPr>
        <w:t>，</w:t>
      </w:r>
      <w:r>
        <w:rPr>
          <w:rFonts w:hint="eastAsia" w:ascii="Times New Roman" w:hAnsi="Times New Roman"/>
          <w:sz w:val="28"/>
          <w:szCs w:val="28"/>
          <w:shd w:val="clear" w:color="auto" w:fill="FFFFFF"/>
        </w:rPr>
        <w:t>排入甲醇项目污水处理站进行处理。</w:t>
      </w:r>
    </w:p>
    <w:p>
      <w:pPr>
        <w:spacing w:line="520" w:lineRule="exact"/>
        <w:ind w:firstLine="560" w:firstLineChars="200"/>
        <w:rPr>
          <w:rFonts w:ascii="Times New Roman" w:hAnsi="Times New Roman"/>
          <w:snapToGrid w:val="0"/>
          <w:kern w:val="0"/>
          <w:sz w:val="28"/>
          <w:szCs w:val="28"/>
        </w:rPr>
      </w:pPr>
      <w:r>
        <w:rPr>
          <w:rFonts w:ascii="Times New Roman" w:hAnsi="Times New Roman"/>
          <w:snapToGrid w:val="0"/>
          <w:kern w:val="0"/>
          <w:sz w:val="28"/>
          <w:szCs w:val="28"/>
        </w:rPr>
        <w:t>（2）循环冷却系统</w:t>
      </w:r>
    </w:p>
    <w:p>
      <w:pPr>
        <w:pStyle w:val="44"/>
        <w:shd w:val="clear" w:color="auto" w:fill="auto"/>
        <w:spacing w:line="520" w:lineRule="exact"/>
        <w:ind w:firstLine="560" w:firstLineChars="200"/>
        <w:rPr>
          <w:rFonts w:ascii="Times New Roman" w:hAnsi="Times New Roman" w:cs="Times New Roman"/>
          <w:b w:val="0"/>
          <w:bCs w:val="0"/>
          <w:sz w:val="28"/>
          <w:szCs w:val="28"/>
          <w:lang w:eastAsia="zh-CN"/>
        </w:rPr>
      </w:pPr>
      <w:r>
        <w:rPr>
          <w:rStyle w:val="42"/>
          <w:rFonts w:ascii="Times New Roman" w:hAnsi="Times New Roman" w:eastAsia="宋体" w:cs="Times New Roman"/>
          <w:b w:val="0"/>
          <w:bCs w:val="0"/>
          <w:color w:val="auto"/>
          <w:kern w:val="2"/>
          <w:sz w:val="28"/>
          <w:szCs w:val="28"/>
          <w:lang w:eastAsia="zh-CN"/>
        </w:rPr>
        <w:t>项目</w:t>
      </w:r>
      <w:r>
        <w:rPr>
          <w:rFonts w:ascii="Times New Roman" w:hAnsi="Times New Roman" w:cs="Times New Roman"/>
          <w:b w:val="0"/>
          <w:bCs w:val="0"/>
          <w:sz w:val="28"/>
          <w:szCs w:val="28"/>
          <w:lang w:eastAsia="zh-CN"/>
        </w:rPr>
        <w:t>循环水系统依托厂区现有装置</w:t>
      </w:r>
      <w:r>
        <w:rPr>
          <w:rFonts w:hint="eastAsia" w:ascii="Times New Roman" w:hAnsi="Times New Roman" w:cs="Times New Roman"/>
          <w:b w:val="0"/>
          <w:bCs w:val="0"/>
          <w:sz w:val="28"/>
          <w:szCs w:val="28"/>
          <w:lang w:eastAsia="zh-CN"/>
        </w:rPr>
        <w:t>；</w:t>
      </w:r>
      <w:r>
        <w:rPr>
          <w:rFonts w:ascii="Times New Roman" w:hAnsi="Times New Roman" w:cs="Times New Roman"/>
          <w:b w:val="0"/>
          <w:bCs w:val="0"/>
          <w:sz w:val="28"/>
          <w:szCs w:val="28"/>
          <w:lang w:eastAsia="zh-CN"/>
        </w:rPr>
        <w:t>本工程设备循环冷却系统循环水量为164.8m</w:t>
      </w:r>
      <w:r>
        <w:rPr>
          <w:rFonts w:ascii="Times New Roman" w:hAnsi="Times New Roman" w:cs="Times New Roman"/>
          <w:b w:val="0"/>
          <w:bCs w:val="0"/>
          <w:sz w:val="28"/>
          <w:szCs w:val="28"/>
          <w:vertAlign w:val="superscript"/>
          <w:lang w:eastAsia="zh-CN"/>
        </w:rPr>
        <w:t>3</w:t>
      </w:r>
      <w:r>
        <w:rPr>
          <w:rFonts w:ascii="Times New Roman" w:hAnsi="Times New Roman" w:cs="Times New Roman"/>
          <w:b w:val="0"/>
          <w:bCs w:val="0"/>
          <w:sz w:val="28"/>
          <w:szCs w:val="28"/>
          <w:lang w:eastAsia="zh-CN"/>
        </w:rPr>
        <w:t>/h，</w:t>
      </w:r>
      <w:r>
        <w:rPr>
          <w:rFonts w:hint="eastAsia" w:ascii="Times New Roman" w:hAnsi="Times New Roman" w:cs="Times New Roman"/>
          <w:b w:val="0"/>
          <w:bCs w:val="0"/>
          <w:sz w:val="28"/>
          <w:szCs w:val="28"/>
          <w:lang w:eastAsia="zh-CN"/>
        </w:rPr>
        <w:t>进出口温度和压力分别是</w:t>
      </w:r>
      <w:r>
        <w:rPr>
          <w:rFonts w:ascii="Times New Roman" w:hAnsi="Times New Roman" w:cs="Times New Roman"/>
          <w:b w:val="0"/>
          <w:bCs w:val="0"/>
          <w:sz w:val="28"/>
          <w:szCs w:val="28"/>
          <w:lang w:eastAsia="zh-CN"/>
        </w:rPr>
        <w:t>32/42℃，0.4/0.25MPaG，</w:t>
      </w:r>
      <w:r>
        <w:rPr>
          <w:rFonts w:hint="eastAsia" w:ascii="Times New Roman" w:hAnsi="Times New Roman" w:cs="Times New Roman"/>
          <w:b w:val="0"/>
          <w:bCs w:val="0"/>
          <w:sz w:val="28"/>
          <w:szCs w:val="28"/>
          <w:lang w:eastAsia="zh-CN"/>
        </w:rPr>
        <w:t>循环冷却系统产生的外排水（W</w:t>
      </w:r>
      <w:r>
        <w:rPr>
          <w:rFonts w:ascii="Times New Roman" w:hAnsi="Times New Roman" w:cs="Times New Roman"/>
          <w:b w:val="0"/>
          <w:bCs w:val="0"/>
          <w:sz w:val="28"/>
          <w:szCs w:val="28"/>
          <w:vertAlign w:val="subscript"/>
          <w:lang w:eastAsia="zh-CN"/>
        </w:rPr>
        <w:t>5</w:t>
      </w:r>
      <w:r>
        <w:rPr>
          <w:rFonts w:hint="eastAsia" w:ascii="Times New Roman" w:hAnsi="Times New Roman" w:cs="Times New Roman"/>
          <w:b w:val="0"/>
          <w:bCs w:val="0"/>
          <w:sz w:val="28"/>
          <w:szCs w:val="28"/>
          <w:lang w:eastAsia="zh-CN"/>
        </w:rPr>
        <w:t>）进入厂区现有废水管网。</w:t>
      </w:r>
    </w:p>
    <w:p>
      <w:pPr>
        <w:spacing w:line="520" w:lineRule="exact"/>
        <w:ind w:firstLine="560" w:firstLineChars="200"/>
        <w:rPr>
          <w:rFonts w:ascii="Times New Roman" w:hAnsi="Times New Roman"/>
          <w:snapToGrid w:val="0"/>
          <w:kern w:val="0"/>
          <w:sz w:val="28"/>
          <w:szCs w:val="28"/>
        </w:rPr>
      </w:pPr>
      <w:r>
        <w:rPr>
          <w:rFonts w:ascii="Times New Roman" w:hAnsi="Times New Roman"/>
          <w:snapToGrid w:val="0"/>
          <w:kern w:val="0"/>
          <w:sz w:val="28"/>
          <w:szCs w:val="28"/>
        </w:rPr>
        <w:t>（3）</w:t>
      </w:r>
      <w:r>
        <w:rPr>
          <w:rFonts w:hint="eastAsia" w:ascii="Times New Roman" w:hAnsi="Times New Roman"/>
          <w:snapToGrid w:val="0"/>
          <w:kern w:val="0"/>
          <w:sz w:val="28"/>
          <w:szCs w:val="28"/>
        </w:rPr>
        <w:t>新增脱盐水排水</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bCs/>
          <w:sz w:val="28"/>
          <w:szCs w:val="28"/>
        </w:rPr>
        <w:t>项目秸秆糖溶液配制及固态催化剂配制均需要脱盐水，项目脱盐水</w:t>
      </w:r>
      <w:r>
        <w:rPr>
          <w:rFonts w:hint="eastAsia" w:ascii="Times New Roman" w:hAnsi="Times New Roman" w:eastAsiaTheme="minorEastAsia"/>
          <w:sz w:val="28"/>
          <w:szCs w:val="28"/>
        </w:rPr>
        <w:t>依托</w:t>
      </w:r>
      <w:r>
        <w:rPr>
          <w:rFonts w:ascii="Times New Roman" w:hAnsi="Times New Roman" w:eastAsiaTheme="minorEastAsia"/>
          <w:bCs/>
          <w:sz w:val="28"/>
          <w:szCs w:val="28"/>
        </w:rPr>
        <w:t>30万吨/年甲醇项目现有脱盐水站</w:t>
      </w:r>
      <w:r>
        <w:rPr>
          <w:rFonts w:hint="eastAsia" w:ascii="Times New Roman" w:hAnsi="Times New Roman" w:eastAsiaTheme="minorEastAsia"/>
          <w:bCs/>
          <w:sz w:val="28"/>
          <w:szCs w:val="28"/>
        </w:rPr>
        <w:t>，</w:t>
      </w:r>
      <w:r>
        <w:rPr>
          <w:rFonts w:ascii="Times New Roman" w:hAnsi="Times New Roman" w:eastAsiaTheme="minorEastAsia"/>
          <w:sz w:val="28"/>
          <w:szCs w:val="28"/>
        </w:rPr>
        <w:t>会新增一定量的脱盐水站排污水</w:t>
      </w:r>
      <w:r>
        <w:rPr>
          <w:rFonts w:hint="eastAsia" w:ascii="Times New Roman" w:hAnsi="Times New Roman" w:eastAsiaTheme="minorEastAsia"/>
          <w:sz w:val="28"/>
          <w:szCs w:val="28"/>
          <w:lang w:val="zh-TW"/>
        </w:rPr>
        <w:t>（</w:t>
      </w:r>
      <w:r>
        <w:rPr>
          <w:rFonts w:ascii="Times New Roman" w:hAnsi="Times New Roman" w:eastAsiaTheme="minorEastAsia"/>
          <w:sz w:val="28"/>
          <w:szCs w:val="28"/>
          <w:lang w:val="zh-TW"/>
        </w:rPr>
        <w:t>W</w:t>
      </w:r>
      <w:r>
        <w:rPr>
          <w:rFonts w:ascii="Times New Roman" w:hAnsi="Times New Roman" w:eastAsia="PMingLiU"/>
          <w:sz w:val="28"/>
          <w:szCs w:val="28"/>
          <w:vertAlign w:val="subscript"/>
          <w:lang w:val="zh-TW" w:eastAsia="zh-TW"/>
        </w:rPr>
        <w:t>6</w:t>
      </w:r>
      <w:r>
        <w:rPr>
          <w:rFonts w:hint="eastAsia" w:ascii="Times New Roman" w:hAnsi="Times New Roman" w:eastAsiaTheme="minorEastAsia"/>
          <w:sz w:val="28"/>
          <w:szCs w:val="28"/>
          <w:lang w:val="zh-TW"/>
        </w:rPr>
        <w:t>）</w:t>
      </w:r>
      <w:r>
        <w:rPr>
          <w:rFonts w:ascii="Times New Roman" w:hAnsi="Times New Roman" w:eastAsiaTheme="minorEastAsia"/>
          <w:sz w:val="28"/>
          <w:szCs w:val="28"/>
        </w:rPr>
        <w:t>。</w:t>
      </w:r>
    </w:p>
    <w:p>
      <w:pPr>
        <w:spacing w:line="520" w:lineRule="exact"/>
        <w:ind w:firstLine="560" w:firstLineChars="200"/>
        <w:rPr>
          <w:rFonts w:ascii="Times New Roman" w:hAnsi="Times New Roman"/>
          <w:kern w:val="0"/>
          <w:sz w:val="28"/>
          <w:szCs w:val="28"/>
        </w:rPr>
      </w:pPr>
      <w:r>
        <w:rPr>
          <w:rFonts w:hint="eastAsia" w:ascii="Times New Roman" w:hAnsi="Times New Roman"/>
          <w:kern w:val="0"/>
          <w:sz w:val="28"/>
          <w:szCs w:val="28"/>
        </w:rPr>
        <w:t>（</w:t>
      </w:r>
      <w:r>
        <w:rPr>
          <w:rFonts w:ascii="Times New Roman" w:hAnsi="Times New Roman"/>
          <w:kern w:val="0"/>
          <w:sz w:val="28"/>
          <w:szCs w:val="28"/>
        </w:rPr>
        <w:t>4</w:t>
      </w:r>
      <w:r>
        <w:rPr>
          <w:rFonts w:hint="eastAsia" w:ascii="Times New Roman" w:hAnsi="Times New Roman"/>
          <w:kern w:val="0"/>
          <w:sz w:val="28"/>
          <w:szCs w:val="28"/>
        </w:rPr>
        <w:t>）地坪清洗</w:t>
      </w:r>
    </w:p>
    <w:p>
      <w:pPr>
        <w:spacing w:line="520" w:lineRule="exact"/>
        <w:ind w:firstLine="560" w:firstLineChars="200"/>
        <w:rPr>
          <w:rFonts w:ascii="Times New Roman" w:hAnsi="Times New Roman"/>
          <w:kern w:val="0"/>
          <w:sz w:val="28"/>
          <w:szCs w:val="28"/>
        </w:rPr>
      </w:pPr>
      <w:r>
        <w:rPr>
          <w:rFonts w:ascii="Times New Roman" w:hAnsi="Times New Roman"/>
          <w:kern w:val="0"/>
          <w:sz w:val="28"/>
          <w:szCs w:val="28"/>
        </w:rPr>
        <w:t>为了保证生产区的整洁、卫生，定期会对</w:t>
      </w:r>
      <w:r>
        <w:rPr>
          <w:rFonts w:hint="eastAsia" w:ascii="Times New Roman" w:hAnsi="Times New Roman"/>
          <w:kern w:val="0"/>
          <w:sz w:val="28"/>
          <w:szCs w:val="28"/>
        </w:rPr>
        <w:t>装置区地坪</w:t>
      </w:r>
      <w:r>
        <w:rPr>
          <w:rFonts w:ascii="Times New Roman" w:hAnsi="Times New Roman"/>
          <w:kern w:val="0"/>
          <w:sz w:val="28"/>
          <w:szCs w:val="28"/>
        </w:rPr>
        <w:t>进行清洗，产生地面冲洗废水（W</w:t>
      </w:r>
      <w:r>
        <w:rPr>
          <w:rFonts w:ascii="Times New Roman" w:hAnsi="Times New Roman"/>
          <w:kern w:val="0"/>
          <w:sz w:val="28"/>
          <w:szCs w:val="28"/>
          <w:vertAlign w:val="subscript"/>
        </w:rPr>
        <w:t>7</w:t>
      </w:r>
      <w:r>
        <w:rPr>
          <w:rFonts w:ascii="Times New Roman" w:hAnsi="Times New Roman"/>
          <w:kern w:val="0"/>
          <w:sz w:val="28"/>
          <w:szCs w:val="28"/>
        </w:rPr>
        <w:t>）。</w:t>
      </w:r>
    </w:p>
    <w:p>
      <w:pPr>
        <w:spacing w:line="520" w:lineRule="exact"/>
        <w:ind w:firstLine="560" w:firstLineChars="200"/>
        <w:rPr>
          <w:rFonts w:ascii="Times New Roman" w:hAnsi="Times New Roman"/>
          <w:kern w:val="0"/>
          <w:sz w:val="28"/>
          <w:szCs w:val="28"/>
        </w:rPr>
      </w:pPr>
      <w:r>
        <w:rPr>
          <w:rFonts w:hint="eastAsia" w:ascii="Times New Roman" w:hAnsi="Times New Roman"/>
          <w:kern w:val="0"/>
          <w:sz w:val="28"/>
          <w:szCs w:val="28"/>
        </w:rPr>
        <w:t>（</w:t>
      </w:r>
      <w:r>
        <w:rPr>
          <w:rFonts w:ascii="Times New Roman" w:hAnsi="Times New Roman"/>
          <w:kern w:val="0"/>
          <w:sz w:val="28"/>
          <w:szCs w:val="28"/>
        </w:rPr>
        <w:t>5</w:t>
      </w:r>
      <w:r>
        <w:rPr>
          <w:rFonts w:hint="eastAsia" w:ascii="Times New Roman" w:hAnsi="Times New Roman"/>
          <w:kern w:val="0"/>
          <w:sz w:val="28"/>
          <w:szCs w:val="28"/>
        </w:rPr>
        <w:t>）设备润滑</w:t>
      </w:r>
    </w:p>
    <w:p>
      <w:pPr>
        <w:spacing w:line="520" w:lineRule="exact"/>
        <w:ind w:firstLine="560" w:firstLineChars="200"/>
        <w:rPr>
          <w:rFonts w:ascii="Times New Roman" w:hAnsi="Times New Roman"/>
          <w:kern w:val="0"/>
          <w:sz w:val="28"/>
          <w:szCs w:val="28"/>
        </w:rPr>
      </w:pPr>
      <w:bookmarkStart w:id="70" w:name="_Hlk66372885"/>
      <w:r>
        <w:rPr>
          <w:rFonts w:ascii="Times New Roman" w:hAnsi="Times New Roman"/>
          <w:kern w:val="0"/>
          <w:sz w:val="28"/>
          <w:szCs w:val="28"/>
        </w:rPr>
        <w:t>项目</w:t>
      </w:r>
      <w:r>
        <w:rPr>
          <w:rFonts w:hint="eastAsia" w:ascii="Times New Roman" w:hAnsi="Times New Roman"/>
          <w:kern w:val="0"/>
          <w:sz w:val="28"/>
          <w:szCs w:val="28"/>
        </w:rPr>
        <w:t>压缩机等设备</w:t>
      </w:r>
      <w:r>
        <w:rPr>
          <w:rFonts w:ascii="Times New Roman" w:hAnsi="Times New Roman"/>
          <w:kern w:val="0"/>
          <w:sz w:val="28"/>
          <w:szCs w:val="28"/>
        </w:rPr>
        <w:t>运行过程中</w:t>
      </w:r>
      <w:r>
        <w:rPr>
          <w:rFonts w:hint="eastAsia" w:ascii="Times New Roman" w:hAnsi="Times New Roman"/>
          <w:kern w:val="0"/>
          <w:sz w:val="28"/>
          <w:szCs w:val="28"/>
        </w:rPr>
        <w:t>需使用</w:t>
      </w:r>
      <w:r>
        <w:rPr>
          <w:rFonts w:ascii="Times New Roman" w:hAnsi="Times New Roman"/>
          <w:kern w:val="0"/>
          <w:sz w:val="28"/>
          <w:szCs w:val="28"/>
        </w:rPr>
        <w:t>润滑油，</w:t>
      </w:r>
      <w:r>
        <w:rPr>
          <w:rFonts w:hint="eastAsia" w:ascii="Times New Roman" w:hAnsi="Times New Roman"/>
          <w:kern w:val="0"/>
          <w:sz w:val="28"/>
          <w:szCs w:val="28"/>
        </w:rPr>
        <w:t>根据设计资料，项目装置区加油量约25L，半年更换一次，届时会产生一定量的废润滑油（</w:t>
      </w:r>
      <w:r>
        <w:rPr>
          <w:rFonts w:ascii="Times New Roman" w:hAnsi="Times New Roman"/>
          <w:kern w:val="0"/>
          <w:sz w:val="28"/>
          <w:szCs w:val="28"/>
        </w:rPr>
        <w:t>S</w:t>
      </w:r>
      <w:r>
        <w:rPr>
          <w:rFonts w:ascii="Times New Roman" w:hAnsi="Times New Roman"/>
          <w:kern w:val="0"/>
          <w:sz w:val="28"/>
          <w:szCs w:val="28"/>
          <w:vertAlign w:val="subscript"/>
        </w:rPr>
        <w:t>3</w:t>
      </w:r>
      <w:r>
        <w:rPr>
          <w:rFonts w:hint="eastAsia" w:ascii="Times New Roman" w:hAnsi="Times New Roman"/>
          <w:kern w:val="0"/>
          <w:sz w:val="28"/>
          <w:szCs w:val="28"/>
        </w:rPr>
        <w:t>）。</w:t>
      </w:r>
    </w:p>
    <w:bookmarkEnd w:id="70"/>
    <w:p>
      <w:pPr>
        <w:widowControl/>
        <w:adjustRightInd w:val="0"/>
        <w:snapToGrid w:val="0"/>
        <w:spacing w:line="520" w:lineRule="exact"/>
        <w:ind w:firstLine="560" w:firstLineChars="200"/>
        <w:jc w:val="left"/>
        <w:rPr>
          <w:rFonts w:ascii="Times New Roman" w:hAnsi="Times New Roman" w:eastAsiaTheme="minorEastAsia"/>
          <w:snapToGrid w:val="0"/>
          <w:kern w:val="0"/>
          <w:sz w:val="28"/>
          <w:szCs w:val="28"/>
        </w:rPr>
      </w:pPr>
      <w:r>
        <w:rPr>
          <w:rFonts w:ascii="Times New Roman" w:hAnsi="Times New Roman" w:eastAsiaTheme="minorEastAsia"/>
          <w:snapToGrid w:val="0"/>
          <w:kern w:val="0"/>
          <w:sz w:val="28"/>
          <w:szCs w:val="28"/>
        </w:rPr>
        <w:t>（6）</w:t>
      </w:r>
      <w:r>
        <w:rPr>
          <w:rFonts w:hint="eastAsia" w:ascii="Times New Roman" w:hAnsi="Times New Roman" w:eastAsiaTheme="minorEastAsia"/>
          <w:snapToGrid w:val="0"/>
          <w:kern w:val="0"/>
          <w:sz w:val="28"/>
          <w:szCs w:val="28"/>
        </w:rPr>
        <w:t>办公生活</w:t>
      </w:r>
    </w:p>
    <w:p>
      <w:pPr>
        <w:widowControl/>
        <w:adjustRightInd w:val="0"/>
        <w:snapToGrid w:val="0"/>
        <w:spacing w:line="520" w:lineRule="exact"/>
        <w:ind w:firstLine="560" w:firstLineChars="200"/>
        <w:jc w:val="left"/>
        <w:rPr>
          <w:rFonts w:ascii="Times New Roman" w:hAnsi="Times New Roman" w:eastAsiaTheme="minorEastAsia"/>
          <w:snapToGrid w:val="0"/>
          <w:kern w:val="0"/>
          <w:sz w:val="28"/>
          <w:szCs w:val="28"/>
        </w:rPr>
      </w:pPr>
      <w:r>
        <w:rPr>
          <w:rFonts w:ascii="Times New Roman" w:hAnsi="Times New Roman" w:eastAsiaTheme="minorEastAsia"/>
          <w:snapToGrid w:val="0"/>
          <w:kern w:val="0"/>
          <w:sz w:val="28"/>
          <w:szCs w:val="28"/>
        </w:rPr>
        <w:t>工程装置总定员10人，</w:t>
      </w:r>
      <w:r>
        <w:rPr>
          <w:rFonts w:hint="eastAsia" w:ascii="Times New Roman" w:hAnsi="Times New Roman" w:eastAsiaTheme="minorEastAsia"/>
          <w:snapToGrid w:val="0"/>
          <w:kern w:val="0"/>
          <w:sz w:val="28"/>
          <w:szCs w:val="28"/>
        </w:rPr>
        <w:t>均从厂区现有职工中调剂，本工程不新增</w:t>
      </w:r>
      <w:r>
        <w:rPr>
          <w:rFonts w:ascii="Times New Roman" w:hAnsi="Times New Roman" w:eastAsiaTheme="minorEastAsia"/>
          <w:snapToGrid w:val="0"/>
          <w:kern w:val="0"/>
          <w:sz w:val="28"/>
          <w:szCs w:val="28"/>
        </w:rPr>
        <w:t>生活污水和生活垃圾。</w:t>
      </w:r>
    </w:p>
    <w:p>
      <w:pPr>
        <w:pStyle w:val="53"/>
        <w:spacing w:line="520" w:lineRule="exact"/>
        <w:ind w:firstLine="560" w:firstLineChars="200"/>
        <w:rPr>
          <w:rFonts w:eastAsia="宋体"/>
          <w:b w:val="0"/>
          <w:snapToGrid w:val="0"/>
          <w:spacing w:val="0"/>
          <w:kern w:val="0"/>
          <w:sz w:val="28"/>
          <w:szCs w:val="28"/>
        </w:rPr>
      </w:pPr>
      <w:r>
        <w:rPr>
          <w:rFonts w:hint="eastAsia" w:eastAsia="宋体"/>
          <w:b w:val="0"/>
          <w:snapToGrid w:val="0"/>
          <w:spacing w:val="0"/>
          <w:kern w:val="0"/>
          <w:sz w:val="28"/>
          <w:szCs w:val="28"/>
        </w:rPr>
        <w:t>公辅工程主要产污环节见表3.3-</w:t>
      </w:r>
      <w:r>
        <w:rPr>
          <w:rFonts w:eastAsia="宋体"/>
          <w:b w:val="0"/>
          <w:snapToGrid w:val="0"/>
          <w:spacing w:val="0"/>
          <w:kern w:val="0"/>
          <w:sz w:val="28"/>
          <w:szCs w:val="28"/>
        </w:rPr>
        <w:t>3</w:t>
      </w:r>
      <w:r>
        <w:rPr>
          <w:rFonts w:hint="eastAsia" w:eastAsia="宋体"/>
          <w:b w:val="0"/>
          <w:snapToGrid w:val="0"/>
          <w:spacing w:val="0"/>
          <w:kern w:val="0"/>
          <w:sz w:val="28"/>
          <w:szCs w:val="28"/>
        </w:rPr>
        <w:t>。</w:t>
      </w:r>
    </w:p>
    <w:p>
      <w:pPr>
        <w:pStyle w:val="32"/>
        <w:ind w:firstLine="679" w:firstLineChars="282"/>
      </w:pPr>
      <w:r>
        <w:t>表3.3-3         项目</w:t>
      </w:r>
      <w:r>
        <w:rPr>
          <w:rFonts w:hint="eastAsia"/>
        </w:rPr>
        <w:t>公辅工程</w:t>
      </w:r>
      <w:r>
        <w:t>产污环节及治理措施一览表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21"/>
        <w:gridCol w:w="1701"/>
        <w:gridCol w:w="1560"/>
        <w:gridCol w:w="1560"/>
        <w:gridCol w:w="993"/>
        <w:gridCol w:w="197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Align w:val="center"/>
          </w:tcPr>
          <w:p>
            <w:pPr>
              <w:pStyle w:val="53"/>
              <w:tabs>
                <w:tab w:val="left" w:pos="792"/>
                <w:tab w:val="clear" w:pos="567"/>
              </w:tabs>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污染</w:t>
            </w:r>
          </w:p>
          <w:p>
            <w:pPr>
              <w:pStyle w:val="53"/>
              <w:tabs>
                <w:tab w:val="left" w:pos="792"/>
                <w:tab w:val="clear" w:pos="567"/>
              </w:tabs>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类型</w:t>
            </w:r>
          </w:p>
        </w:tc>
        <w:tc>
          <w:tcPr>
            <w:tcW w:w="393"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编号</w:t>
            </w:r>
          </w:p>
        </w:tc>
        <w:tc>
          <w:tcPr>
            <w:tcW w:w="927"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污染源名称</w:t>
            </w:r>
          </w:p>
        </w:tc>
        <w:tc>
          <w:tcPr>
            <w:tcW w:w="850"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产污环节</w:t>
            </w:r>
          </w:p>
        </w:tc>
        <w:tc>
          <w:tcPr>
            <w:tcW w:w="850"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主要污染物</w:t>
            </w:r>
          </w:p>
        </w:tc>
        <w:tc>
          <w:tcPr>
            <w:tcW w:w="541"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排放</w:t>
            </w:r>
          </w:p>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方式</w:t>
            </w:r>
          </w:p>
        </w:tc>
        <w:tc>
          <w:tcPr>
            <w:tcW w:w="1078" w:type="pct"/>
            <w:vAlign w:val="center"/>
          </w:tcPr>
          <w:p>
            <w:pPr>
              <w:pStyle w:val="53"/>
              <w:snapToGrid w:val="0"/>
              <w:spacing w:line="240" w:lineRule="auto"/>
              <w:jc w:val="center"/>
              <w:rPr>
                <w:rFonts w:eastAsiaTheme="minorEastAsia"/>
                <w:snapToGrid w:val="0"/>
                <w:spacing w:val="0"/>
                <w:kern w:val="0"/>
                <w:sz w:val="21"/>
                <w:szCs w:val="21"/>
              </w:rPr>
            </w:pPr>
            <w:r>
              <w:rPr>
                <w:rFonts w:eastAsiaTheme="minorEastAsia"/>
                <w:snapToGrid w:val="0"/>
                <w:spacing w:val="0"/>
                <w:kern w:val="0"/>
                <w:sz w:val="21"/>
                <w:szCs w:val="21"/>
              </w:rPr>
              <w:t>治理方式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Merge w:val="restart"/>
            <w:vAlign w:val="center"/>
          </w:tcPr>
          <w:p>
            <w:pPr>
              <w:pStyle w:val="53"/>
              <w:tabs>
                <w:tab w:val="left" w:pos="792"/>
              </w:tabs>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废水</w:t>
            </w:r>
          </w:p>
        </w:tc>
        <w:tc>
          <w:tcPr>
            <w:tcW w:w="393"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4</w:t>
            </w:r>
          </w:p>
        </w:tc>
        <w:tc>
          <w:tcPr>
            <w:tcW w:w="927"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真空系统废水</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真空泵</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C</w:t>
            </w:r>
            <w:r>
              <w:rPr>
                <w:rFonts w:eastAsiaTheme="minorEastAsia"/>
                <w:b w:val="0"/>
                <w:snapToGrid w:val="0"/>
                <w:spacing w:val="0"/>
                <w:kern w:val="0"/>
                <w:sz w:val="21"/>
                <w:szCs w:val="21"/>
              </w:rPr>
              <w:t>OD</w:t>
            </w:r>
          </w:p>
        </w:tc>
        <w:tc>
          <w:tcPr>
            <w:tcW w:w="541"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连续</w:t>
            </w:r>
          </w:p>
        </w:tc>
        <w:tc>
          <w:tcPr>
            <w:tcW w:w="1078" w:type="pct"/>
            <w:vAlign w:val="center"/>
          </w:tcPr>
          <w:p>
            <w:pPr>
              <w:pStyle w:val="53"/>
              <w:snapToGrid w:val="0"/>
              <w:spacing w:line="240" w:lineRule="auto"/>
              <w:jc w:val="left"/>
              <w:rPr>
                <w:rFonts w:eastAsiaTheme="minorEastAsia"/>
                <w:b w:val="0"/>
                <w:snapToGrid w:val="0"/>
                <w:spacing w:val="0"/>
                <w:kern w:val="0"/>
                <w:sz w:val="21"/>
                <w:szCs w:val="21"/>
              </w:rPr>
            </w:pPr>
            <w:r>
              <w:rPr>
                <w:rFonts w:hint="eastAsia" w:eastAsiaTheme="minorEastAsia"/>
                <w:b w:val="0"/>
                <w:snapToGrid w:val="0"/>
                <w:spacing w:val="0"/>
                <w:kern w:val="0"/>
                <w:sz w:val="21"/>
                <w:szCs w:val="21"/>
              </w:rPr>
              <w:t>送30万吨甲醇项目污水处理站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Merge w:val="continue"/>
            <w:vAlign w:val="center"/>
          </w:tcPr>
          <w:p>
            <w:pPr>
              <w:pStyle w:val="53"/>
              <w:tabs>
                <w:tab w:val="left" w:pos="792"/>
              </w:tabs>
              <w:snapToGrid w:val="0"/>
              <w:spacing w:line="240" w:lineRule="auto"/>
              <w:jc w:val="center"/>
              <w:rPr>
                <w:rFonts w:eastAsiaTheme="minorEastAsia"/>
                <w:b w:val="0"/>
                <w:snapToGrid w:val="0"/>
                <w:spacing w:val="0"/>
                <w:kern w:val="0"/>
                <w:sz w:val="21"/>
                <w:szCs w:val="21"/>
              </w:rPr>
            </w:pPr>
          </w:p>
        </w:tc>
        <w:tc>
          <w:tcPr>
            <w:tcW w:w="393"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5</w:t>
            </w:r>
          </w:p>
        </w:tc>
        <w:tc>
          <w:tcPr>
            <w:tcW w:w="927"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新增</w:t>
            </w:r>
            <w:r>
              <w:rPr>
                <w:rFonts w:eastAsiaTheme="minorEastAsia"/>
                <w:b w:val="0"/>
                <w:snapToGrid w:val="0"/>
                <w:spacing w:val="0"/>
                <w:kern w:val="0"/>
                <w:sz w:val="21"/>
                <w:szCs w:val="21"/>
              </w:rPr>
              <w:t>循环冷却排污水</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bCs/>
                <w:sz w:val="21"/>
                <w:szCs w:val="21"/>
              </w:rPr>
              <w:t>现有</w:t>
            </w:r>
            <w:r>
              <w:rPr>
                <w:rFonts w:eastAsiaTheme="minorEastAsia"/>
                <w:b w:val="0"/>
                <w:snapToGrid w:val="0"/>
                <w:spacing w:val="0"/>
                <w:kern w:val="0"/>
                <w:sz w:val="21"/>
                <w:szCs w:val="21"/>
              </w:rPr>
              <w:t>循环冷却</w:t>
            </w:r>
          </w:p>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系统</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COD、SS</w:t>
            </w:r>
          </w:p>
        </w:tc>
        <w:tc>
          <w:tcPr>
            <w:tcW w:w="541"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间歇</w:t>
            </w:r>
          </w:p>
        </w:tc>
        <w:tc>
          <w:tcPr>
            <w:tcW w:w="1078" w:type="pct"/>
            <w:vMerge w:val="restart"/>
            <w:vAlign w:val="center"/>
          </w:tcPr>
          <w:p>
            <w:pPr>
              <w:pStyle w:val="53"/>
              <w:snapToGrid w:val="0"/>
              <w:spacing w:line="240" w:lineRule="auto"/>
              <w:jc w:val="left"/>
              <w:rPr>
                <w:rFonts w:eastAsiaTheme="minorEastAsia"/>
                <w:b w:val="0"/>
                <w:snapToGrid w:val="0"/>
                <w:spacing w:val="0"/>
                <w:kern w:val="0"/>
                <w:sz w:val="21"/>
                <w:szCs w:val="21"/>
              </w:rPr>
            </w:pPr>
            <w:r>
              <w:rPr>
                <w:rFonts w:hint="eastAsia" w:eastAsiaTheme="minorEastAsia"/>
                <w:b w:val="0"/>
                <w:snapToGrid w:val="0"/>
                <w:spacing w:val="0"/>
                <w:kern w:val="0"/>
                <w:sz w:val="21"/>
                <w:szCs w:val="21"/>
              </w:rPr>
              <w:t>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Merge w:val="continue"/>
            <w:vAlign w:val="center"/>
          </w:tcPr>
          <w:p>
            <w:pPr>
              <w:pStyle w:val="53"/>
              <w:tabs>
                <w:tab w:val="left" w:pos="792"/>
              </w:tabs>
              <w:snapToGrid w:val="0"/>
              <w:spacing w:line="240" w:lineRule="auto"/>
              <w:jc w:val="center"/>
              <w:rPr>
                <w:rFonts w:eastAsiaTheme="minorEastAsia"/>
                <w:b w:val="0"/>
                <w:snapToGrid w:val="0"/>
                <w:spacing w:val="0"/>
                <w:kern w:val="0"/>
                <w:sz w:val="21"/>
                <w:szCs w:val="21"/>
              </w:rPr>
            </w:pPr>
          </w:p>
        </w:tc>
        <w:tc>
          <w:tcPr>
            <w:tcW w:w="393"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6</w:t>
            </w:r>
          </w:p>
        </w:tc>
        <w:tc>
          <w:tcPr>
            <w:tcW w:w="927"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新增脱盐水站排污水</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bCs/>
                <w:sz w:val="21"/>
                <w:szCs w:val="21"/>
              </w:rPr>
              <w:t>现有脱盐水站</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bCs/>
                <w:sz w:val="21"/>
                <w:szCs w:val="21"/>
              </w:rPr>
              <w:t>COD、NH</w:t>
            </w:r>
            <w:r>
              <w:rPr>
                <w:rFonts w:eastAsiaTheme="minorEastAsia"/>
                <w:b w:val="0"/>
                <w:bCs/>
                <w:sz w:val="21"/>
                <w:szCs w:val="21"/>
                <w:vertAlign w:val="subscript"/>
              </w:rPr>
              <w:t>3</w:t>
            </w:r>
            <w:r>
              <w:rPr>
                <w:rFonts w:eastAsiaTheme="minorEastAsia"/>
                <w:b w:val="0"/>
                <w:bCs/>
                <w:sz w:val="21"/>
                <w:szCs w:val="21"/>
              </w:rPr>
              <w:t>-N</w:t>
            </w:r>
          </w:p>
        </w:tc>
        <w:tc>
          <w:tcPr>
            <w:tcW w:w="541"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连续</w:t>
            </w:r>
          </w:p>
        </w:tc>
        <w:tc>
          <w:tcPr>
            <w:tcW w:w="1078" w:type="pct"/>
            <w:vMerge w:val="continue"/>
            <w:vAlign w:val="center"/>
          </w:tcPr>
          <w:p>
            <w:pPr>
              <w:pStyle w:val="53"/>
              <w:snapToGrid w:val="0"/>
              <w:spacing w:line="240" w:lineRule="auto"/>
              <w:jc w:val="left"/>
              <w:rPr>
                <w:rFonts w:eastAsiaTheme="minorEastAsia"/>
                <w:b w:val="0"/>
                <w:snapToGrid w:val="0"/>
                <w:spacing w:val="0"/>
                <w:kern w:val="0"/>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Merge w:val="continue"/>
            <w:vAlign w:val="center"/>
          </w:tcPr>
          <w:p>
            <w:pPr>
              <w:pStyle w:val="53"/>
              <w:tabs>
                <w:tab w:val="left" w:pos="792"/>
              </w:tabs>
              <w:snapToGrid w:val="0"/>
              <w:spacing w:line="240" w:lineRule="auto"/>
              <w:jc w:val="center"/>
              <w:rPr>
                <w:rFonts w:eastAsiaTheme="minorEastAsia"/>
                <w:b w:val="0"/>
                <w:snapToGrid w:val="0"/>
                <w:spacing w:val="0"/>
                <w:kern w:val="0"/>
                <w:sz w:val="21"/>
                <w:szCs w:val="21"/>
              </w:rPr>
            </w:pPr>
          </w:p>
        </w:tc>
        <w:tc>
          <w:tcPr>
            <w:tcW w:w="393"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7</w:t>
            </w:r>
          </w:p>
        </w:tc>
        <w:tc>
          <w:tcPr>
            <w:tcW w:w="927"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地面冲洗废水</w:t>
            </w:r>
          </w:p>
        </w:tc>
        <w:tc>
          <w:tcPr>
            <w:tcW w:w="850" w:type="pct"/>
            <w:vAlign w:val="center"/>
          </w:tcPr>
          <w:p>
            <w:pPr>
              <w:pStyle w:val="53"/>
              <w:snapToGrid w:val="0"/>
              <w:spacing w:line="240" w:lineRule="auto"/>
              <w:jc w:val="center"/>
              <w:rPr>
                <w:rFonts w:eastAsiaTheme="minorEastAsia"/>
                <w:b w:val="0"/>
                <w:bCs/>
                <w:snapToGrid w:val="0"/>
                <w:spacing w:val="0"/>
                <w:kern w:val="0"/>
                <w:sz w:val="21"/>
                <w:szCs w:val="21"/>
              </w:rPr>
            </w:pPr>
            <w:r>
              <w:rPr>
                <w:rFonts w:eastAsiaTheme="minorEastAsia"/>
                <w:b w:val="0"/>
                <w:snapToGrid w:val="0"/>
                <w:spacing w:val="0"/>
                <w:kern w:val="0"/>
                <w:sz w:val="21"/>
                <w:szCs w:val="21"/>
              </w:rPr>
              <w:t>装置区</w:t>
            </w:r>
          </w:p>
        </w:tc>
        <w:tc>
          <w:tcPr>
            <w:tcW w:w="850" w:type="pct"/>
            <w:vAlign w:val="center"/>
          </w:tcPr>
          <w:p>
            <w:pPr>
              <w:pStyle w:val="53"/>
              <w:snapToGrid w:val="0"/>
              <w:spacing w:line="240" w:lineRule="auto"/>
              <w:jc w:val="center"/>
              <w:rPr>
                <w:rFonts w:eastAsiaTheme="minorEastAsia"/>
                <w:b w:val="0"/>
                <w:bCs/>
                <w:snapToGrid w:val="0"/>
                <w:spacing w:val="0"/>
                <w:kern w:val="0"/>
                <w:sz w:val="21"/>
                <w:szCs w:val="21"/>
              </w:rPr>
            </w:pPr>
            <w:r>
              <w:rPr>
                <w:rFonts w:eastAsiaTheme="minorEastAsia"/>
                <w:b w:val="0"/>
                <w:snapToGrid w:val="0"/>
                <w:spacing w:val="0"/>
                <w:kern w:val="0"/>
                <w:sz w:val="21"/>
                <w:szCs w:val="21"/>
              </w:rPr>
              <w:t>COD、SS、石油类</w:t>
            </w:r>
          </w:p>
        </w:tc>
        <w:tc>
          <w:tcPr>
            <w:tcW w:w="541"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间歇</w:t>
            </w:r>
          </w:p>
        </w:tc>
        <w:tc>
          <w:tcPr>
            <w:tcW w:w="1078" w:type="pct"/>
            <w:vAlign w:val="center"/>
          </w:tcPr>
          <w:p>
            <w:pPr>
              <w:pStyle w:val="53"/>
              <w:snapToGrid w:val="0"/>
              <w:spacing w:line="240" w:lineRule="auto"/>
              <w:jc w:val="left"/>
              <w:rPr>
                <w:rFonts w:eastAsiaTheme="minorEastAsia"/>
                <w:b w:val="0"/>
                <w:snapToGrid w:val="0"/>
                <w:spacing w:val="0"/>
                <w:kern w:val="0"/>
                <w:sz w:val="21"/>
                <w:szCs w:val="21"/>
              </w:rPr>
            </w:pPr>
            <w:r>
              <w:rPr>
                <w:rFonts w:hint="eastAsia" w:eastAsiaTheme="minorEastAsia"/>
                <w:b w:val="0"/>
                <w:snapToGrid w:val="0"/>
                <w:spacing w:val="0"/>
                <w:kern w:val="0"/>
                <w:sz w:val="21"/>
                <w:szCs w:val="21"/>
              </w:rPr>
              <w:t>送30万吨甲醇项目污水处理站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 w:type="pct"/>
            <w:vAlign w:val="center"/>
          </w:tcPr>
          <w:p>
            <w:pPr>
              <w:pStyle w:val="53"/>
              <w:tabs>
                <w:tab w:val="left" w:pos="792"/>
                <w:tab w:val="clear" w:pos="567"/>
              </w:tabs>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固废</w:t>
            </w:r>
          </w:p>
        </w:tc>
        <w:tc>
          <w:tcPr>
            <w:tcW w:w="393"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bCs/>
                <w:snapToGrid w:val="0"/>
                <w:spacing w:val="0"/>
                <w:kern w:val="0"/>
                <w:sz w:val="21"/>
                <w:szCs w:val="21"/>
              </w:rPr>
              <w:t>S</w:t>
            </w:r>
            <w:r>
              <w:rPr>
                <w:rFonts w:eastAsiaTheme="minorEastAsia"/>
                <w:b w:val="0"/>
                <w:bCs/>
                <w:snapToGrid w:val="0"/>
                <w:spacing w:val="0"/>
                <w:kern w:val="0"/>
                <w:sz w:val="21"/>
                <w:szCs w:val="21"/>
                <w:vertAlign w:val="subscript"/>
              </w:rPr>
              <w:t>3</w:t>
            </w:r>
          </w:p>
        </w:tc>
        <w:tc>
          <w:tcPr>
            <w:tcW w:w="927"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废润滑油</w:t>
            </w:r>
          </w:p>
        </w:tc>
        <w:tc>
          <w:tcPr>
            <w:tcW w:w="850"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压缩机等设备</w:t>
            </w:r>
          </w:p>
        </w:tc>
        <w:tc>
          <w:tcPr>
            <w:tcW w:w="850" w:type="pct"/>
            <w:vAlign w:val="center"/>
          </w:tcPr>
          <w:p>
            <w:pPr>
              <w:pStyle w:val="40"/>
              <w:adjustRightInd w:val="0"/>
              <w:snapToGrid w:val="0"/>
              <w:jc w:val="center"/>
              <w:rPr>
                <w:rFonts w:eastAsiaTheme="minorEastAsia"/>
                <w:bCs/>
                <w:szCs w:val="21"/>
              </w:rPr>
            </w:pPr>
            <w:r>
              <w:rPr>
                <w:rFonts w:eastAsiaTheme="minorEastAsia"/>
                <w:bCs/>
                <w:szCs w:val="21"/>
              </w:rPr>
              <w:t>HW</w:t>
            </w:r>
          </w:p>
          <w:p>
            <w:pPr>
              <w:pStyle w:val="40"/>
              <w:adjustRightInd w:val="0"/>
              <w:snapToGrid w:val="0"/>
              <w:jc w:val="center"/>
              <w:rPr>
                <w:rFonts w:eastAsiaTheme="minorEastAsia"/>
                <w:bCs/>
                <w:szCs w:val="21"/>
              </w:rPr>
            </w:pPr>
            <w:r>
              <w:rPr>
                <w:rFonts w:eastAsiaTheme="minorEastAsia"/>
                <w:bCs/>
                <w:szCs w:val="21"/>
              </w:rPr>
              <w:t>900-217-08</w:t>
            </w:r>
          </w:p>
        </w:tc>
        <w:tc>
          <w:tcPr>
            <w:tcW w:w="541"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间歇</w:t>
            </w:r>
          </w:p>
        </w:tc>
        <w:tc>
          <w:tcPr>
            <w:tcW w:w="1078" w:type="pct"/>
            <w:vAlign w:val="center"/>
          </w:tcPr>
          <w:p>
            <w:pPr>
              <w:pStyle w:val="53"/>
              <w:snapToGrid w:val="0"/>
              <w:spacing w:line="240" w:lineRule="auto"/>
              <w:jc w:val="center"/>
              <w:rPr>
                <w:rFonts w:eastAsiaTheme="minorEastAsia"/>
                <w:b w:val="0"/>
                <w:snapToGrid w:val="0"/>
                <w:spacing w:val="0"/>
                <w:kern w:val="0"/>
                <w:sz w:val="21"/>
                <w:szCs w:val="21"/>
              </w:rPr>
            </w:pPr>
            <w:r>
              <w:rPr>
                <w:rFonts w:hint="eastAsia" w:eastAsiaTheme="minorEastAsia"/>
                <w:b w:val="0"/>
                <w:snapToGrid w:val="0"/>
                <w:spacing w:val="0"/>
                <w:kern w:val="0"/>
                <w:sz w:val="21"/>
                <w:szCs w:val="21"/>
              </w:rPr>
              <w:t>送有资质单位处置</w:t>
            </w:r>
          </w:p>
        </w:tc>
      </w:tr>
    </w:tbl>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3.3.4  产污环节汇总</w:t>
      </w:r>
    </w:p>
    <w:p>
      <w:pPr>
        <w:spacing w:line="520" w:lineRule="exact"/>
        <w:ind w:firstLine="560" w:firstLineChars="200"/>
        <w:rPr>
          <w:rFonts w:ascii="Times New Roman" w:hAnsi="Times New Roman" w:eastAsiaTheme="minorEastAsia"/>
          <w:snapToGrid w:val="0"/>
          <w:kern w:val="0"/>
          <w:sz w:val="28"/>
          <w:szCs w:val="28"/>
        </w:rPr>
      </w:pPr>
      <w:r>
        <w:rPr>
          <w:rFonts w:ascii="Times New Roman" w:hAnsi="Times New Roman" w:eastAsiaTheme="minorEastAsia"/>
          <w:snapToGrid w:val="0"/>
          <w:kern w:val="0"/>
          <w:sz w:val="28"/>
          <w:szCs w:val="28"/>
        </w:rPr>
        <w:t>项目生产过程废气、废水、噪声、固体废弃物产生及治理措施见表3.</w:t>
      </w:r>
      <w:r>
        <w:rPr>
          <w:rFonts w:hint="eastAsia" w:ascii="Times New Roman" w:hAnsi="Times New Roman" w:eastAsiaTheme="minorEastAsia"/>
          <w:snapToGrid w:val="0"/>
          <w:kern w:val="0"/>
          <w:sz w:val="28"/>
          <w:szCs w:val="28"/>
        </w:rPr>
        <w:t>3</w:t>
      </w:r>
      <w:r>
        <w:rPr>
          <w:rFonts w:ascii="Times New Roman" w:hAnsi="Times New Roman" w:eastAsiaTheme="minorEastAsia"/>
          <w:snapToGrid w:val="0"/>
          <w:kern w:val="0"/>
          <w:sz w:val="28"/>
          <w:szCs w:val="28"/>
        </w:rPr>
        <w:t>-4。</w:t>
      </w:r>
    </w:p>
    <w:p>
      <w:pPr>
        <w:pStyle w:val="32"/>
        <w:ind w:firstLine="679" w:firstLineChars="282"/>
      </w:pPr>
      <w:r>
        <w:t>表3.3-4            项目产污环节及治理措施一览表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52"/>
        <w:gridCol w:w="1563"/>
        <w:gridCol w:w="1842"/>
        <w:gridCol w:w="1275"/>
        <w:gridCol w:w="993"/>
        <w:gridCol w:w="197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Align w:val="center"/>
          </w:tcPr>
          <w:p>
            <w:pPr>
              <w:pStyle w:val="53"/>
              <w:tabs>
                <w:tab w:val="left" w:pos="792"/>
                <w:tab w:val="clear" w:pos="567"/>
              </w:tabs>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污染</w:t>
            </w:r>
          </w:p>
          <w:p>
            <w:pPr>
              <w:pStyle w:val="53"/>
              <w:tabs>
                <w:tab w:val="left" w:pos="792"/>
                <w:tab w:val="clear" w:pos="567"/>
              </w:tabs>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类型</w:t>
            </w:r>
          </w:p>
        </w:tc>
        <w:tc>
          <w:tcPr>
            <w:tcW w:w="464"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编号</w:t>
            </w:r>
          </w:p>
        </w:tc>
        <w:tc>
          <w:tcPr>
            <w:tcW w:w="852"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污染源名称</w:t>
            </w:r>
          </w:p>
        </w:tc>
        <w:tc>
          <w:tcPr>
            <w:tcW w:w="1004"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产污环节</w:t>
            </w:r>
          </w:p>
        </w:tc>
        <w:tc>
          <w:tcPr>
            <w:tcW w:w="695"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主要污染物</w:t>
            </w:r>
          </w:p>
        </w:tc>
        <w:tc>
          <w:tcPr>
            <w:tcW w:w="541"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排放</w:t>
            </w:r>
          </w:p>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方式</w:t>
            </w:r>
          </w:p>
        </w:tc>
        <w:tc>
          <w:tcPr>
            <w:tcW w:w="1077"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污防措施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废气</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氢气驰放气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合成</w:t>
            </w:r>
            <w:r>
              <w:rPr>
                <w:rFonts w:eastAsia="宋体"/>
                <w:b w:val="0"/>
                <w:bCs/>
                <w:snapToGrid w:val="0"/>
                <w:spacing w:val="0"/>
                <w:kern w:val="0"/>
                <w:sz w:val="21"/>
                <w:szCs w:val="21"/>
              </w:rPr>
              <w:t>反应釜</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氢气</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送</w:t>
            </w:r>
            <w:r>
              <w:rPr>
                <w:rFonts w:hint="eastAsia" w:eastAsia="宋体"/>
                <w:b w:val="0"/>
                <w:bCs/>
                <w:snapToGrid w:val="0"/>
                <w:spacing w:val="0"/>
                <w:kern w:val="0"/>
                <w:sz w:val="21"/>
                <w:szCs w:val="21"/>
              </w:rPr>
              <w:t>现有</w:t>
            </w:r>
            <w:r>
              <w:rPr>
                <w:rFonts w:eastAsia="宋体"/>
                <w:b w:val="0"/>
                <w:bCs/>
                <w:snapToGrid w:val="0"/>
                <w:spacing w:val="0"/>
                <w:kern w:val="0"/>
                <w:sz w:val="21"/>
                <w:szCs w:val="21"/>
              </w:rPr>
              <w:t>火炬焚烧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kern w:val="0"/>
                <w:sz w:val="21"/>
                <w:szCs w:val="21"/>
              </w:rPr>
              <w:t>不凝气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闪蒸汽冷凝罐</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醇类</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送</w:t>
            </w:r>
            <w:r>
              <w:rPr>
                <w:rFonts w:hint="eastAsia" w:eastAsia="宋体"/>
                <w:b w:val="0"/>
                <w:bCs/>
                <w:snapToGrid w:val="0"/>
                <w:spacing w:val="0"/>
                <w:kern w:val="0"/>
                <w:sz w:val="21"/>
                <w:szCs w:val="21"/>
              </w:rPr>
              <w:t>现有</w:t>
            </w:r>
            <w:r>
              <w:rPr>
                <w:rFonts w:eastAsia="宋体"/>
                <w:b w:val="0"/>
                <w:bCs/>
                <w:snapToGrid w:val="0"/>
                <w:spacing w:val="0"/>
                <w:kern w:val="0"/>
                <w:sz w:val="21"/>
                <w:szCs w:val="21"/>
              </w:rPr>
              <w:t>火炬焚烧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w:t>
            </w:r>
            <w:r>
              <w:rPr>
                <w:rFonts w:eastAsia="宋体"/>
                <w:b w:val="0"/>
                <w:bCs/>
                <w:snapToGrid w:val="0"/>
                <w:spacing w:val="0"/>
                <w:kern w:val="0"/>
                <w:sz w:val="21"/>
                <w:szCs w:val="21"/>
                <w:vertAlign w:val="subscript"/>
              </w:rPr>
              <w:t>3</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真空</w:t>
            </w:r>
            <w:r>
              <w:rPr>
                <w:rFonts w:hint="eastAsia" w:eastAsia="宋体"/>
                <w:b w:val="0"/>
                <w:bCs/>
                <w:snapToGrid w:val="0"/>
                <w:spacing w:val="0"/>
                <w:kern w:val="0"/>
                <w:sz w:val="21"/>
                <w:szCs w:val="21"/>
              </w:rPr>
              <w:t>泵</w:t>
            </w:r>
            <w:r>
              <w:rPr>
                <w:rFonts w:eastAsia="宋体"/>
                <w:b w:val="0"/>
                <w:bCs/>
                <w:snapToGrid w:val="0"/>
                <w:spacing w:val="0"/>
                <w:kern w:val="0"/>
                <w:sz w:val="21"/>
                <w:szCs w:val="21"/>
              </w:rPr>
              <w:t>尾气</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脱轻塔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丙二醇精制塔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脱重塔</w:t>
            </w:r>
          </w:p>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乙二醇精制塔</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氮气、</w:t>
            </w:r>
            <w:r>
              <w:rPr>
                <w:rFonts w:eastAsia="宋体"/>
                <w:b w:val="0"/>
                <w:bCs/>
                <w:snapToGrid w:val="0"/>
                <w:spacing w:val="0"/>
                <w:kern w:val="0"/>
                <w:sz w:val="21"/>
                <w:szCs w:val="21"/>
              </w:rPr>
              <w:t>醇类</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尾气洗涤塔</w:t>
            </w:r>
            <w:r>
              <w:rPr>
                <w:rFonts w:hint="eastAsia" w:eastAsia="宋体"/>
                <w:b w:val="0"/>
                <w:bCs/>
                <w:snapToGrid w:val="0"/>
                <w:spacing w:val="0"/>
                <w:kern w:val="0"/>
                <w:sz w:val="21"/>
                <w:szCs w:val="21"/>
              </w:rPr>
              <w:t>+活性炭吸附罐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g1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无组织</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装置区</w:t>
            </w:r>
          </w:p>
        </w:tc>
        <w:tc>
          <w:tcPr>
            <w:tcW w:w="695"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VOC</w:t>
            </w:r>
            <w:r>
              <w:rPr>
                <w:rFonts w:eastAsia="宋体"/>
                <w:b w:val="0"/>
                <w:bCs/>
                <w:snapToGrid w:val="0"/>
                <w:spacing w:val="0"/>
                <w:kern w:val="0"/>
                <w:sz w:val="21"/>
                <w:szCs w:val="21"/>
                <w:vertAlign w:val="subscript"/>
              </w:rPr>
              <w:t>S</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连续</w:t>
            </w:r>
          </w:p>
        </w:tc>
        <w:tc>
          <w:tcPr>
            <w:tcW w:w="1077" w:type="pct"/>
            <w:vAlign w:val="center"/>
          </w:tcPr>
          <w:p>
            <w:pPr>
              <w:pStyle w:val="53"/>
              <w:snapToGrid w:val="0"/>
              <w:spacing w:line="240" w:lineRule="auto"/>
              <w:ind w:firstLine="420"/>
              <w:jc w:val="center"/>
              <w:rPr>
                <w:rFonts w:eastAsia="宋体"/>
                <w:b w:val="0"/>
                <w:bCs/>
                <w:snapToGrid w:val="0"/>
                <w:spacing w:val="0"/>
                <w:kern w:val="0"/>
                <w:sz w:val="21"/>
                <w:szCs w:val="21"/>
              </w:rPr>
            </w:pPr>
            <w:r>
              <w:rPr>
                <w:rFonts w:eastAsia="宋体"/>
                <w:b w:val="0"/>
                <w:bCs/>
                <w:snapToGrid w:val="0"/>
                <w:spacing w:val="0"/>
                <w:kern w:val="0"/>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废水</w:t>
            </w: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闪蒸冷凝废水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闪蒸汽冷凝器</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送尾气洗涤塔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脱轻塔冷凝废水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脱轻塔冷凝器</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送尾气洗涤塔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W</w:t>
            </w:r>
            <w:r>
              <w:rPr>
                <w:rFonts w:eastAsia="宋体"/>
                <w:b w:val="0"/>
                <w:bCs/>
                <w:spacing w:val="0"/>
                <w:kern w:val="0"/>
                <w:sz w:val="21"/>
                <w:szCs w:val="21"/>
                <w:vertAlign w:val="subscript"/>
              </w:rPr>
              <w:t>3</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尾气洗涤塔外排水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尾气洗涤塔</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醇类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连续</w:t>
            </w:r>
          </w:p>
        </w:tc>
        <w:tc>
          <w:tcPr>
            <w:tcW w:w="1077" w:type="pct"/>
            <w:vMerge w:val="restar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送30万吨甲醇项目污水处理站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4</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真空系统废水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真空泵</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COD</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连续</w:t>
            </w:r>
          </w:p>
        </w:tc>
        <w:tc>
          <w:tcPr>
            <w:tcW w:w="1077" w:type="pct"/>
            <w:vMerge w:val="continue"/>
            <w:vAlign w:val="center"/>
          </w:tcPr>
          <w:p>
            <w:pPr>
              <w:pStyle w:val="53"/>
              <w:snapToGrid w:val="0"/>
              <w:spacing w:line="240" w:lineRule="auto"/>
              <w:jc w:val="center"/>
              <w:rPr>
                <w:rFonts w:eastAsia="宋体"/>
                <w:b w:val="0"/>
                <w:bCs/>
                <w:spacing w:val="0"/>
                <w:kern w:val="0"/>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5</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新增</w:t>
            </w:r>
            <w:r>
              <w:rPr>
                <w:rFonts w:eastAsiaTheme="minorEastAsia"/>
                <w:b w:val="0"/>
                <w:snapToGrid w:val="0"/>
                <w:spacing w:val="0"/>
                <w:kern w:val="0"/>
                <w:sz w:val="21"/>
                <w:szCs w:val="21"/>
              </w:rPr>
              <w:t>循环冷却排污水</w:t>
            </w:r>
          </w:p>
        </w:tc>
        <w:tc>
          <w:tcPr>
            <w:tcW w:w="1004" w:type="pct"/>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napToGrid w:val="0"/>
                <w:spacing w:val="0"/>
                <w:kern w:val="0"/>
                <w:sz w:val="21"/>
                <w:szCs w:val="21"/>
              </w:rPr>
              <w:t>循环冷却</w:t>
            </w:r>
          </w:p>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系统</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COD、SS</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间歇</w:t>
            </w:r>
          </w:p>
        </w:tc>
        <w:tc>
          <w:tcPr>
            <w:tcW w:w="1077" w:type="pct"/>
            <w:vMerge w:val="restar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6</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新增脱盐水站排污水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bCs/>
                <w:sz w:val="21"/>
                <w:szCs w:val="21"/>
              </w:rPr>
              <w:t>现有脱盐水站</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bCs/>
                <w:sz w:val="21"/>
                <w:szCs w:val="21"/>
              </w:rPr>
              <w:t>COD、NH</w:t>
            </w:r>
            <w:r>
              <w:rPr>
                <w:rFonts w:eastAsiaTheme="minorEastAsia"/>
                <w:b w:val="0"/>
                <w:bCs/>
                <w:sz w:val="21"/>
                <w:szCs w:val="21"/>
                <w:vertAlign w:val="subscript"/>
              </w:rPr>
              <w:t>3</w:t>
            </w:r>
            <w:r>
              <w:rPr>
                <w:rFonts w:eastAsiaTheme="minorEastAsia"/>
                <w:b w:val="0"/>
                <w:bCs/>
                <w:sz w:val="21"/>
                <w:szCs w:val="21"/>
              </w:rPr>
              <w:t>-N</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连续</w:t>
            </w:r>
          </w:p>
        </w:tc>
        <w:tc>
          <w:tcPr>
            <w:tcW w:w="1077" w:type="pct"/>
            <w:vMerge w:val="continue"/>
            <w:vAlign w:val="center"/>
          </w:tcPr>
          <w:p>
            <w:pPr>
              <w:pStyle w:val="53"/>
              <w:snapToGrid w:val="0"/>
              <w:spacing w:line="240" w:lineRule="auto"/>
              <w:jc w:val="center"/>
              <w:rPr>
                <w:rFonts w:eastAsia="宋体"/>
                <w:b w:val="0"/>
                <w:bCs/>
                <w:spacing w:val="0"/>
                <w:kern w:val="0"/>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ind w:firstLine="420"/>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W</w:t>
            </w:r>
            <w:r>
              <w:rPr>
                <w:rFonts w:eastAsiaTheme="minorEastAsia"/>
                <w:b w:val="0"/>
                <w:snapToGrid w:val="0"/>
                <w:spacing w:val="0"/>
                <w:kern w:val="0"/>
                <w:sz w:val="21"/>
                <w:szCs w:val="21"/>
                <w:vertAlign w:val="subscript"/>
              </w:rPr>
              <w:t>7</w:t>
            </w:r>
          </w:p>
        </w:tc>
        <w:tc>
          <w:tcPr>
            <w:tcW w:w="852"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地面冲洗废水</w:t>
            </w:r>
          </w:p>
        </w:tc>
        <w:tc>
          <w:tcPr>
            <w:tcW w:w="1004"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装置区</w:t>
            </w:r>
          </w:p>
        </w:tc>
        <w:tc>
          <w:tcPr>
            <w:tcW w:w="695"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COD、SS、石油类</w:t>
            </w:r>
          </w:p>
        </w:tc>
        <w:tc>
          <w:tcPr>
            <w:tcW w:w="541" w:type="pct"/>
            <w:vAlign w:val="center"/>
          </w:tcPr>
          <w:p>
            <w:pPr>
              <w:pStyle w:val="53"/>
              <w:snapToGrid w:val="0"/>
              <w:spacing w:line="240" w:lineRule="auto"/>
              <w:jc w:val="center"/>
              <w:rPr>
                <w:rFonts w:eastAsia="宋体"/>
                <w:b w:val="0"/>
                <w:bCs/>
                <w:spacing w:val="0"/>
                <w:kern w:val="0"/>
                <w:sz w:val="21"/>
                <w:szCs w:val="21"/>
              </w:rPr>
            </w:pPr>
            <w:r>
              <w:rPr>
                <w:rFonts w:eastAsiaTheme="minorEastAsia"/>
                <w:b w:val="0"/>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送30万吨甲醇项目污水处理站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固废</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S</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废催化剂</w:t>
            </w:r>
          </w:p>
        </w:tc>
        <w:tc>
          <w:tcPr>
            <w:tcW w:w="100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合成反应器</w:t>
            </w:r>
          </w:p>
        </w:tc>
        <w:tc>
          <w:tcPr>
            <w:tcW w:w="695" w:type="pct"/>
            <w:vAlign w:val="center"/>
          </w:tcPr>
          <w:p>
            <w:pPr>
              <w:pStyle w:val="40"/>
              <w:adjustRightInd w:val="0"/>
              <w:snapToGrid w:val="0"/>
              <w:jc w:val="center"/>
              <w:rPr>
                <w:bCs/>
                <w:szCs w:val="21"/>
              </w:rPr>
            </w:pPr>
            <w:r>
              <w:rPr>
                <w:bCs/>
                <w:kern w:val="0"/>
                <w:szCs w:val="21"/>
              </w:rPr>
              <w:t>HW 900-037-46</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S</w:t>
            </w:r>
            <w:r>
              <w:rPr>
                <w:rFonts w:eastAsia="宋体"/>
                <w:b w:val="0"/>
                <w:bCs/>
                <w:snapToGrid w:val="0"/>
                <w:spacing w:val="0"/>
                <w:kern w:val="0"/>
                <w:sz w:val="21"/>
                <w:szCs w:val="21"/>
                <w:vertAlign w:val="subscript"/>
              </w:rPr>
              <w:t>2</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废活性炭</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尾气吸附罐</w:t>
            </w:r>
          </w:p>
        </w:tc>
        <w:tc>
          <w:tcPr>
            <w:tcW w:w="695" w:type="pct"/>
            <w:vAlign w:val="center"/>
          </w:tcPr>
          <w:p>
            <w:pPr>
              <w:pStyle w:val="40"/>
              <w:adjustRightInd w:val="0"/>
              <w:snapToGrid w:val="0"/>
              <w:jc w:val="center"/>
              <w:rPr>
                <w:bCs/>
                <w:kern w:val="0"/>
                <w:szCs w:val="21"/>
              </w:rPr>
            </w:pPr>
            <w:r>
              <w:rPr>
                <w:bCs/>
                <w:kern w:val="0"/>
                <w:szCs w:val="21"/>
              </w:rPr>
              <w:t>HW</w:t>
            </w:r>
          </w:p>
          <w:p>
            <w:pPr>
              <w:pStyle w:val="40"/>
              <w:adjustRightInd w:val="0"/>
              <w:snapToGrid w:val="0"/>
              <w:jc w:val="center"/>
              <w:rPr>
                <w:bCs/>
                <w:kern w:val="0"/>
                <w:szCs w:val="21"/>
              </w:rPr>
            </w:pPr>
            <w:r>
              <w:rPr>
                <w:bCs/>
                <w:kern w:val="0"/>
                <w:szCs w:val="21"/>
              </w:rPr>
              <w:t>900-039-49</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napToGrid w:val="0"/>
                <w:spacing w:val="0"/>
                <w:kern w:val="0"/>
                <w:sz w:val="21"/>
                <w:szCs w:val="21"/>
              </w:rPr>
              <w:t>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bCs/>
                <w:snapToGrid w:val="0"/>
                <w:spacing w:val="0"/>
                <w:kern w:val="0"/>
                <w:sz w:val="21"/>
                <w:szCs w:val="21"/>
              </w:rPr>
              <w:t>S</w:t>
            </w:r>
            <w:r>
              <w:rPr>
                <w:rFonts w:eastAsiaTheme="minorEastAsia"/>
                <w:b w:val="0"/>
                <w:bCs/>
                <w:snapToGrid w:val="0"/>
                <w:spacing w:val="0"/>
                <w:kern w:val="0"/>
                <w:sz w:val="21"/>
                <w:szCs w:val="21"/>
                <w:vertAlign w:val="subscript"/>
              </w:rPr>
              <w:t>3</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废润滑油</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Theme="minorEastAsia"/>
                <w:b w:val="0"/>
                <w:snapToGrid w:val="0"/>
                <w:spacing w:val="0"/>
                <w:kern w:val="0"/>
                <w:sz w:val="21"/>
                <w:szCs w:val="21"/>
              </w:rPr>
              <w:t>压缩机、风机</w:t>
            </w:r>
          </w:p>
        </w:tc>
        <w:tc>
          <w:tcPr>
            <w:tcW w:w="695" w:type="pct"/>
            <w:vAlign w:val="center"/>
          </w:tcPr>
          <w:p>
            <w:pPr>
              <w:pStyle w:val="40"/>
              <w:adjustRightInd w:val="0"/>
              <w:snapToGrid w:val="0"/>
              <w:jc w:val="center"/>
              <w:rPr>
                <w:rFonts w:eastAsiaTheme="minorEastAsia"/>
                <w:bCs/>
                <w:szCs w:val="21"/>
              </w:rPr>
            </w:pPr>
            <w:r>
              <w:rPr>
                <w:rFonts w:eastAsiaTheme="minorEastAsia"/>
                <w:bCs/>
                <w:szCs w:val="21"/>
              </w:rPr>
              <w:t>HW</w:t>
            </w:r>
          </w:p>
          <w:p>
            <w:pPr>
              <w:pStyle w:val="40"/>
              <w:adjustRightInd w:val="0"/>
              <w:snapToGrid w:val="0"/>
              <w:jc w:val="center"/>
              <w:rPr>
                <w:bCs/>
                <w:kern w:val="0"/>
                <w:szCs w:val="21"/>
              </w:rPr>
            </w:pPr>
            <w:r>
              <w:rPr>
                <w:rFonts w:eastAsiaTheme="minorEastAsia"/>
                <w:bCs/>
                <w:szCs w:val="21"/>
              </w:rPr>
              <w:t>900-217-08</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snapToGrid w:val="0"/>
                <w:spacing w:val="0"/>
                <w:kern w:val="0"/>
                <w:sz w:val="21"/>
                <w:szCs w:val="21"/>
              </w:rPr>
              <w:t>间歇</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Theme="minorEastAsia"/>
                <w:b w:val="0"/>
                <w:snapToGrid w:val="0"/>
                <w:spacing w:val="0"/>
                <w:kern w:val="0"/>
                <w:sz w:val="21"/>
                <w:szCs w:val="21"/>
              </w:rPr>
              <w:t>送有资质单位处置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restart"/>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噪声</w:t>
            </w:r>
          </w:p>
        </w:tc>
        <w:tc>
          <w:tcPr>
            <w:tcW w:w="464"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N</w:t>
            </w:r>
            <w:r>
              <w:rPr>
                <w:rFonts w:eastAsia="宋体"/>
                <w:b w:val="0"/>
                <w:bCs/>
                <w:snapToGrid w:val="0"/>
                <w:spacing w:val="0"/>
                <w:kern w:val="0"/>
                <w:sz w:val="21"/>
                <w:szCs w:val="21"/>
                <w:vertAlign w:val="subscript"/>
              </w:rPr>
              <w:t>1</w:t>
            </w:r>
          </w:p>
        </w:tc>
        <w:tc>
          <w:tcPr>
            <w:tcW w:w="852"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压缩机</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乙二醇合成</w:t>
            </w:r>
          </w:p>
        </w:tc>
        <w:tc>
          <w:tcPr>
            <w:tcW w:w="695" w:type="pct"/>
            <w:vAlign w:val="center"/>
          </w:tcPr>
          <w:p>
            <w:pPr>
              <w:pStyle w:val="40"/>
              <w:adjustRightInd w:val="0"/>
              <w:snapToGrid w:val="0"/>
              <w:jc w:val="center"/>
              <w:rPr>
                <w:bCs/>
                <w:kern w:val="0"/>
                <w:szCs w:val="21"/>
              </w:rPr>
            </w:pPr>
            <w:r>
              <w:rPr>
                <w:rFonts w:hint="eastAsia"/>
                <w:bCs/>
                <w:kern w:val="0"/>
                <w:szCs w:val="21"/>
              </w:rPr>
              <w:t>1</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bCs/>
                <w:snapToGrid w:val="0"/>
                <w:spacing w:val="0"/>
                <w:kern w:val="0"/>
                <w:sz w:val="21"/>
                <w:szCs w:val="21"/>
              </w:rPr>
              <w:t>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Merge w:val="restar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N</w:t>
            </w:r>
            <w:r>
              <w:rPr>
                <w:rFonts w:eastAsia="宋体"/>
                <w:b w:val="0"/>
                <w:bCs/>
                <w:snapToGrid w:val="0"/>
                <w:spacing w:val="0"/>
                <w:kern w:val="0"/>
                <w:sz w:val="21"/>
                <w:szCs w:val="21"/>
                <w:vertAlign w:val="subscript"/>
              </w:rPr>
              <w:t>2</w:t>
            </w:r>
          </w:p>
        </w:tc>
        <w:tc>
          <w:tcPr>
            <w:tcW w:w="852" w:type="pct"/>
            <w:vMerge w:val="restar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泵类</w:t>
            </w: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乙二醇合成</w:t>
            </w:r>
          </w:p>
        </w:tc>
        <w:tc>
          <w:tcPr>
            <w:tcW w:w="695" w:type="pct"/>
            <w:vAlign w:val="center"/>
          </w:tcPr>
          <w:p>
            <w:pPr>
              <w:pStyle w:val="40"/>
              <w:adjustRightInd w:val="0"/>
              <w:snapToGrid w:val="0"/>
              <w:jc w:val="center"/>
              <w:rPr>
                <w:bCs/>
                <w:kern w:val="0"/>
                <w:szCs w:val="21"/>
              </w:rPr>
            </w:pPr>
            <w:r>
              <w:rPr>
                <w:bCs/>
                <w:kern w:val="0"/>
                <w:szCs w:val="21"/>
              </w:rPr>
              <w:t>2</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宋体"/>
                <w:b w:val="0"/>
                <w:bCs/>
                <w:snapToGrid w:val="0"/>
                <w:spacing w:val="0"/>
                <w:kern w:val="0"/>
                <w:sz w:val="21"/>
                <w:szCs w:val="21"/>
              </w:rPr>
            </w:pPr>
            <w:r>
              <w:rPr>
                <w:rFonts w:eastAsiaTheme="minorEastAsia"/>
                <w:b w:val="0"/>
                <w:bCs/>
                <w:snapToGrid w:val="0"/>
                <w:spacing w:val="0"/>
                <w:kern w:val="0"/>
                <w:sz w:val="21"/>
                <w:szCs w:val="21"/>
              </w:rPr>
              <w:t>减振、隔声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67" w:type="pct"/>
            <w:vMerge w:val="continue"/>
            <w:vAlign w:val="center"/>
          </w:tcPr>
          <w:p>
            <w:pPr>
              <w:pStyle w:val="53"/>
              <w:tabs>
                <w:tab w:val="left" w:pos="792"/>
                <w:tab w:val="clear" w:pos="567"/>
              </w:tabs>
              <w:snapToGrid w:val="0"/>
              <w:spacing w:line="240" w:lineRule="auto"/>
              <w:jc w:val="center"/>
              <w:rPr>
                <w:rFonts w:eastAsia="宋体"/>
                <w:b w:val="0"/>
                <w:bCs/>
                <w:snapToGrid w:val="0"/>
                <w:spacing w:val="0"/>
                <w:kern w:val="0"/>
                <w:sz w:val="21"/>
                <w:szCs w:val="21"/>
              </w:rPr>
            </w:pPr>
          </w:p>
        </w:tc>
        <w:tc>
          <w:tcPr>
            <w:tcW w:w="464" w:type="pct"/>
            <w:vMerge w:val="continue"/>
            <w:vAlign w:val="center"/>
          </w:tcPr>
          <w:p>
            <w:pPr>
              <w:pStyle w:val="53"/>
              <w:snapToGrid w:val="0"/>
              <w:spacing w:line="240" w:lineRule="auto"/>
              <w:jc w:val="center"/>
              <w:rPr>
                <w:rFonts w:eastAsia="宋体"/>
                <w:b w:val="0"/>
                <w:bCs/>
                <w:snapToGrid w:val="0"/>
                <w:spacing w:val="0"/>
                <w:kern w:val="0"/>
                <w:sz w:val="21"/>
                <w:szCs w:val="21"/>
              </w:rPr>
            </w:pPr>
          </w:p>
        </w:tc>
        <w:tc>
          <w:tcPr>
            <w:tcW w:w="852" w:type="pct"/>
            <w:vMerge w:val="continue"/>
            <w:vAlign w:val="center"/>
          </w:tcPr>
          <w:p>
            <w:pPr>
              <w:pStyle w:val="53"/>
              <w:snapToGrid w:val="0"/>
              <w:spacing w:line="240" w:lineRule="auto"/>
              <w:jc w:val="center"/>
              <w:rPr>
                <w:rFonts w:eastAsia="宋体"/>
                <w:b w:val="0"/>
                <w:bCs/>
                <w:spacing w:val="0"/>
                <w:kern w:val="0"/>
                <w:sz w:val="21"/>
                <w:szCs w:val="21"/>
              </w:rPr>
            </w:pPr>
          </w:p>
        </w:tc>
        <w:tc>
          <w:tcPr>
            <w:tcW w:w="1004" w:type="pct"/>
            <w:vAlign w:val="center"/>
          </w:tcPr>
          <w:p>
            <w:pPr>
              <w:pStyle w:val="53"/>
              <w:snapToGrid w:val="0"/>
              <w:spacing w:line="240" w:lineRule="auto"/>
              <w:jc w:val="center"/>
              <w:rPr>
                <w:rFonts w:eastAsia="宋体"/>
                <w:b w:val="0"/>
                <w:bCs/>
                <w:spacing w:val="0"/>
                <w:kern w:val="0"/>
                <w:sz w:val="21"/>
                <w:szCs w:val="21"/>
              </w:rPr>
            </w:pPr>
            <w:r>
              <w:rPr>
                <w:rFonts w:hint="eastAsia" w:eastAsia="宋体"/>
                <w:b w:val="0"/>
                <w:bCs/>
                <w:spacing w:val="0"/>
                <w:kern w:val="0"/>
                <w:sz w:val="21"/>
                <w:szCs w:val="21"/>
              </w:rPr>
              <w:t>乙二醇精馏</w:t>
            </w:r>
          </w:p>
        </w:tc>
        <w:tc>
          <w:tcPr>
            <w:tcW w:w="695" w:type="pct"/>
            <w:vAlign w:val="center"/>
          </w:tcPr>
          <w:p>
            <w:pPr>
              <w:pStyle w:val="40"/>
              <w:adjustRightInd w:val="0"/>
              <w:snapToGrid w:val="0"/>
              <w:jc w:val="center"/>
              <w:rPr>
                <w:bCs/>
                <w:kern w:val="0"/>
                <w:szCs w:val="21"/>
              </w:rPr>
            </w:pPr>
            <w:r>
              <w:rPr>
                <w:rFonts w:hint="eastAsia"/>
                <w:bCs/>
                <w:kern w:val="0"/>
                <w:szCs w:val="21"/>
              </w:rPr>
              <w:t>1</w:t>
            </w:r>
            <w:r>
              <w:rPr>
                <w:bCs/>
                <w:kern w:val="0"/>
                <w:szCs w:val="21"/>
              </w:rPr>
              <w:t>8</w:t>
            </w:r>
          </w:p>
        </w:tc>
        <w:tc>
          <w:tcPr>
            <w:tcW w:w="541" w:type="pct"/>
            <w:vAlign w:val="center"/>
          </w:tcPr>
          <w:p>
            <w:pPr>
              <w:pStyle w:val="53"/>
              <w:snapToGrid w:val="0"/>
              <w:spacing w:line="240" w:lineRule="auto"/>
              <w:jc w:val="center"/>
              <w:rPr>
                <w:rFonts w:eastAsia="宋体"/>
                <w:b w:val="0"/>
                <w:bCs/>
                <w:snapToGrid w:val="0"/>
                <w:spacing w:val="0"/>
                <w:kern w:val="0"/>
                <w:sz w:val="21"/>
                <w:szCs w:val="21"/>
              </w:rPr>
            </w:pPr>
            <w:r>
              <w:rPr>
                <w:rFonts w:hint="eastAsia" w:eastAsia="宋体"/>
                <w:b w:val="0"/>
                <w:bCs/>
                <w:snapToGrid w:val="0"/>
                <w:spacing w:val="0"/>
                <w:kern w:val="0"/>
                <w:sz w:val="21"/>
                <w:szCs w:val="21"/>
              </w:rPr>
              <w:t>连续</w:t>
            </w:r>
          </w:p>
        </w:tc>
        <w:tc>
          <w:tcPr>
            <w:tcW w:w="1077" w:type="pct"/>
            <w:vAlign w:val="center"/>
          </w:tcPr>
          <w:p>
            <w:pPr>
              <w:pStyle w:val="53"/>
              <w:snapToGrid w:val="0"/>
              <w:spacing w:line="240" w:lineRule="auto"/>
              <w:jc w:val="center"/>
              <w:rPr>
                <w:rFonts w:eastAsiaTheme="minorEastAsia"/>
                <w:b w:val="0"/>
                <w:bCs/>
                <w:snapToGrid w:val="0"/>
                <w:spacing w:val="0"/>
                <w:kern w:val="0"/>
                <w:sz w:val="21"/>
                <w:szCs w:val="21"/>
              </w:rPr>
            </w:pPr>
            <w:r>
              <w:rPr>
                <w:rFonts w:eastAsiaTheme="minorEastAsia"/>
                <w:b w:val="0"/>
                <w:bCs/>
                <w:snapToGrid w:val="0"/>
                <w:spacing w:val="0"/>
                <w:kern w:val="0"/>
                <w:sz w:val="21"/>
                <w:szCs w:val="21"/>
              </w:rPr>
              <w:t>减振、隔声</w:t>
            </w:r>
          </w:p>
        </w:tc>
      </w:tr>
    </w:tbl>
    <w:p>
      <w:pPr>
        <w:pStyle w:val="4"/>
        <w:spacing w:before="0" w:after="0" w:line="520" w:lineRule="exact"/>
        <w:rPr>
          <w:rFonts w:ascii="Times New Roman" w:hAnsi="Times New Roman" w:eastAsia="黑体"/>
          <w:sz w:val="28"/>
          <w:szCs w:val="28"/>
          <w:lang w:val="en-US" w:eastAsia="zh-CN"/>
        </w:rPr>
      </w:pPr>
      <w:bookmarkStart w:id="71" w:name="_Toc439060545"/>
      <w:bookmarkStart w:id="72" w:name="_Toc439060547"/>
      <w:r>
        <w:rPr>
          <w:rFonts w:ascii="Times New Roman" w:hAnsi="Times New Roman" w:eastAsia="黑体"/>
          <w:sz w:val="28"/>
          <w:szCs w:val="28"/>
          <w:lang w:val="en-US" w:eastAsia="zh-CN"/>
        </w:rPr>
        <w:t>3.4  相关平衡</w:t>
      </w:r>
    </w:p>
    <w:p>
      <w:pPr>
        <w:spacing w:line="520" w:lineRule="exact"/>
        <w:ind w:firstLine="560" w:firstLineChars="200"/>
        <w:rPr>
          <w:rFonts w:ascii="Times New Roman" w:hAnsi="Times New Roman" w:eastAsiaTheme="minorEastAsia"/>
          <w:snapToGrid w:val="0"/>
          <w:kern w:val="0"/>
          <w:sz w:val="28"/>
          <w:szCs w:val="28"/>
        </w:rPr>
      </w:pPr>
      <w:r>
        <w:rPr>
          <w:rFonts w:hint="eastAsia" w:ascii="Times New Roman" w:hAnsi="Times New Roman" w:eastAsiaTheme="minorEastAsia"/>
          <w:snapToGrid w:val="0"/>
          <w:kern w:val="0"/>
          <w:sz w:val="28"/>
          <w:szCs w:val="28"/>
        </w:rPr>
        <w:t>本项目中试试验物料数据依据千克级试验数据比例放大到千吨级中试装置，中试项目实验条件相对固定，在温度、压力上会稍有改动，对产品的产量和质量影响不大。</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4</w:t>
      </w:r>
      <w:r>
        <w:rPr>
          <w:rFonts w:ascii="Times New Roman" w:hAnsi="Times New Roman" w:eastAsia="楷体_GB2312"/>
          <w:sz w:val="28"/>
          <w:szCs w:val="28"/>
          <w:lang w:val="en-US" w:eastAsia="zh-CN"/>
        </w:rPr>
        <w:t>.1  物料平衡</w:t>
      </w:r>
      <w:bookmarkEnd w:id="71"/>
    </w:p>
    <w:p>
      <w:pPr>
        <w:spacing w:line="520" w:lineRule="exact"/>
        <w:ind w:firstLine="560" w:firstLineChars="200"/>
        <w:rPr>
          <w:rFonts w:ascii="Times New Roman" w:hAnsi="Times New Roman" w:eastAsiaTheme="minorEastAsia"/>
          <w:snapToGrid w:val="0"/>
          <w:kern w:val="0"/>
          <w:sz w:val="28"/>
          <w:szCs w:val="28"/>
        </w:rPr>
      </w:pPr>
      <w:r>
        <w:rPr>
          <w:rFonts w:hint="eastAsia" w:ascii="Times New Roman" w:hAnsi="Times New Roman" w:eastAsiaTheme="minorEastAsia"/>
          <w:snapToGrid w:val="0"/>
          <w:kern w:val="0"/>
          <w:sz w:val="28"/>
          <w:szCs w:val="28"/>
        </w:rPr>
        <w:t>本项目物料平衡数据见表3</w:t>
      </w:r>
      <w:r>
        <w:rPr>
          <w:rFonts w:ascii="Times New Roman" w:hAnsi="Times New Roman" w:eastAsiaTheme="minorEastAsia"/>
          <w:snapToGrid w:val="0"/>
          <w:kern w:val="0"/>
          <w:sz w:val="28"/>
          <w:szCs w:val="28"/>
        </w:rPr>
        <w:t>.4</w:t>
      </w:r>
      <w:r>
        <w:rPr>
          <w:rFonts w:hint="eastAsia" w:ascii="Times New Roman" w:hAnsi="Times New Roman" w:eastAsiaTheme="minorEastAsia"/>
          <w:snapToGrid w:val="0"/>
          <w:kern w:val="0"/>
          <w:sz w:val="28"/>
          <w:szCs w:val="28"/>
        </w:rPr>
        <w:t>-</w:t>
      </w:r>
      <w:r>
        <w:rPr>
          <w:rFonts w:ascii="Times New Roman" w:hAnsi="Times New Roman" w:eastAsiaTheme="minorEastAsia"/>
          <w:snapToGrid w:val="0"/>
          <w:kern w:val="0"/>
          <w:sz w:val="28"/>
          <w:szCs w:val="28"/>
        </w:rPr>
        <w:t>1</w:t>
      </w:r>
      <w:r>
        <w:rPr>
          <w:rFonts w:hint="eastAsia" w:ascii="Times New Roman" w:hAnsi="Times New Roman" w:eastAsiaTheme="minorEastAsia"/>
          <w:snapToGrid w:val="0"/>
          <w:kern w:val="0"/>
          <w:sz w:val="28"/>
          <w:szCs w:val="28"/>
        </w:rPr>
        <w:t>及图3</w:t>
      </w:r>
      <w:r>
        <w:rPr>
          <w:rFonts w:ascii="Times New Roman" w:hAnsi="Times New Roman" w:eastAsiaTheme="minorEastAsia"/>
          <w:snapToGrid w:val="0"/>
          <w:kern w:val="0"/>
          <w:sz w:val="28"/>
          <w:szCs w:val="28"/>
        </w:rPr>
        <w:t>.4</w:t>
      </w:r>
      <w:r>
        <w:rPr>
          <w:rFonts w:hint="eastAsia" w:ascii="Times New Roman" w:hAnsi="Times New Roman" w:eastAsiaTheme="minorEastAsia"/>
          <w:snapToGrid w:val="0"/>
          <w:kern w:val="0"/>
          <w:sz w:val="28"/>
          <w:szCs w:val="28"/>
        </w:rPr>
        <w:t>-</w:t>
      </w:r>
      <w:r>
        <w:rPr>
          <w:rFonts w:ascii="Times New Roman" w:hAnsi="Times New Roman" w:eastAsiaTheme="minorEastAsia"/>
          <w:snapToGrid w:val="0"/>
          <w:kern w:val="0"/>
          <w:sz w:val="28"/>
          <w:szCs w:val="28"/>
        </w:rPr>
        <w:t>1</w:t>
      </w:r>
      <w:r>
        <w:rPr>
          <w:rFonts w:hint="eastAsia" w:ascii="Times New Roman" w:hAnsi="Times New Roman" w:eastAsiaTheme="minorEastAsia"/>
          <w:snapToGrid w:val="0"/>
          <w:kern w:val="0"/>
          <w:sz w:val="28"/>
          <w:szCs w:val="28"/>
        </w:rPr>
        <w:t>。</w:t>
      </w:r>
    </w:p>
    <w:p>
      <w:pPr>
        <w:pStyle w:val="32"/>
        <w:ind w:firstLine="679" w:firstLineChars="282"/>
      </w:pPr>
      <w:r>
        <w:t>表3.4-1                项目</w:t>
      </w:r>
      <w:r>
        <w:rPr>
          <w:rFonts w:hint="eastAsia"/>
        </w:rPr>
        <w:t>物料平衡</w:t>
      </w:r>
      <w:r>
        <w:t>一览表</w:t>
      </w:r>
    </w:p>
    <w:p>
      <w:pPr>
        <w:pStyle w:val="32"/>
        <w:ind w:firstLine="482"/>
        <w:sectPr>
          <w:pgSz w:w="11907" w:h="16840"/>
          <w:pgMar w:top="1474" w:right="1474" w:bottom="1474" w:left="1474" w:header="851" w:footer="851" w:gutter="0"/>
          <w:cols w:space="720" w:num="1"/>
          <w:docGrid w:linePitch="332" w:charSpace="-227"/>
        </w:sectPr>
      </w:pPr>
      <w:r>
        <w:rPr>
          <w:rFonts w:hint="eastAsia"/>
          <w:lang w:eastAsia="zh-CN"/>
        </w:rPr>
        <w:t>（涉及商业机密未列出）</w:t>
      </w:r>
    </w:p>
    <w:p>
      <w:pPr>
        <w:sectPr>
          <w:pgSz w:w="16840" w:h="11907" w:orient="landscape"/>
          <w:pgMar w:top="1474" w:right="1474" w:bottom="1474" w:left="1474" w:header="851" w:footer="851" w:gutter="0"/>
          <w:cols w:space="720" w:num="1"/>
          <w:docGrid w:linePitch="332" w:charSpace="-227"/>
        </w:sectPr>
      </w:pP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4</w:t>
      </w:r>
      <w:r>
        <w:rPr>
          <w:rFonts w:ascii="Times New Roman" w:hAnsi="Times New Roman" w:eastAsia="楷体_GB2312"/>
          <w:sz w:val="28"/>
          <w:szCs w:val="28"/>
          <w:lang w:val="en-US" w:eastAsia="zh-CN"/>
        </w:rPr>
        <w:t>.2  水平衡</w:t>
      </w:r>
    </w:p>
    <w:p>
      <w:pPr>
        <w:pStyle w:val="27"/>
        <w:ind w:firstLine="560"/>
        <w:rPr>
          <w:rFonts w:eastAsiaTheme="minorEastAsia"/>
          <w:szCs w:val="28"/>
        </w:rPr>
      </w:pPr>
      <w:r>
        <w:rPr>
          <w:rFonts w:eastAsiaTheme="minorEastAsia"/>
          <w:szCs w:val="28"/>
        </w:rPr>
        <w:t>消防水池属于事故保障措施，此次水平衡中不再考虑消防用水。</w:t>
      </w:r>
    </w:p>
    <w:p>
      <w:pPr>
        <w:pStyle w:val="27"/>
        <w:ind w:firstLine="560"/>
        <w:rPr>
          <w:rFonts w:eastAsiaTheme="minorEastAsia"/>
          <w:szCs w:val="28"/>
        </w:rPr>
      </w:pPr>
      <w:r>
        <w:rPr>
          <w:rFonts w:hint="eastAsia" w:eastAsiaTheme="minorEastAsia"/>
          <w:szCs w:val="28"/>
        </w:rPr>
        <w:t>本次中试项目劳动定员1</w:t>
      </w:r>
      <w:r>
        <w:rPr>
          <w:rFonts w:eastAsiaTheme="minorEastAsia"/>
          <w:szCs w:val="28"/>
        </w:rPr>
        <w:t>0</w:t>
      </w:r>
      <w:r>
        <w:rPr>
          <w:rFonts w:hint="eastAsia" w:eastAsiaTheme="minorEastAsia"/>
          <w:szCs w:val="28"/>
        </w:rPr>
        <w:t>人，均从现有员工调配，不新增生活污水，此次水平衡不再考虑生活污水。</w:t>
      </w:r>
    </w:p>
    <w:p>
      <w:pPr>
        <w:pStyle w:val="27"/>
        <w:ind w:firstLine="560"/>
      </w:pPr>
      <w:r>
        <w:rPr>
          <w:rFonts w:hint="eastAsia" w:eastAsiaTheme="minorEastAsia"/>
          <w:szCs w:val="28"/>
        </w:rPr>
        <w:t>项目新增用水主要是循环补水、装置地坪冲洗用水和脱盐水站新增用水；</w:t>
      </w:r>
      <w:r>
        <w:t>废水主要为</w:t>
      </w:r>
      <w:r>
        <w:rPr>
          <w:rFonts w:hint="eastAsia"/>
        </w:rPr>
        <w:t>生产装置尾气洗涤塔废水、真空泵废水、地面冲洗水、新增的</w:t>
      </w:r>
      <w:r>
        <w:t>循环冷却排污水</w:t>
      </w:r>
      <w:r>
        <w:rPr>
          <w:rFonts w:hint="eastAsia"/>
        </w:rPr>
        <w:t>和脱盐水站排水。</w:t>
      </w:r>
    </w:p>
    <w:p>
      <w:pPr>
        <w:pStyle w:val="27"/>
        <w:ind w:firstLine="560"/>
        <w:rPr>
          <w:szCs w:val="28"/>
        </w:rPr>
      </w:pPr>
      <w:r>
        <w:rPr>
          <w:rFonts w:hint="eastAsia" w:eastAsiaTheme="minorEastAsia"/>
          <w:szCs w:val="28"/>
        </w:rPr>
        <w:t>根据水平衡，项目新鲜水用量</w:t>
      </w:r>
      <w:r>
        <w:rPr>
          <w:rFonts w:eastAsiaTheme="minorEastAsia"/>
          <w:szCs w:val="28"/>
        </w:rPr>
        <w:t>4.8m</w:t>
      </w:r>
      <w:r>
        <w:rPr>
          <w:rFonts w:eastAsiaTheme="minorEastAsia"/>
          <w:szCs w:val="28"/>
          <w:vertAlign w:val="superscript"/>
        </w:rPr>
        <w:t>3</w:t>
      </w:r>
      <w:r>
        <w:rPr>
          <w:rFonts w:eastAsiaTheme="minorEastAsia"/>
          <w:szCs w:val="28"/>
        </w:rPr>
        <w:t>/h</w:t>
      </w:r>
      <w:r>
        <w:rPr>
          <w:rFonts w:hint="eastAsia" w:eastAsiaTheme="minorEastAsia"/>
          <w:szCs w:val="28"/>
        </w:rPr>
        <w:t>，</w:t>
      </w:r>
      <w:r>
        <w:rPr>
          <w:szCs w:val="28"/>
        </w:rPr>
        <w:t>循环水用量为164.8m</w:t>
      </w:r>
      <w:r>
        <w:rPr>
          <w:szCs w:val="28"/>
          <w:vertAlign w:val="superscript"/>
        </w:rPr>
        <w:t>3</w:t>
      </w:r>
      <w:r>
        <w:rPr>
          <w:szCs w:val="28"/>
        </w:rPr>
        <w:t>/h，回用水量为0.74m</w:t>
      </w:r>
      <w:r>
        <w:rPr>
          <w:szCs w:val="28"/>
          <w:vertAlign w:val="superscript"/>
        </w:rPr>
        <w:t>3</w:t>
      </w:r>
      <w:r>
        <w:rPr>
          <w:szCs w:val="28"/>
        </w:rPr>
        <w:t>/h</w:t>
      </w:r>
      <w:r>
        <w:rPr>
          <w:rFonts w:hint="eastAsia"/>
          <w:szCs w:val="28"/>
        </w:rPr>
        <w:t>，</w:t>
      </w:r>
      <w:r>
        <w:rPr>
          <w:szCs w:val="28"/>
        </w:rPr>
        <w:t>项目水重复利用率为97.2%。</w:t>
      </w:r>
      <w:r>
        <w:rPr>
          <w:rFonts w:hint="eastAsia"/>
        </w:rPr>
        <w:t>尾气洗涤塔废水、真空泵废水、地面冲洗水进入3</w:t>
      </w:r>
      <w:r>
        <w:t>0</w:t>
      </w:r>
      <w:r>
        <w:rPr>
          <w:rFonts w:hint="eastAsia"/>
        </w:rPr>
        <w:t>万吨/年甲醇项目污水处理站处理，处理后部分回用（6</w:t>
      </w:r>
      <w:r>
        <w:t>0%</w:t>
      </w:r>
      <w:r>
        <w:rPr>
          <w:rFonts w:hint="eastAsia"/>
        </w:rPr>
        <w:t>），其余排入濮阳市第二污水处理厂；</w:t>
      </w:r>
      <w:r>
        <w:t>循环冷却排污水、</w:t>
      </w:r>
      <w:r>
        <w:rPr>
          <w:rFonts w:hint="eastAsia"/>
        </w:rPr>
        <w:t>脱盐水站排水直接排入濮阳市第二污水处理厂。</w:t>
      </w:r>
    </w:p>
    <w:p>
      <w:pPr>
        <w:pStyle w:val="27"/>
        <w:ind w:firstLine="560"/>
        <w:rPr>
          <w:szCs w:val="28"/>
        </w:rPr>
      </w:pPr>
      <w:r>
        <w:rPr>
          <w:rFonts w:hint="eastAsia"/>
          <w:szCs w:val="28"/>
        </w:rPr>
        <w:t>项目水平衡见图3.4-</w:t>
      </w:r>
      <w:r>
        <w:rPr>
          <w:szCs w:val="28"/>
        </w:rPr>
        <w:t>2</w:t>
      </w:r>
      <w:r>
        <w:rPr>
          <w:rFonts w:hint="eastAsia"/>
          <w:szCs w:val="28"/>
        </w:rPr>
        <w:t>。</w:t>
      </w:r>
    </w:p>
    <w:p>
      <w:pPr>
        <w:pStyle w:val="27"/>
        <w:spacing w:line="240" w:lineRule="auto"/>
        <w:ind w:firstLine="0" w:firstLineChars="0"/>
        <w:jc w:val="center"/>
      </w:pPr>
      <w:r>
        <w:object>
          <v:shape id="_x0000_i1032" o:spt="75" type="#_x0000_t75" style="height:320.8pt;width:446.25pt;" o:ole="t" filled="f" o:preferrelative="t" stroked="f" coordsize="21600,21600">
            <v:path/>
            <v:fill on="f" focussize="0,0"/>
            <v:stroke on="f" joinstyle="miter"/>
            <v:imagedata r:id="rId45" o:title=""/>
            <o:lock v:ext="edit" aspectratio="t"/>
            <w10:wrap type="none"/>
            <w10:anchorlock/>
          </v:shape>
          <o:OLEObject Type="Embed" ProgID="Visio.Drawing.11" ShapeID="_x0000_i1032" DrawAspect="Content" ObjectID="_1468075733" r:id="rId44">
            <o:LockedField>false</o:LockedField>
          </o:OLEObject>
        </w:object>
      </w:r>
    </w:p>
    <w:p>
      <w:pPr>
        <w:pStyle w:val="27"/>
        <w:spacing w:line="240" w:lineRule="auto"/>
        <w:ind w:firstLine="0" w:firstLineChars="0"/>
        <w:jc w:val="center"/>
        <w:rPr>
          <w:rFonts w:eastAsiaTheme="minorEastAsia"/>
          <w:b/>
          <w:bCs/>
          <w:sz w:val="24"/>
          <w:szCs w:val="24"/>
        </w:rPr>
      </w:pPr>
      <w:r>
        <w:rPr>
          <w:rFonts w:eastAsiaTheme="minorEastAsia"/>
          <w:b/>
          <w:bCs/>
          <w:sz w:val="24"/>
          <w:szCs w:val="24"/>
        </w:rPr>
        <w:t>图3.4-2      项目水平衡示意图</w:t>
      </w:r>
      <w:r>
        <w:rPr>
          <w:rFonts w:hint="eastAsia" w:eastAsiaTheme="minorEastAsia"/>
          <w:b/>
          <w:bCs/>
          <w:sz w:val="24"/>
          <w:szCs w:val="24"/>
        </w:rPr>
        <w:t xml:space="preserve"> </w:t>
      </w:r>
      <w:r>
        <w:rPr>
          <w:rFonts w:eastAsiaTheme="minorEastAsia"/>
          <w:b/>
          <w:bCs/>
          <w:sz w:val="24"/>
          <w:szCs w:val="24"/>
        </w:rPr>
        <w:t xml:space="preserve">       </w:t>
      </w:r>
      <w:r>
        <w:rPr>
          <w:rFonts w:hint="eastAsia" w:eastAsiaTheme="minorEastAsia"/>
          <w:b/>
          <w:bCs/>
          <w:sz w:val="24"/>
          <w:szCs w:val="24"/>
        </w:rPr>
        <w:t>单位：m</w:t>
      </w:r>
      <w:r>
        <w:rPr>
          <w:rFonts w:eastAsiaTheme="minorEastAsia"/>
          <w:b/>
          <w:bCs/>
          <w:sz w:val="24"/>
          <w:szCs w:val="24"/>
          <w:vertAlign w:val="superscript"/>
        </w:rPr>
        <w:t>3</w:t>
      </w:r>
      <w:r>
        <w:rPr>
          <w:rFonts w:eastAsiaTheme="minorEastAsia"/>
          <w:b/>
          <w:bCs/>
          <w:sz w:val="24"/>
          <w:szCs w:val="24"/>
        </w:rPr>
        <w:t>/h</w:t>
      </w:r>
    </w:p>
    <w:p>
      <w:pPr>
        <w:pStyle w:val="27"/>
        <w:ind w:firstLine="560"/>
        <w:rPr>
          <w:szCs w:val="28"/>
        </w:rPr>
        <w:sectPr>
          <w:pgSz w:w="11907" w:h="16840"/>
          <w:pgMar w:top="1474" w:right="1474" w:bottom="1474" w:left="1474" w:header="851" w:footer="851" w:gutter="0"/>
          <w:cols w:space="720" w:num="1"/>
          <w:docGrid w:linePitch="332" w:charSpace="-227"/>
        </w:sectPr>
      </w:pPr>
    </w:p>
    <w:bookmarkEnd w:id="72"/>
    <w:p>
      <w:pPr>
        <w:pStyle w:val="4"/>
        <w:spacing w:before="0" w:after="0" w:line="520" w:lineRule="exact"/>
        <w:rPr>
          <w:rFonts w:ascii="Times New Roman" w:hAnsi="Times New Roman" w:eastAsia="黑体"/>
          <w:sz w:val="28"/>
          <w:szCs w:val="28"/>
          <w:lang w:val="en-US" w:eastAsia="zh-CN"/>
        </w:rPr>
      </w:pPr>
      <w:bookmarkStart w:id="73" w:name="_Toc439060549"/>
      <w:r>
        <w:rPr>
          <w:rFonts w:ascii="Times New Roman" w:hAnsi="Times New Roman" w:eastAsia="黑体"/>
          <w:sz w:val="28"/>
          <w:szCs w:val="28"/>
          <w:lang w:val="en-US" w:eastAsia="zh-CN"/>
        </w:rPr>
        <w:t>3.5  污染物产排分析</w:t>
      </w:r>
      <w:bookmarkEnd w:id="73"/>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.1  大气污染物产排分析</w:t>
      </w:r>
    </w:p>
    <w:p>
      <w:pPr>
        <w:pStyle w:val="33"/>
        <w:adjustRightInd w:val="0"/>
        <w:snapToGrid w:val="0"/>
      </w:pPr>
      <w:r>
        <w:rPr>
          <w:rFonts w:hint="eastAsia"/>
        </w:rPr>
        <w:t>3.5.1.1</w:t>
      </w:r>
      <w:r>
        <w:t xml:space="preserve"> 源强确定原则</w:t>
      </w:r>
    </w:p>
    <w:p>
      <w:pPr>
        <w:pStyle w:val="27"/>
        <w:spacing w:line="540" w:lineRule="exact"/>
        <w:ind w:firstLine="560"/>
        <w:rPr>
          <w:szCs w:val="28"/>
        </w:rPr>
      </w:pPr>
      <w:r>
        <w:rPr>
          <w:rFonts w:hint="eastAsia"/>
          <w:szCs w:val="28"/>
        </w:rPr>
        <w:t>项目废气排放口主要是乙二醇合成反应釜驰放气、闪蒸不凝气和乙二醇精馏系统真空泵尾气及装置区无组织V</w:t>
      </w:r>
      <w:r>
        <w:rPr>
          <w:szCs w:val="28"/>
        </w:rPr>
        <w:t>OC</w:t>
      </w:r>
      <w:r>
        <w:rPr>
          <w:szCs w:val="28"/>
          <w:vertAlign w:val="subscript"/>
        </w:rPr>
        <w:t>S</w:t>
      </w:r>
      <w:r>
        <w:rPr>
          <w:rFonts w:hint="eastAsia"/>
          <w:szCs w:val="28"/>
        </w:rPr>
        <w:t>。</w:t>
      </w:r>
    </w:p>
    <w:p>
      <w:pPr>
        <w:pStyle w:val="27"/>
        <w:spacing w:line="540" w:lineRule="exact"/>
        <w:ind w:firstLine="560"/>
        <w:rPr>
          <w:szCs w:val="28"/>
        </w:rPr>
      </w:pPr>
      <w:r>
        <w:rPr>
          <w:szCs w:val="28"/>
        </w:rPr>
        <w:t>本次评价废气污染物源强确定采用以下方法：</w:t>
      </w:r>
    </w:p>
    <w:p>
      <w:pPr>
        <w:pStyle w:val="27"/>
        <w:spacing w:line="540" w:lineRule="exact"/>
        <w:ind w:firstLine="560"/>
        <w:rPr>
          <w:szCs w:val="28"/>
        </w:rPr>
      </w:pPr>
      <w:r>
        <w:rPr>
          <w:rFonts w:hint="eastAsia"/>
          <w:szCs w:val="28"/>
        </w:rPr>
        <w:t>（1）</w:t>
      </w:r>
      <w:r>
        <w:rPr>
          <w:b/>
          <w:szCs w:val="28"/>
        </w:rPr>
        <w:t>产生源强：</w:t>
      </w:r>
      <w:r>
        <w:rPr>
          <w:rFonts w:hint="eastAsia"/>
          <w:szCs w:val="28"/>
        </w:rPr>
        <w:t>乙二醇合成反应釜驰放气、闪蒸不凝气和乙二醇精馏系统真空泵尾气主要依据设计数值、物料平衡确定，装置区无组织V</w:t>
      </w:r>
      <w:r>
        <w:rPr>
          <w:szCs w:val="28"/>
        </w:rPr>
        <w:t>OC</w:t>
      </w:r>
      <w:r>
        <w:rPr>
          <w:szCs w:val="28"/>
          <w:vertAlign w:val="subscript"/>
        </w:rPr>
        <w:t>S</w:t>
      </w:r>
      <w:r>
        <w:rPr>
          <w:rFonts w:hint="eastAsia"/>
          <w:szCs w:val="28"/>
        </w:rPr>
        <w:t>产生情况参考</w:t>
      </w:r>
      <w:r>
        <w:rPr>
          <w:kern w:val="0"/>
          <w:szCs w:val="28"/>
        </w:rPr>
        <w:t>《排污许可证申请与核发技术规范 石化工业》</w:t>
      </w:r>
      <w:r>
        <w:rPr>
          <w:rFonts w:hint="eastAsia"/>
          <w:spacing w:val="1"/>
          <w:kern w:val="0"/>
          <w:szCs w:val="28"/>
        </w:rPr>
        <w:t>（</w:t>
      </w:r>
      <w:r>
        <w:rPr>
          <w:kern w:val="0"/>
          <w:szCs w:val="28"/>
        </w:rPr>
        <w:t>HJ853</w:t>
      </w:r>
      <w:r>
        <w:rPr>
          <w:spacing w:val="-1"/>
          <w:kern w:val="0"/>
          <w:szCs w:val="28"/>
        </w:rPr>
        <w:t>-</w:t>
      </w:r>
      <w:r>
        <w:rPr>
          <w:kern w:val="0"/>
          <w:szCs w:val="28"/>
        </w:rPr>
        <w:t>2017</w:t>
      </w:r>
      <w:r>
        <w:rPr>
          <w:rFonts w:hint="eastAsia"/>
          <w:spacing w:val="1"/>
          <w:kern w:val="0"/>
          <w:szCs w:val="28"/>
        </w:rPr>
        <w:t>）</w:t>
      </w:r>
      <w:r>
        <w:rPr>
          <w:rFonts w:hint="eastAsia"/>
          <w:kern w:val="0"/>
          <w:szCs w:val="28"/>
        </w:rPr>
        <w:t>、</w:t>
      </w:r>
      <w:r>
        <w:rPr>
          <w:kern w:val="0"/>
          <w:szCs w:val="28"/>
        </w:rPr>
        <w:t>《石化行业</w:t>
      </w:r>
      <w:r>
        <w:rPr>
          <w:spacing w:val="-28"/>
          <w:kern w:val="0"/>
          <w:szCs w:val="28"/>
        </w:rPr>
        <w:t xml:space="preserve"> </w:t>
      </w:r>
      <w:r>
        <w:rPr>
          <w:kern w:val="0"/>
          <w:szCs w:val="28"/>
        </w:rPr>
        <w:t>V</w:t>
      </w:r>
      <w:r>
        <w:rPr>
          <w:spacing w:val="-1"/>
          <w:kern w:val="0"/>
          <w:szCs w:val="28"/>
        </w:rPr>
        <w:t>O</w:t>
      </w:r>
      <w:r>
        <w:rPr>
          <w:kern w:val="0"/>
          <w:szCs w:val="28"/>
        </w:rPr>
        <w:t>Cs污染源排</w:t>
      </w:r>
      <w:r>
        <w:rPr>
          <w:spacing w:val="-2"/>
          <w:kern w:val="0"/>
          <w:szCs w:val="28"/>
        </w:rPr>
        <w:t>查</w:t>
      </w:r>
      <w:r>
        <w:rPr>
          <w:kern w:val="0"/>
          <w:szCs w:val="28"/>
        </w:rPr>
        <w:t>工作指南》</w:t>
      </w:r>
      <w:r>
        <w:rPr>
          <w:rFonts w:hint="eastAsia"/>
          <w:kern w:val="0"/>
          <w:szCs w:val="28"/>
        </w:rPr>
        <w:t>（</w:t>
      </w:r>
      <w:r>
        <w:rPr>
          <w:spacing w:val="1"/>
          <w:kern w:val="0"/>
          <w:szCs w:val="28"/>
        </w:rPr>
        <w:t>[</w:t>
      </w:r>
      <w:r>
        <w:rPr>
          <w:kern w:val="0"/>
          <w:szCs w:val="28"/>
        </w:rPr>
        <w:t>2015</w:t>
      </w:r>
      <w:r>
        <w:rPr>
          <w:spacing w:val="1"/>
          <w:kern w:val="0"/>
          <w:szCs w:val="28"/>
        </w:rPr>
        <w:t>]</w:t>
      </w:r>
      <w:r>
        <w:rPr>
          <w:kern w:val="0"/>
          <w:szCs w:val="28"/>
        </w:rPr>
        <w:t>1</w:t>
      </w:r>
      <w:r>
        <w:rPr>
          <w:spacing w:val="-2"/>
          <w:kern w:val="0"/>
          <w:szCs w:val="28"/>
        </w:rPr>
        <w:t>0</w:t>
      </w:r>
      <w:r>
        <w:rPr>
          <w:kern w:val="0"/>
          <w:szCs w:val="28"/>
        </w:rPr>
        <w:t>4号文</w:t>
      </w:r>
      <w:r>
        <w:rPr>
          <w:rFonts w:hint="eastAsia"/>
          <w:kern w:val="0"/>
          <w:szCs w:val="28"/>
        </w:rPr>
        <w:t>）</w:t>
      </w:r>
      <w:r>
        <w:rPr>
          <w:szCs w:val="28"/>
        </w:rPr>
        <w:t>确定。</w:t>
      </w:r>
    </w:p>
    <w:p>
      <w:pPr>
        <w:pStyle w:val="27"/>
        <w:spacing w:line="540" w:lineRule="exact"/>
        <w:ind w:firstLine="560"/>
        <w:rPr>
          <w:szCs w:val="28"/>
        </w:rPr>
      </w:pPr>
      <w:r>
        <w:rPr>
          <w:szCs w:val="28"/>
        </w:rPr>
        <w:t>（2）</w:t>
      </w:r>
      <w:r>
        <w:rPr>
          <w:b/>
          <w:szCs w:val="28"/>
        </w:rPr>
        <w:t>排气量：</w:t>
      </w:r>
      <w:r>
        <w:rPr>
          <w:rFonts w:hint="eastAsia"/>
          <w:szCs w:val="28"/>
        </w:rPr>
        <w:t>乙二醇合成反应釜驰放气、闪蒸不凝气和乙二醇精馏系统真空泵尾气依据设计数值确定。</w:t>
      </w:r>
    </w:p>
    <w:p>
      <w:pPr>
        <w:pStyle w:val="27"/>
        <w:ind w:firstLine="560"/>
        <w:rPr>
          <w:szCs w:val="28"/>
        </w:rPr>
      </w:pPr>
      <w:r>
        <w:rPr>
          <w:szCs w:val="28"/>
        </w:rPr>
        <w:t>（3）</w:t>
      </w:r>
      <w:r>
        <w:rPr>
          <w:b/>
          <w:szCs w:val="28"/>
        </w:rPr>
        <w:t>排放浓度：</w:t>
      </w:r>
      <w:r>
        <w:rPr>
          <w:szCs w:val="28"/>
        </w:rPr>
        <w:t>根据</w:t>
      </w:r>
      <w:r>
        <w:rPr>
          <w:rFonts w:hint="eastAsia"/>
          <w:szCs w:val="28"/>
        </w:rPr>
        <w:t>装置去除效率及</w:t>
      </w:r>
      <w:r>
        <w:rPr>
          <w:szCs w:val="28"/>
        </w:rPr>
        <w:t>项目设计资料确定</w:t>
      </w:r>
      <w:r>
        <w:rPr>
          <w:rFonts w:hint="eastAsia"/>
          <w:szCs w:val="28"/>
        </w:rPr>
        <w:t>。</w:t>
      </w:r>
    </w:p>
    <w:p>
      <w:pPr>
        <w:pStyle w:val="33"/>
        <w:adjustRightInd w:val="0"/>
        <w:snapToGrid w:val="0"/>
      </w:pPr>
      <w:r>
        <w:rPr>
          <w:rFonts w:hint="eastAsia"/>
        </w:rPr>
        <w:t>3.5.1.2</w:t>
      </w:r>
      <w:r>
        <w:t xml:space="preserve"> </w:t>
      </w:r>
      <w:r>
        <w:rPr>
          <w:rFonts w:hint="eastAsia"/>
        </w:rPr>
        <w:t>废气产排分析</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（1）G</w:t>
      </w:r>
      <w:r>
        <w:rPr>
          <w:rStyle w:val="37"/>
          <w:rFonts w:eastAsiaTheme="minorEastAsia"/>
          <w:sz w:val="28"/>
          <w:szCs w:val="28"/>
          <w:vertAlign w:val="subscript"/>
          <w:lang w:val="zh-TW"/>
        </w:rPr>
        <w:t>1</w:t>
      </w:r>
      <w:r>
        <w:rPr>
          <w:rStyle w:val="37"/>
          <w:rFonts w:eastAsiaTheme="minorEastAsia"/>
          <w:sz w:val="28"/>
          <w:szCs w:val="28"/>
          <w:lang w:val="zh-TW"/>
        </w:rPr>
        <w:t xml:space="preserve"> </w:t>
      </w:r>
      <w:r>
        <w:rPr>
          <w:rStyle w:val="37"/>
          <w:rFonts w:hint="eastAsia" w:eastAsiaTheme="minorEastAsia"/>
          <w:sz w:val="28"/>
          <w:szCs w:val="28"/>
          <w:lang w:val="zh-TW"/>
        </w:rPr>
        <w:t>反应釜氢气驰放气</w:t>
      </w:r>
    </w:p>
    <w:p>
      <w:pPr>
        <w:pStyle w:val="45"/>
        <w:ind w:firstLine="560"/>
        <w:rPr>
          <w:szCs w:val="28"/>
        </w:rPr>
      </w:pPr>
      <w:r>
        <w:rPr>
          <w:szCs w:val="28"/>
        </w:rPr>
        <w:t>项目秸秆糖水溶液和H</w:t>
      </w:r>
      <w:r>
        <w:rPr>
          <w:szCs w:val="28"/>
          <w:vertAlign w:val="subscript"/>
        </w:rPr>
        <w:t>2</w:t>
      </w:r>
      <w:r>
        <w:rPr>
          <w:szCs w:val="28"/>
        </w:rPr>
        <w:t>在高温、高压和催化剂条件下反应生成粗乙二醇，在反应过程中会产生氢气驰放气，为避免驰放气影响反应速度和进度、降低生产效率等，这部分驰放气须定期排放</w:t>
      </w:r>
      <w:r>
        <w:rPr>
          <w:rFonts w:hint="eastAsia"/>
          <w:szCs w:val="28"/>
        </w:rPr>
        <w:t>。</w:t>
      </w:r>
      <w:r>
        <w:rPr>
          <w:kern w:val="0"/>
          <w:szCs w:val="28"/>
          <w:lang w:eastAsia="zh-TW"/>
        </w:rPr>
        <w:t>根据设计资料，正常工况下驰放气排气量为</w:t>
      </w:r>
      <w:r>
        <w:rPr>
          <w:kern w:val="0"/>
          <w:szCs w:val="28"/>
        </w:rPr>
        <w:t>100Nm</w:t>
      </w:r>
      <w:r>
        <w:rPr>
          <w:kern w:val="0"/>
          <w:szCs w:val="28"/>
          <w:vertAlign w:val="superscript"/>
        </w:rPr>
        <w:t>3</w:t>
      </w:r>
      <w:r>
        <w:rPr>
          <w:kern w:val="0"/>
          <w:szCs w:val="28"/>
        </w:rPr>
        <w:t>/h，主要成分是氢气，占比为99.95mol%</w:t>
      </w:r>
      <w:r>
        <w:rPr>
          <w:rFonts w:hint="eastAsia"/>
          <w:kern w:val="0"/>
          <w:szCs w:val="28"/>
        </w:rPr>
        <w:t>，</w:t>
      </w:r>
      <w:r>
        <w:rPr>
          <w:szCs w:val="28"/>
        </w:rPr>
        <w:t>送煤化工厂区现有火炬系统处理。</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w:t>
      </w:r>
      <w:r>
        <w:rPr>
          <w:rStyle w:val="37"/>
          <w:rFonts w:eastAsia="PMingLiU"/>
          <w:sz w:val="28"/>
          <w:szCs w:val="28"/>
          <w:lang w:val="zh-TW" w:eastAsia="zh-TW"/>
        </w:rPr>
        <w:t>2</w:t>
      </w:r>
      <w:r>
        <w:rPr>
          <w:rStyle w:val="37"/>
          <w:rFonts w:eastAsiaTheme="minorEastAsia"/>
          <w:sz w:val="28"/>
          <w:szCs w:val="28"/>
          <w:lang w:val="zh-TW"/>
        </w:rPr>
        <w:t>）G</w:t>
      </w:r>
      <w:r>
        <w:rPr>
          <w:rStyle w:val="37"/>
          <w:rFonts w:eastAsia="PMingLiU"/>
          <w:sz w:val="28"/>
          <w:szCs w:val="28"/>
          <w:vertAlign w:val="subscript"/>
          <w:lang w:val="zh-TW" w:eastAsia="zh-TW"/>
        </w:rPr>
        <w:t>2</w:t>
      </w:r>
      <w:r>
        <w:rPr>
          <w:rStyle w:val="37"/>
          <w:rFonts w:eastAsiaTheme="minorEastAsia"/>
          <w:sz w:val="28"/>
          <w:szCs w:val="28"/>
          <w:lang w:val="zh-TW"/>
        </w:rPr>
        <w:t xml:space="preserve"> </w:t>
      </w:r>
      <w:r>
        <w:rPr>
          <w:rStyle w:val="37"/>
          <w:rFonts w:hint="eastAsia" w:eastAsiaTheme="minorEastAsia"/>
          <w:sz w:val="28"/>
          <w:szCs w:val="28"/>
          <w:lang w:val="zh-TW"/>
        </w:rPr>
        <w:t>闪蒸不凝气</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项目合成生成的粗乙二醇先后经高压闪蒸分离和低压闪蒸分离，产生的闪蒸汽</w:t>
      </w:r>
      <w:r>
        <w:rPr>
          <w:rFonts w:ascii="Times New Roman" w:hAnsi="Times New Roman"/>
          <w:kern w:val="0"/>
          <w:sz w:val="28"/>
          <w:szCs w:val="28"/>
        </w:rPr>
        <w:t>进入闪蒸汽冷凝器冷凝</w:t>
      </w:r>
      <w:r>
        <w:rPr>
          <w:rFonts w:hint="eastAsia" w:ascii="Times New Roman" w:hAnsi="Times New Roman"/>
          <w:kern w:val="0"/>
          <w:sz w:val="28"/>
          <w:szCs w:val="28"/>
        </w:rPr>
        <w:t>，该过程会产生少量的不凝气。</w:t>
      </w:r>
      <w:r>
        <w:rPr>
          <w:rFonts w:ascii="Times New Roman" w:hAnsi="Times New Roman"/>
          <w:kern w:val="0"/>
          <w:sz w:val="28"/>
          <w:szCs w:val="28"/>
          <w:lang w:eastAsia="zh-TW"/>
        </w:rPr>
        <w:t>根据</w:t>
      </w:r>
      <w:r>
        <w:rPr>
          <w:rFonts w:hint="eastAsia" w:ascii="Times New Roman" w:hAnsi="Times New Roman"/>
          <w:kern w:val="0"/>
          <w:sz w:val="28"/>
          <w:szCs w:val="28"/>
          <w:lang w:eastAsia="zh-TW"/>
        </w:rPr>
        <w:t>物料衡算数据，这部分闪蒸不凝气产生量约</w:t>
      </w:r>
      <w:r>
        <w:rPr>
          <w:rFonts w:hint="eastAsia" w:ascii="Times New Roman" w:hAnsi="Times New Roman"/>
          <w:kern w:val="0"/>
          <w:sz w:val="28"/>
          <w:szCs w:val="28"/>
        </w:rPr>
        <w:t>0</w:t>
      </w:r>
      <w:r>
        <w:rPr>
          <w:rFonts w:ascii="Times New Roman" w:hAnsi="Times New Roman"/>
          <w:kern w:val="0"/>
          <w:sz w:val="28"/>
          <w:szCs w:val="28"/>
        </w:rPr>
        <w:t>.11</w:t>
      </w:r>
      <w:r>
        <w:rPr>
          <w:rFonts w:hint="eastAsia" w:ascii="Times New Roman" w:hAnsi="Times New Roman"/>
          <w:kern w:val="0"/>
          <w:sz w:val="28"/>
          <w:szCs w:val="28"/>
        </w:rPr>
        <w:t>kg</w:t>
      </w:r>
      <w:r>
        <w:rPr>
          <w:rFonts w:ascii="Times New Roman" w:hAnsi="Times New Roman"/>
          <w:kern w:val="0"/>
          <w:sz w:val="28"/>
          <w:szCs w:val="28"/>
        </w:rPr>
        <w:t>/h</w:t>
      </w:r>
      <w:r>
        <w:rPr>
          <w:rFonts w:hint="eastAsia" w:ascii="Times New Roman" w:hAnsi="Times New Roman"/>
          <w:kern w:val="0"/>
          <w:sz w:val="28"/>
          <w:szCs w:val="28"/>
        </w:rPr>
        <w:t>，主要是醇类物质，送煤化工厂区现有火炬系统处理。</w:t>
      </w:r>
    </w:p>
    <w:p>
      <w:pPr>
        <w:pStyle w:val="9"/>
        <w:spacing w:before="0" w:after="0" w:line="520" w:lineRule="exact"/>
        <w:ind w:firstLine="562" w:firstLineChars="200"/>
        <w:rPr>
          <w:rStyle w:val="37"/>
          <w:rFonts w:eastAsiaTheme="minorEastAsia"/>
          <w:sz w:val="28"/>
          <w:szCs w:val="28"/>
          <w:lang w:val="zh-TW"/>
        </w:rPr>
      </w:pPr>
      <w:r>
        <w:rPr>
          <w:rStyle w:val="37"/>
          <w:rFonts w:eastAsiaTheme="minorEastAsia"/>
          <w:sz w:val="28"/>
          <w:szCs w:val="28"/>
          <w:lang w:val="zh-TW"/>
        </w:rPr>
        <w:t>（</w:t>
      </w:r>
      <w:r>
        <w:rPr>
          <w:rStyle w:val="37"/>
          <w:rFonts w:eastAsia="PMingLiU"/>
          <w:sz w:val="28"/>
          <w:szCs w:val="28"/>
          <w:lang w:val="zh-TW" w:eastAsia="zh-TW"/>
        </w:rPr>
        <w:t>3</w:t>
      </w:r>
      <w:r>
        <w:rPr>
          <w:rStyle w:val="37"/>
          <w:rFonts w:eastAsiaTheme="minorEastAsia"/>
          <w:sz w:val="28"/>
          <w:szCs w:val="28"/>
          <w:lang w:val="zh-TW"/>
        </w:rPr>
        <w:t>）G</w:t>
      </w:r>
      <w:r>
        <w:rPr>
          <w:rStyle w:val="37"/>
          <w:rFonts w:eastAsia="PMingLiU"/>
          <w:sz w:val="28"/>
          <w:szCs w:val="28"/>
          <w:vertAlign w:val="subscript"/>
          <w:lang w:val="zh-TW" w:eastAsia="zh-TW"/>
        </w:rPr>
        <w:t>3</w:t>
      </w:r>
      <w:r>
        <w:rPr>
          <w:rStyle w:val="37"/>
          <w:rFonts w:eastAsiaTheme="minorEastAsia"/>
          <w:sz w:val="28"/>
          <w:szCs w:val="28"/>
          <w:lang w:val="zh-TW"/>
        </w:rPr>
        <w:t xml:space="preserve"> </w:t>
      </w:r>
      <w:r>
        <w:rPr>
          <w:rStyle w:val="37"/>
          <w:rFonts w:hint="eastAsia" w:eastAsiaTheme="minorEastAsia"/>
          <w:sz w:val="28"/>
          <w:szCs w:val="28"/>
          <w:lang w:val="zh-TW"/>
        </w:rPr>
        <w:t>真空泵尾气</w:t>
      </w:r>
    </w:p>
    <w:p>
      <w:pPr>
        <w:spacing w:line="520" w:lineRule="exact"/>
        <w:ind w:firstLine="570"/>
        <w:rPr>
          <w:rFonts w:ascii="Times New Roman" w:hAnsi="Times New Roman"/>
          <w:kern w:val="0"/>
          <w:sz w:val="28"/>
          <w:szCs w:val="28"/>
        </w:rPr>
      </w:pPr>
      <w:r>
        <w:rPr>
          <w:rFonts w:hint="eastAsia" w:ascii="Times New Roman" w:hAnsi="Times New Roman"/>
          <w:kern w:val="0"/>
          <w:sz w:val="28"/>
          <w:szCs w:val="28"/>
        </w:rPr>
        <w:t>乙二醇精馏工序采用负压操作，真空泵尾气主要来自</w:t>
      </w:r>
      <w:r>
        <w:rPr>
          <w:rFonts w:ascii="Times New Roman" w:hAnsi="Times New Roman"/>
          <w:kern w:val="0"/>
          <w:sz w:val="28"/>
          <w:szCs w:val="28"/>
        </w:rPr>
        <w:t>脱轻塔</w:t>
      </w:r>
      <w:r>
        <w:rPr>
          <w:rFonts w:hint="eastAsia" w:ascii="Times New Roman" w:hAnsi="Times New Roman"/>
          <w:kern w:val="0"/>
          <w:sz w:val="28"/>
          <w:szCs w:val="28"/>
        </w:rPr>
        <w:t>、</w:t>
      </w:r>
      <w:r>
        <w:rPr>
          <w:rFonts w:ascii="Times New Roman" w:hAnsi="Times New Roman"/>
          <w:kern w:val="0"/>
          <w:sz w:val="28"/>
          <w:szCs w:val="28"/>
        </w:rPr>
        <w:t>丙二醇精制塔</w:t>
      </w:r>
      <w:r>
        <w:rPr>
          <w:rFonts w:hint="eastAsia" w:ascii="Times New Roman" w:hAnsi="Times New Roman"/>
          <w:kern w:val="0"/>
          <w:sz w:val="28"/>
          <w:szCs w:val="28"/>
        </w:rPr>
        <w:t>、</w:t>
      </w:r>
      <w:r>
        <w:rPr>
          <w:rFonts w:ascii="Times New Roman" w:hAnsi="Times New Roman"/>
          <w:kern w:val="0"/>
          <w:sz w:val="28"/>
          <w:szCs w:val="28"/>
        </w:rPr>
        <w:t>脱重塔</w:t>
      </w:r>
      <w:r>
        <w:rPr>
          <w:rFonts w:hint="eastAsia" w:ascii="Times New Roman" w:hAnsi="Times New Roman"/>
          <w:kern w:val="0"/>
          <w:sz w:val="28"/>
          <w:szCs w:val="28"/>
        </w:rPr>
        <w:t>和</w:t>
      </w:r>
      <w:r>
        <w:rPr>
          <w:rFonts w:ascii="Times New Roman" w:hAnsi="Times New Roman"/>
          <w:kern w:val="0"/>
          <w:sz w:val="28"/>
          <w:szCs w:val="28"/>
        </w:rPr>
        <w:t>乙二醇精制塔</w:t>
      </w:r>
      <w:r>
        <w:rPr>
          <w:rFonts w:hint="eastAsia" w:ascii="Times New Roman" w:hAnsi="Times New Roman"/>
          <w:kern w:val="0"/>
          <w:sz w:val="28"/>
          <w:szCs w:val="28"/>
        </w:rPr>
        <w:t>的塔顶不凝气，项目中试装置设置</w:t>
      </w:r>
      <w:r>
        <w:rPr>
          <w:rFonts w:ascii="Times New Roman" w:hAnsi="Times New Roman"/>
          <w:kern w:val="0"/>
          <w:sz w:val="28"/>
          <w:szCs w:val="28"/>
        </w:rPr>
        <w:t>尾气洗涤塔，</w:t>
      </w:r>
      <w:r>
        <w:rPr>
          <w:rFonts w:hint="eastAsia" w:ascii="Times New Roman" w:hAnsi="Times New Roman"/>
          <w:kern w:val="0"/>
          <w:sz w:val="28"/>
          <w:szCs w:val="28"/>
        </w:rPr>
        <w:t>鉴于醇类物质成分复杂，可能含有少量的高级醇，评价建议尾气洗涤塔后续设置一台活性炭吸附罐。</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根据设计资料，各</w:t>
      </w:r>
      <w:bookmarkStart w:id="74" w:name="_Hlk66374249"/>
      <w:r>
        <w:rPr>
          <w:rFonts w:ascii="Times New Roman" w:hAnsi="Times New Roman"/>
          <w:kern w:val="0"/>
          <w:sz w:val="28"/>
          <w:szCs w:val="28"/>
        </w:rPr>
        <w:t>真空泵尾气</w:t>
      </w:r>
      <w:bookmarkEnd w:id="74"/>
      <w:r>
        <w:rPr>
          <w:rFonts w:ascii="Times New Roman" w:hAnsi="Times New Roman"/>
          <w:kern w:val="0"/>
          <w:sz w:val="28"/>
          <w:szCs w:val="28"/>
        </w:rPr>
        <w:t>排放量合计约100Nm</w:t>
      </w:r>
      <w:r>
        <w:rPr>
          <w:rFonts w:ascii="Times New Roman" w:hAnsi="Times New Roman"/>
          <w:kern w:val="0"/>
          <w:sz w:val="28"/>
          <w:szCs w:val="28"/>
          <w:vertAlign w:val="superscript"/>
        </w:rPr>
        <w:t>3</w:t>
      </w:r>
      <w:r>
        <w:rPr>
          <w:rFonts w:ascii="Times New Roman" w:hAnsi="Times New Roman"/>
          <w:kern w:val="0"/>
          <w:sz w:val="28"/>
          <w:szCs w:val="28"/>
        </w:rPr>
        <w:t>/h，其主要成分是氮气和醇类物质，占比分别为氮气90mol%、醇类10mol%</w:t>
      </w:r>
      <w:r>
        <w:rPr>
          <w:rFonts w:hint="eastAsia" w:ascii="Times New Roman" w:hAnsi="Times New Roman"/>
          <w:kern w:val="0"/>
          <w:sz w:val="28"/>
          <w:szCs w:val="28"/>
        </w:rPr>
        <w:t>。根据物料衡算，项目真空泵尾气产生量约1</w:t>
      </w:r>
      <w:r>
        <w:rPr>
          <w:rFonts w:ascii="Times New Roman" w:hAnsi="Times New Roman"/>
          <w:kern w:val="0"/>
          <w:sz w:val="28"/>
          <w:szCs w:val="28"/>
        </w:rPr>
        <w:t>12.54</w:t>
      </w:r>
      <w:r>
        <w:rPr>
          <w:rFonts w:hint="eastAsia" w:ascii="Times New Roman" w:hAnsi="Times New Roman"/>
          <w:kern w:val="0"/>
          <w:sz w:val="28"/>
          <w:szCs w:val="28"/>
        </w:rPr>
        <w:t>kg/h，其中氮气1</w:t>
      </w:r>
      <w:r>
        <w:rPr>
          <w:rFonts w:ascii="Times New Roman" w:hAnsi="Times New Roman"/>
          <w:kern w:val="0"/>
          <w:sz w:val="28"/>
          <w:szCs w:val="28"/>
        </w:rPr>
        <w:t>12.5</w:t>
      </w:r>
      <w:r>
        <w:rPr>
          <w:rFonts w:hint="eastAsia" w:ascii="Times New Roman" w:hAnsi="Times New Roman"/>
          <w:kern w:val="0"/>
          <w:sz w:val="28"/>
          <w:szCs w:val="28"/>
        </w:rPr>
        <w:t>kg/h、醇类物质0</w:t>
      </w:r>
      <w:r>
        <w:rPr>
          <w:rFonts w:ascii="Times New Roman" w:hAnsi="Times New Roman"/>
          <w:kern w:val="0"/>
          <w:sz w:val="28"/>
          <w:szCs w:val="28"/>
        </w:rPr>
        <w:t>.04</w:t>
      </w:r>
      <w:r>
        <w:rPr>
          <w:rFonts w:hint="eastAsia" w:ascii="Times New Roman" w:hAnsi="Times New Roman"/>
          <w:kern w:val="0"/>
          <w:sz w:val="28"/>
          <w:szCs w:val="28"/>
        </w:rPr>
        <w:t>kg/h</w:t>
      </w:r>
      <w:r>
        <w:rPr>
          <w:rFonts w:ascii="Times New Roman" w:hAnsi="Times New Roman"/>
          <w:kern w:val="0"/>
          <w:sz w:val="28"/>
          <w:szCs w:val="28"/>
        </w:rPr>
        <w:t>（乙二醇3.17</w:t>
      </w:r>
      <w:r>
        <w:rPr>
          <w:rFonts w:ascii="Times New Roman" w:hAnsi="Times New Roman"/>
          <w:sz w:val="28"/>
          <w:szCs w:val="28"/>
          <w:shd w:val="clear" w:color="auto" w:fill="FFFFFF"/>
        </w:rPr>
        <w:t>×10</w:t>
      </w:r>
      <w:r>
        <w:rPr>
          <w:rFonts w:ascii="Times New Roman" w:hAnsi="Times New Roman"/>
          <w:sz w:val="28"/>
          <w:szCs w:val="28"/>
          <w:shd w:val="clear" w:color="auto" w:fill="FFFFFF"/>
          <w:vertAlign w:val="superscript"/>
        </w:rPr>
        <w:t>-2</w:t>
      </w:r>
      <w:r>
        <w:rPr>
          <w:rFonts w:ascii="Times New Roman" w:hAnsi="Times New Roman"/>
          <w:sz w:val="28"/>
          <w:szCs w:val="28"/>
          <w:shd w:val="clear" w:color="auto" w:fill="FFFFFF"/>
        </w:rPr>
        <w:t>kg/h</w:t>
      </w:r>
      <w:r>
        <w:rPr>
          <w:rFonts w:ascii="Times New Roman" w:hAnsi="Times New Roman"/>
          <w:kern w:val="0"/>
          <w:sz w:val="28"/>
          <w:szCs w:val="28"/>
        </w:rPr>
        <w:t>、丙二醇8.3</w:t>
      </w:r>
      <w:r>
        <w:rPr>
          <w:rFonts w:ascii="Times New Roman" w:hAnsi="Times New Roman"/>
          <w:sz w:val="28"/>
          <w:szCs w:val="28"/>
          <w:shd w:val="clear" w:color="auto" w:fill="FFFFFF"/>
        </w:rPr>
        <w:t>×10</w:t>
      </w:r>
      <w:r>
        <w:rPr>
          <w:rFonts w:ascii="Times New Roman" w:hAnsi="Times New Roman"/>
          <w:sz w:val="28"/>
          <w:szCs w:val="28"/>
          <w:shd w:val="clear" w:color="auto" w:fill="FFFFFF"/>
          <w:vertAlign w:val="superscript"/>
        </w:rPr>
        <w:t>-3</w:t>
      </w:r>
      <w:r>
        <w:rPr>
          <w:rFonts w:ascii="Times New Roman" w:hAnsi="Times New Roman"/>
          <w:sz w:val="28"/>
          <w:szCs w:val="28"/>
          <w:shd w:val="clear" w:color="auto" w:fill="FFFFFF"/>
        </w:rPr>
        <w:t>kg/h</w:t>
      </w:r>
      <w:r>
        <w:rPr>
          <w:rFonts w:ascii="Times New Roman" w:hAnsi="Times New Roman"/>
          <w:kern w:val="0"/>
          <w:sz w:val="28"/>
          <w:szCs w:val="28"/>
        </w:rPr>
        <w:t>）</w:t>
      </w:r>
      <w:r>
        <w:rPr>
          <w:rFonts w:hint="eastAsia" w:ascii="Times New Roman" w:hAnsi="Times New Roman"/>
          <w:kern w:val="0"/>
          <w:sz w:val="28"/>
          <w:szCs w:val="28"/>
        </w:rPr>
        <w:t>。此次尾气洗涤塔+活性炭吸附罐对醇类物质去除效率按</w:t>
      </w:r>
      <w:r>
        <w:rPr>
          <w:rFonts w:ascii="Times New Roman" w:hAnsi="Times New Roman"/>
          <w:kern w:val="0"/>
          <w:sz w:val="28"/>
          <w:szCs w:val="28"/>
        </w:rPr>
        <w:t>85</w:t>
      </w:r>
      <w:r>
        <w:rPr>
          <w:rFonts w:hint="eastAsia" w:ascii="Times New Roman" w:hAnsi="Times New Roman"/>
          <w:kern w:val="0"/>
          <w:sz w:val="28"/>
          <w:szCs w:val="28"/>
        </w:rPr>
        <w:t>%计，则污染物排放情况为：乙二醇</w:t>
      </w:r>
      <w:r>
        <w:rPr>
          <w:rFonts w:ascii="Times New Roman" w:hAnsi="Times New Roman"/>
          <w:kern w:val="0"/>
          <w:sz w:val="28"/>
          <w:szCs w:val="28"/>
        </w:rPr>
        <w:t>4.76</w:t>
      </w:r>
      <w:r>
        <w:rPr>
          <w:rFonts w:ascii="Times New Roman" w:hAnsi="Times New Roman"/>
          <w:sz w:val="28"/>
          <w:szCs w:val="28"/>
          <w:shd w:val="clear" w:color="auto" w:fill="FFFFFF"/>
        </w:rPr>
        <w:t>×10</w:t>
      </w:r>
      <w:r>
        <w:rPr>
          <w:rFonts w:ascii="Times New Roman" w:hAnsi="Times New Roman"/>
          <w:sz w:val="28"/>
          <w:szCs w:val="28"/>
          <w:shd w:val="clear" w:color="auto" w:fill="FFFFFF"/>
          <w:vertAlign w:val="superscript"/>
        </w:rPr>
        <w:t>-3</w:t>
      </w:r>
      <w:r>
        <w:rPr>
          <w:rFonts w:ascii="Times New Roman" w:hAnsi="Times New Roman"/>
          <w:sz w:val="28"/>
          <w:szCs w:val="28"/>
          <w:shd w:val="clear" w:color="auto" w:fill="FFFFFF"/>
        </w:rPr>
        <w:t>kg/h</w:t>
      </w:r>
      <w:r>
        <w:rPr>
          <w:rFonts w:hint="eastAsia" w:ascii="Times New Roman" w:hAnsi="Times New Roman"/>
          <w:kern w:val="0"/>
          <w:sz w:val="28"/>
          <w:szCs w:val="28"/>
        </w:rPr>
        <w:t>、</w:t>
      </w:r>
      <w:r>
        <w:rPr>
          <w:rFonts w:ascii="Times New Roman" w:hAnsi="Times New Roman"/>
          <w:kern w:val="0"/>
          <w:sz w:val="28"/>
          <w:szCs w:val="28"/>
        </w:rPr>
        <w:t>47.6</w:t>
      </w:r>
      <w:r>
        <w:rPr>
          <w:rFonts w:hint="eastAsia" w:ascii="Times New Roman" w:hAnsi="Times New Roman"/>
          <w:kern w:val="0"/>
          <w:sz w:val="28"/>
          <w:szCs w:val="28"/>
        </w:rPr>
        <w:t>mg</w:t>
      </w:r>
      <w:r>
        <w:rPr>
          <w:rFonts w:ascii="Times New Roman" w:hAnsi="Times New Roman"/>
          <w:kern w:val="0"/>
          <w:sz w:val="28"/>
          <w:szCs w:val="28"/>
        </w:rPr>
        <w:t>/Nm</w:t>
      </w:r>
      <w:r>
        <w:rPr>
          <w:rFonts w:ascii="Times New Roman" w:hAnsi="Times New Roman"/>
          <w:kern w:val="0"/>
          <w:sz w:val="28"/>
          <w:szCs w:val="28"/>
          <w:vertAlign w:val="superscript"/>
        </w:rPr>
        <w:t>3</w:t>
      </w:r>
      <w:r>
        <w:rPr>
          <w:rFonts w:hint="eastAsia" w:ascii="Times New Roman" w:hAnsi="Times New Roman"/>
          <w:kern w:val="0"/>
          <w:sz w:val="28"/>
          <w:szCs w:val="28"/>
        </w:rPr>
        <w:t>、丙二醇</w:t>
      </w:r>
      <w:r>
        <w:rPr>
          <w:rFonts w:ascii="Times New Roman" w:hAnsi="Times New Roman"/>
          <w:kern w:val="0"/>
          <w:sz w:val="28"/>
          <w:szCs w:val="28"/>
        </w:rPr>
        <w:t>1.25</w:t>
      </w:r>
      <w:r>
        <w:rPr>
          <w:rFonts w:ascii="Times New Roman" w:hAnsi="Times New Roman"/>
          <w:sz w:val="28"/>
          <w:szCs w:val="28"/>
          <w:shd w:val="clear" w:color="auto" w:fill="FFFFFF"/>
        </w:rPr>
        <w:t>×10</w:t>
      </w:r>
      <w:r>
        <w:rPr>
          <w:rFonts w:ascii="Times New Roman" w:hAnsi="Times New Roman"/>
          <w:sz w:val="28"/>
          <w:szCs w:val="28"/>
          <w:shd w:val="clear" w:color="auto" w:fill="FFFFFF"/>
          <w:vertAlign w:val="superscript"/>
        </w:rPr>
        <w:t>-3</w:t>
      </w:r>
      <w:r>
        <w:rPr>
          <w:rFonts w:ascii="Times New Roman" w:hAnsi="Times New Roman"/>
          <w:sz w:val="28"/>
          <w:szCs w:val="28"/>
          <w:shd w:val="clear" w:color="auto" w:fill="FFFFFF"/>
        </w:rPr>
        <w:t>kg/h</w:t>
      </w:r>
      <w:r>
        <w:rPr>
          <w:rFonts w:hint="eastAsia" w:ascii="Times New Roman" w:hAnsi="Times New Roman"/>
          <w:kern w:val="0"/>
          <w:sz w:val="28"/>
          <w:szCs w:val="28"/>
        </w:rPr>
        <w:t>、</w:t>
      </w:r>
      <w:r>
        <w:rPr>
          <w:rFonts w:ascii="Times New Roman" w:hAnsi="Times New Roman"/>
          <w:kern w:val="0"/>
          <w:sz w:val="28"/>
          <w:szCs w:val="28"/>
        </w:rPr>
        <w:t>12.5</w:t>
      </w:r>
      <w:r>
        <w:rPr>
          <w:rFonts w:hint="eastAsia" w:ascii="Times New Roman" w:hAnsi="Times New Roman"/>
          <w:kern w:val="0"/>
          <w:sz w:val="28"/>
          <w:szCs w:val="28"/>
        </w:rPr>
        <w:t>mg</w:t>
      </w:r>
      <w:r>
        <w:rPr>
          <w:rFonts w:ascii="Times New Roman" w:hAnsi="Times New Roman"/>
          <w:kern w:val="0"/>
          <w:sz w:val="28"/>
          <w:szCs w:val="28"/>
        </w:rPr>
        <w:t>/Nm</w:t>
      </w:r>
      <w:r>
        <w:rPr>
          <w:rFonts w:ascii="Times New Roman" w:hAnsi="Times New Roman"/>
          <w:kern w:val="0"/>
          <w:sz w:val="28"/>
          <w:szCs w:val="28"/>
          <w:vertAlign w:val="superscript"/>
        </w:rPr>
        <w:t>3</w:t>
      </w:r>
      <w:r>
        <w:rPr>
          <w:rFonts w:hint="eastAsia" w:ascii="Times New Roman" w:hAnsi="Times New Roman"/>
          <w:kern w:val="0"/>
          <w:sz w:val="28"/>
          <w:szCs w:val="28"/>
        </w:rPr>
        <w:t>。参照</w:t>
      </w:r>
      <w:r>
        <w:rPr>
          <w:rFonts w:ascii="Times New Roman" w:hAnsi="Times New Roman" w:eastAsiaTheme="minorEastAsia"/>
          <w:bCs/>
          <w:spacing w:val="2"/>
          <w:sz w:val="28"/>
          <w:szCs w:val="28"/>
          <w:lang w:val="zh-CN" w:eastAsia="zh-CN"/>
        </w:rPr>
        <w:t>《</w:t>
      </w:r>
      <w:r>
        <w:rPr>
          <w:rFonts w:ascii="Times New Roman" w:hAnsi="Times New Roman" w:eastAsiaTheme="minorEastAsia"/>
          <w:bCs/>
          <w:spacing w:val="2"/>
          <w:sz w:val="28"/>
          <w:szCs w:val="28"/>
          <w:lang w:val="zh-CN"/>
        </w:rPr>
        <w:t>石油化学工业污染物排放标准</w:t>
      </w:r>
      <w:r>
        <w:rPr>
          <w:rFonts w:ascii="Times New Roman" w:hAnsi="Times New Roman" w:eastAsiaTheme="minorEastAsia"/>
          <w:bCs/>
          <w:spacing w:val="2"/>
          <w:sz w:val="28"/>
          <w:szCs w:val="28"/>
          <w:lang w:val="zh-CN" w:eastAsia="zh-CN"/>
        </w:rPr>
        <w:t>》（GB</w:t>
      </w:r>
      <w:r>
        <w:rPr>
          <w:rFonts w:ascii="Times New Roman" w:hAnsi="Times New Roman" w:eastAsiaTheme="minorEastAsia"/>
          <w:bCs/>
          <w:spacing w:val="2"/>
          <w:sz w:val="28"/>
          <w:szCs w:val="28"/>
          <w:lang w:val="zh-CN"/>
        </w:rPr>
        <w:t>31571</w:t>
      </w:r>
      <w:r>
        <w:rPr>
          <w:rFonts w:ascii="Times New Roman" w:hAnsi="Times New Roman" w:eastAsiaTheme="minorEastAsia"/>
          <w:bCs/>
          <w:spacing w:val="2"/>
          <w:sz w:val="28"/>
          <w:szCs w:val="28"/>
          <w:lang w:val="zh-CN" w:eastAsia="zh-CN"/>
        </w:rPr>
        <w:t>-</w:t>
      </w:r>
      <w:r>
        <w:rPr>
          <w:rFonts w:ascii="Times New Roman" w:hAnsi="Times New Roman" w:eastAsiaTheme="minorEastAsia"/>
          <w:bCs/>
          <w:spacing w:val="2"/>
          <w:sz w:val="28"/>
          <w:szCs w:val="28"/>
          <w:lang w:val="zh-CN"/>
        </w:rPr>
        <w:t>2015</w:t>
      </w:r>
      <w:r>
        <w:rPr>
          <w:rFonts w:ascii="Times New Roman" w:hAnsi="Times New Roman" w:eastAsiaTheme="minorEastAsia"/>
          <w:bCs/>
          <w:spacing w:val="2"/>
          <w:sz w:val="28"/>
          <w:szCs w:val="28"/>
          <w:lang w:val="zh-CN" w:eastAsia="zh-CN"/>
        </w:rPr>
        <w:t>）</w:t>
      </w:r>
      <w:r>
        <w:rPr>
          <w:rFonts w:hint="eastAsia" w:ascii="Times New Roman" w:hAnsi="Times New Roman" w:eastAsiaTheme="minorEastAsia"/>
          <w:bCs/>
          <w:spacing w:val="2"/>
          <w:sz w:val="28"/>
          <w:szCs w:val="28"/>
          <w:lang w:val="zh-CN"/>
        </w:rPr>
        <w:t>，项目乙二醇排放浓度可以满足</w:t>
      </w:r>
      <w:r>
        <w:rPr>
          <w:rFonts w:ascii="Times New Roman" w:hAnsi="Times New Roman" w:eastAsiaTheme="minorEastAsia"/>
          <w:bCs/>
          <w:snapToGrid w:val="0"/>
          <w:sz w:val="28"/>
          <w:szCs w:val="28"/>
        </w:rPr>
        <w:t>相关标准限值要求</w:t>
      </w:r>
      <w:r>
        <w:rPr>
          <w:rFonts w:hint="eastAsia" w:ascii="Times New Roman" w:hAnsi="Times New Roman" w:eastAsiaTheme="minorEastAsia"/>
          <w:bCs/>
          <w:snapToGrid w:val="0"/>
          <w:sz w:val="28"/>
          <w:szCs w:val="28"/>
        </w:rPr>
        <w:t>（乙二醇</w:t>
      </w:r>
      <w:r>
        <w:rPr>
          <w:rFonts w:ascii="Times New Roman" w:hAnsi="Times New Roman"/>
          <w:kern w:val="0"/>
          <w:sz w:val="28"/>
          <w:szCs w:val="28"/>
        </w:rPr>
        <w:t>50</w:t>
      </w:r>
      <w:r>
        <w:rPr>
          <w:rFonts w:hint="eastAsia" w:ascii="Times New Roman" w:hAnsi="Times New Roman"/>
          <w:kern w:val="0"/>
          <w:sz w:val="28"/>
          <w:szCs w:val="28"/>
        </w:rPr>
        <w:t>mg</w:t>
      </w:r>
      <w:r>
        <w:rPr>
          <w:rFonts w:ascii="Times New Roman" w:hAnsi="Times New Roman"/>
          <w:kern w:val="0"/>
          <w:sz w:val="28"/>
          <w:szCs w:val="28"/>
        </w:rPr>
        <w:t>/Nm</w:t>
      </w:r>
      <w:r>
        <w:rPr>
          <w:rFonts w:ascii="Times New Roman" w:hAnsi="Times New Roman"/>
          <w:kern w:val="0"/>
          <w:sz w:val="28"/>
          <w:szCs w:val="28"/>
          <w:vertAlign w:val="superscript"/>
        </w:rPr>
        <w:t>3</w:t>
      </w:r>
      <w:r>
        <w:rPr>
          <w:rFonts w:hint="eastAsia" w:ascii="Times New Roman" w:hAnsi="Times New Roman" w:eastAsiaTheme="minorEastAsia"/>
          <w:bCs/>
          <w:snapToGrid w:val="0"/>
          <w:sz w:val="28"/>
          <w:szCs w:val="28"/>
        </w:rPr>
        <w:t>）</w:t>
      </w:r>
      <w:r>
        <w:rPr>
          <w:rFonts w:ascii="Times New Roman" w:hAnsi="Times New Roman" w:eastAsiaTheme="minorEastAsia"/>
          <w:bCs/>
          <w:snapToGrid w:val="0"/>
          <w:sz w:val="28"/>
          <w:szCs w:val="28"/>
        </w:rPr>
        <w:t>。</w:t>
      </w:r>
    </w:p>
    <w:p>
      <w:pPr>
        <w:pStyle w:val="9"/>
        <w:spacing w:before="0" w:after="0" w:line="520" w:lineRule="exact"/>
        <w:ind w:firstLine="562" w:firstLineChars="200"/>
        <w:rPr>
          <w:rStyle w:val="37"/>
          <w:rFonts w:eastAsiaTheme="minorEastAsia"/>
          <w:sz w:val="28"/>
          <w:szCs w:val="28"/>
          <w:lang w:val="zh-TW" w:eastAsia="zh-TW"/>
        </w:rPr>
      </w:pPr>
      <w:r>
        <w:rPr>
          <w:rStyle w:val="37"/>
          <w:rFonts w:eastAsiaTheme="minorEastAsia"/>
          <w:sz w:val="28"/>
          <w:szCs w:val="28"/>
          <w:lang w:val="zh-TW"/>
        </w:rPr>
        <w:t>（</w:t>
      </w:r>
      <w:r>
        <w:rPr>
          <w:rStyle w:val="37"/>
          <w:rFonts w:eastAsia="PMingLiU"/>
          <w:sz w:val="28"/>
          <w:szCs w:val="28"/>
          <w:lang w:val="zh-TW" w:eastAsia="zh-TW"/>
        </w:rPr>
        <w:t>4</w:t>
      </w:r>
      <w:r>
        <w:rPr>
          <w:rStyle w:val="37"/>
          <w:rFonts w:eastAsiaTheme="minorEastAsia"/>
          <w:sz w:val="28"/>
          <w:szCs w:val="28"/>
          <w:lang w:val="zh-TW"/>
        </w:rPr>
        <w:t>）g</w:t>
      </w:r>
      <w:r>
        <w:rPr>
          <w:rStyle w:val="37"/>
          <w:rFonts w:eastAsiaTheme="minorEastAsia"/>
          <w:sz w:val="28"/>
          <w:szCs w:val="28"/>
          <w:vertAlign w:val="subscript"/>
          <w:lang w:val="zh-TW" w:eastAsia="zh-TW"/>
        </w:rPr>
        <w:t>1</w:t>
      </w:r>
      <w:r>
        <w:rPr>
          <w:rStyle w:val="37"/>
          <w:rFonts w:eastAsiaTheme="minorEastAsia"/>
          <w:sz w:val="28"/>
          <w:szCs w:val="28"/>
          <w:lang w:val="zh-TW" w:eastAsia="zh-TW"/>
        </w:rPr>
        <w:t>无组织废气</w:t>
      </w:r>
    </w:p>
    <w:p>
      <w:pPr>
        <w:spacing w:line="520" w:lineRule="exact"/>
        <w:ind w:firstLine="560" w:firstLineChars="200"/>
        <w:rPr>
          <w:rStyle w:val="37"/>
          <w:rFonts w:eastAsiaTheme="minorEastAsia"/>
          <w:bCs/>
          <w:sz w:val="28"/>
          <w:szCs w:val="28"/>
        </w:rPr>
      </w:pPr>
      <w:r>
        <w:rPr>
          <w:rStyle w:val="37"/>
          <w:rFonts w:hint="eastAsia" w:eastAsiaTheme="minorEastAsia"/>
          <w:bCs/>
          <w:sz w:val="28"/>
          <w:szCs w:val="28"/>
        </w:rPr>
        <w:t>本项目生产工艺均为密闭式工艺过程，且不设置单独的储运区域，项目无组织废气（g</w:t>
      </w:r>
      <w:r>
        <w:rPr>
          <w:rStyle w:val="37"/>
          <w:rFonts w:eastAsiaTheme="minorEastAsia"/>
          <w:bCs/>
          <w:sz w:val="28"/>
          <w:szCs w:val="28"/>
          <w:vertAlign w:val="subscript"/>
        </w:rPr>
        <w:t>1</w:t>
      </w:r>
      <w:r>
        <w:rPr>
          <w:rStyle w:val="37"/>
          <w:rFonts w:hint="eastAsia" w:eastAsiaTheme="minorEastAsia"/>
          <w:bCs/>
          <w:sz w:val="28"/>
          <w:szCs w:val="28"/>
        </w:rPr>
        <w:t>）主要是</w:t>
      </w:r>
      <w:r>
        <w:rPr>
          <w:rStyle w:val="37"/>
          <w:rFonts w:eastAsiaTheme="minorEastAsia"/>
          <w:bCs/>
          <w:sz w:val="28"/>
          <w:szCs w:val="28"/>
        </w:rPr>
        <w:t>装置区设备动静密封点泄漏或工艺过程造成的无组织排放。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装置区的泵、法兰等设备与管线组件动静密封点因跑冒滴漏产生的无组织排放根据《排污许可证申请与核发技术规范-石化工业》（HJ853-2017）中相关规定，该无组织废气产生量计算方法如下：</w:t>
      </w:r>
    </w:p>
    <w:p>
      <w:pPr>
        <w:jc w:val="center"/>
      </w:pPr>
      <w:r>
        <w:drawing>
          <wp:inline distT="0" distB="0" distL="0" distR="0">
            <wp:extent cx="2422525" cy="544830"/>
            <wp:effectExtent l="0" t="0" r="15875"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6"/>
                    <a:stretch>
                      <a:fillRect/>
                    </a:stretch>
                  </pic:blipFill>
                  <pic:spPr>
                    <a:xfrm>
                      <a:off x="0" y="0"/>
                      <a:ext cx="2523656" cy="567950"/>
                    </a:xfrm>
                    <a:prstGeom prst="rect">
                      <a:avLst/>
                    </a:prstGeom>
                  </pic:spPr>
                </pic:pic>
              </a:graphicData>
            </a:graphic>
          </wp:inline>
        </w:drawing>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式中：</w:t>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E</w:t>
      </w:r>
      <w:r>
        <w:rPr>
          <w:rFonts w:ascii="Times New Roman" w:hAnsi="Times New Roman" w:eastAsiaTheme="minorEastAsia"/>
          <w:sz w:val="28"/>
          <w:szCs w:val="28"/>
          <w:vertAlign w:val="subscript"/>
        </w:rPr>
        <w:t>设备</w:t>
      </w:r>
      <w:r>
        <w:rPr>
          <w:rFonts w:ascii="Times New Roman" w:hAnsi="Times New Roman" w:eastAsiaTheme="minorEastAsia"/>
          <w:sz w:val="28"/>
          <w:szCs w:val="28"/>
          <w:vertAlign w:val="subscript"/>
        </w:rPr>
        <w:tab/>
      </w:r>
      <w:r>
        <w:rPr>
          <w:rFonts w:ascii="Times New Roman" w:hAnsi="Times New Roman" w:eastAsiaTheme="minorEastAsia"/>
          <w:sz w:val="28"/>
          <w:szCs w:val="28"/>
        </w:rPr>
        <w:t>——设备与管线组件的VOCs年排放量，kg/a；</w:t>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t</w:t>
      </w:r>
      <w:r>
        <w:rPr>
          <w:rFonts w:ascii="Times New Roman" w:hAnsi="Times New Roman" w:eastAsiaTheme="minorEastAsia"/>
          <w:sz w:val="28"/>
          <w:szCs w:val="28"/>
          <w:vertAlign w:val="subscript"/>
        </w:rPr>
        <w:t>i</w:t>
      </w:r>
      <w:r>
        <w:rPr>
          <w:rFonts w:ascii="Times New Roman" w:hAnsi="Times New Roman" w:eastAsiaTheme="minorEastAsia"/>
          <w:sz w:val="28"/>
          <w:szCs w:val="28"/>
          <w:vertAlign w:val="subscript"/>
        </w:rPr>
        <w:tab/>
      </w:r>
      <w:r>
        <w:rPr>
          <w:rFonts w:ascii="Times New Roman" w:hAnsi="Times New Roman" w:eastAsiaTheme="minorEastAsia"/>
          <w:sz w:val="28"/>
          <w:szCs w:val="28"/>
        </w:rPr>
        <w:t>——密封点i的年运行时间，h/a；</w:t>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e</w:t>
      </w:r>
      <w:r>
        <w:rPr>
          <w:rFonts w:ascii="Times New Roman" w:hAnsi="Times New Roman" w:eastAsiaTheme="minorEastAsia"/>
          <w:sz w:val="28"/>
          <w:szCs w:val="28"/>
          <w:vertAlign w:val="subscript"/>
        </w:rPr>
        <w:t>TOC，i</w:t>
      </w:r>
      <w:r>
        <w:rPr>
          <w:rFonts w:ascii="Times New Roman" w:hAnsi="Times New Roman" w:eastAsiaTheme="minorEastAsia"/>
          <w:sz w:val="28"/>
          <w:szCs w:val="28"/>
        </w:rPr>
        <w:tab/>
      </w:r>
      <w:r>
        <w:rPr>
          <w:rFonts w:ascii="Times New Roman" w:hAnsi="Times New Roman" w:eastAsiaTheme="minorEastAsia"/>
          <w:sz w:val="28"/>
          <w:szCs w:val="28"/>
        </w:rPr>
        <w:t>——密封点i的总有机碳（TOC）排放速率，kg/h；</w:t>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WF</w:t>
      </w:r>
      <w:r>
        <w:rPr>
          <w:rFonts w:ascii="Times New Roman" w:hAnsi="Times New Roman" w:eastAsiaTheme="minorEastAsia"/>
          <w:sz w:val="28"/>
          <w:szCs w:val="28"/>
          <w:vertAlign w:val="subscript"/>
        </w:rPr>
        <w:t>VOCs，i</w:t>
      </w:r>
      <w:r>
        <w:rPr>
          <w:rFonts w:ascii="Times New Roman" w:hAnsi="Times New Roman" w:eastAsiaTheme="minorEastAsia"/>
          <w:sz w:val="28"/>
          <w:szCs w:val="28"/>
          <w:vertAlign w:val="subscript"/>
        </w:rPr>
        <w:tab/>
      </w:r>
      <w:r>
        <w:rPr>
          <w:rFonts w:ascii="Times New Roman" w:hAnsi="Times New Roman" w:eastAsiaTheme="minorEastAsia"/>
          <w:sz w:val="28"/>
          <w:szCs w:val="28"/>
        </w:rPr>
        <w:t>——流经密封点i物料中挥发性有机物平均质量分数；</w:t>
      </w:r>
    </w:p>
    <w:p>
      <w:pPr>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WF</w:t>
      </w:r>
      <w:r>
        <w:rPr>
          <w:rFonts w:ascii="Times New Roman" w:hAnsi="Times New Roman" w:eastAsiaTheme="minorEastAsia"/>
          <w:sz w:val="28"/>
          <w:szCs w:val="28"/>
          <w:vertAlign w:val="subscript"/>
        </w:rPr>
        <w:t>TOCs，i</w:t>
      </w:r>
      <w:r>
        <w:rPr>
          <w:rFonts w:ascii="Times New Roman" w:hAnsi="Times New Roman" w:eastAsiaTheme="minorEastAsia"/>
          <w:sz w:val="28"/>
          <w:szCs w:val="28"/>
          <w:vertAlign w:val="subscript"/>
        </w:rPr>
        <w:tab/>
      </w:r>
      <w:r>
        <w:rPr>
          <w:rFonts w:ascii="Times New Roman" w:hAnsi="Times New Roman" w:eastAsiaTheme="minorEastAsia"/>
          <w:sz w:val="28"/>
          <w:szCs w:val="28"/>
        </w:rPr>
        <w:t>——流经密封点i物料中总有机碳平均质量分数；</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n</w:t>
      </w:r>
      <w:r>
        <w:rPr>
          <w:rFonts w:ascii="Times New Roman" w:hAnsi="Times New Roman" w:eastAsiaTheme="minorEastAsia"/>
          <w:sz w:val="28"/>
          <w:szCs w:val="28"/>
        </w:rPr>
        <w:tab/>
      </w:r>
      <w:r>
        <w:rPr>
          <w:rFonts w:ascii="Times New Roman" w:hAnsi="Times New Roman" w:eastAsiaTheme="minorEastAsia"/>
          <w:sz w:val="28"/>
          <w:szCs w:val="28"/>
        </w:rPr>
        <w:t>——挥发性有机物流经的设备与管线组件密封点数。</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根据本项目可研及设计资料，本项目装置区各类密封点无组织废气的产生情况见表3.5-</w:t>
      </w:r>
      <w:r>
        <w:rPr>
          <w:rFonts w:ascii="Times New Roman" w:hAnsi="Times New Roman" w:eastAsiaTheme="minorEastAsia"/>
          <w:sz w:val="28"/>
          <w:szCs w:val="28"/>
        </w:rPr>
        <w:t>1</w:t>
      </w:r>
      <w:r>
        <w:rPr>
          <w:rFonts w:hint="eastAsia" w:ascii="Times New Roman" w:hAnsi="Times New Roman" w:eastAsiaTheme="minorEastAsia"/>
          <w:sz w:val="28"/>
          <w:szCs w:val="28"/>
        </w:rPr>
        <w:t>。</w:t>
      </w:r>
    </w:p>
    <w:p>
      <w:pPr>
        <w:pStyle w:val="32"/>
        <w:spacing w:line="480" w:lineRule="exact"/>
        <w:ind w:left="851" w:firstLine="0" w:firstLineChars="0"/>
      </w:pPr>
      <w:bookmarkStart w:id="75" w:name="_Hlk66374630"/>
      <w:r>
        <w:t xml:space="preserve">表3.5-1          </w:t>
      </w:r>
      <w:r>
        <w:rPr>
          <w:rFonts w:hint="eastAsia"/>
        </w:rPr>
        <w:t>装置区各类密封点废气产生情况一览表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04"/>
        <w:gridCol w:w="1845"/>
        <w:gridCol w:w="1282"/>
        <w:gridCol w:w="1282"/>
        <w:gridCol w:w="1282"/>
        <w:gridCol w:w="1282"/>
        <w:gridCol w:w="128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hint="eastAsia"/>
                <w:color w:val="auto"/>
              </w:rPr>
              <w:t>序号</w:t>
            </w:r>
          </w:p>
        </w:tc>
        <w:tc>
          <w:tcPr>
            <w:tcW w:w="1845" w:type="dxa"/>
            <w:shd w:val="clear" w:color="auto" w:fill="auto"/>
            <w:noWrap/>
            <w:vAlign w:val="center"/>
          </w:tcPr>
          <w:p>
            <w:pPr>
              <w:pStyle w:val="36"/>
              <w:spacing w:line="240" w:lineRule="auto"/>
              <w:rPr>
                <w:color w:val="auto"/>
              </w:rPr>
            </w:pPr>
            <w:r>
              <w:rPr>
                <w:rFonts w:hint="eastAsia"/>
                <w:color w:val="auto"/>
              </w:rPr>
              <w:t>类型</w:t>
            </w:r>
          </w:p>
        </w:tc>
        <w:tc>
          <w:tcPr>
            <w:tcW w:w="1282" w:type="dxa"/>
            <w:shd w:val="clear" w:color="auto" w:fill="auto"/>
            <w:noWrap/>
            <w:vAlign w:val="center"/>
          </w:tcPr>
          <w:p>
            <w:pPr>
              <w:pStyle w:val="36"/>
              <w:spacing w:line="240" w:lineRule="auto"/>
              <w:rPr>
                <w:color w:val="auto"/>
              </w:rPr>
            </w:pPr>
            <w:r>
              <w:rPr>
                <w:rFonts w:hint="eastAsia"/>
                <w:color w:val="auto"/>
              </w:rPr>
              <w:t>排放速率</w:t>
            </w:r>
          </w:p>
          <w:p>
            <w:pPr>
              <w:pStyle w:val="36"/>
              <w:spacing w:line="240" w:lineRule="auto"/>
              <w:rPr>
                <w:color w:val="auto"/>
              </w:rPr>
            </w:pPr>
            <w:r>
              <w:rPr>
                <w:rFonts w:eastAsiaTheme="minorEastAsia"/>
                <w:color w:val="auto"/>
                <w:szCs w:val="21"/>
              </w:rPr>
              <w:t>e</w:t>
            </w:r>
            <w:r>
              <w:rPr>
                <w:rFonts w:eastAsiaTheme="minorEastAsia"/>
                <w:color w:val="auto"/>
                <w:szCs w:val="21"/>
                <w:vertAlign w:val="subscript"/>
              </w:rPr>
              <w:t>TOC</w:t>
            </w:r>
            <w:r>
              <w:rPr>
                <w:rFonts w:hint="eastAsia"/>
                <w:color w:val="auto"/>
              </w:rPr>
              <w:t xml:space="preserve"> kg/h</w:t>
            </w:r>
          </w:p>
        </w:tc>
        <w:tc>
          <w:tcPr>
            <w:tcW w:w="1282" w:type="dxa"/>
            <w:shd w:val="clear" w:color="auto" w:fill="auto"/>
            <w:noWrap/>
            <w:vAlign w:val="center"/>
          </w:tcPr>
          <w:p>
            <w:pPr>
              <w:pStyle w:val="36"/>
              <w:spacing w:line="240" w:lineRule="auto"/>
              <w:rPr>
                <w:color w:val="auto"/>
              </w:rPr>
            </w:pPr>
            <w:r>
              <w:rPr>
                <w:rFonts w:hint="eastAsia"/>
                <w:color w:val="auto"/>
              </w:rPr>
              <w:t>密封点数量</w:t>
            </w:r>
          </w:p>
        </w:tc>
        <w:tc>
          <w:tcPr>
            <w:tcW w:w="1282" w:type="dxa"/>
            <w:shd w:val="clear" w:color="auto" w:fill="auto"/>
            <w:noWrap/>
            <w:vAlign w:val="center"/>
          </w:tcPr>
          <w:p>
            <w:pPr>
              <w:pStyle w:val="36"/>
              <w:spacing w:line="240" w:lineRule="auto"/>
              <w:rPr>
                <w:color w:val="auto"/>
              </w:rPr>
            </w:pPr>
            <w:r>
              <w:rPr>
                <w:rFonts w:hint="eastAsia"/>
                <w:color w:val="auto"/>
              </w:rPr>
              <w:t>工作时间h/a</w:t>
            </w:r>
          </w:p>
        </w:tc>
        <w:tc>
          <w:tcPr>
            <w:tcW w:w="1282" w:type="dxa"/>
            <w:shd w:val="clear" w:color="auto" w:fill="auto"/>
            <w:noWrap/>
            <w:vAlign w:val="center"/>
          </w:tcPr>
          <w:p>
            <w:pPr>
              <w:pStyle w:val="36"/>
              <w:spacing w:line="240" w:lineRule="auto"/>
              <w:rPr>
                <w:color w:val="auto"/>
              </w:rPr>
            </w:pPr>
            <w:r>
              <w:rPr>
                <w:rFonts w:hint="eastAsia"/>
                <w:color w:val="auto"/>
              </w:rPr>
              <w:t>排放量kg/h</w:t>
            </w:r>
          </w:p>
        </w:tc>
        <w:tc>
          <w:tcPr>
            <w:tcW w:w="1282" w:type="dxa"/>
            <w:shd w:val="clear" w:color="auto" w:fill="auto"/>
            <w:noWrap/>
            <w:vAlign w:val="center"/>
          </w:tcPr>
          <w:p>
            <w:pPr>
              <w:pStyle w:val="36"/>
              <w:spacing w:line="240" w:lineRule="auto"/>
              <w:rPr>
                <w:color w:val="auto"/>
              </w:rPr>
            </w:pPr>
            <w:r>
              <w:rPr>
                <w:rFonts w:hint="eastAsia"/>
                <w:color w:val="auto"/>
              </w:rPr>
              <w:t>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1</w:t>
            </w:r>
          </w:p>
        </w:tc>
        <w:tc>
          <w:tcPr>
            <w:tcW w:w="1845" w:type="dxa"/>
            <w:shd w:val="clear" w:color="auto" w:fill="auto"/>
            <w:vAlign w:val="center"/>
          </w:tcPr>
          <w:p>
            <w:pPr>
              <w:pStyle w:val="36"/>
              <w:spacing w:line="240" w:lineRule="auto"/>
              <w:rPr>
                <w:color w:val="auto"/>
              </w:rPr>
            </w:pPr>
            <w:r>
              <w:rPr>
                <w:rFonts w:hint="eastAsia"/>
                <w:color w:val="auto"/>
                <w:szCs w:val="21"/>
              </w:rPr>
              <w:t>液体泵</w:t>
            </w:r>
          </w:p>
        </w:tc>
        <w:tc>
          <w:tcPr>
            <w:tcW w:w="1282" w:type="dxa"/>
            <w:shd w:val="clear" w:color="auto" w:fill="auto"/>
            <w:vAlign w:val="center"/>
          </w:tcPr>
          <w:p>
            <w:pPr>
              <w:pStyle w:val="36"/>
              <w:spacing w:line="240" w:lineRule="auto"/>
              <w:rPr>
                <w:color w:val="auto"/>
              </w:rPr>
            </w:pPr>
            <w:r>
              <w:rPr>
                <w:rFonts w:eastAsia="等线"/>
                <w:color w:val="auto"/>
                <w:szCs w:val="21"/>
              </w:rPr>
              <w:t>0.14</w:t>
            </w:r>
          </w:p>
        </w:tc>
        <w:tc>
          <w:tcPr>
            <w:tcW w:w="1282" w:type="dxa"/>
            <w:shd w:val="clear" w:color="auto" w:fill="auto"/>
            <w:noWrap/>
            <w:vAlign w:val="center"/>
          </w:tcPr>
          <w:p>
            <w:pPr>
              <w:pStyle w:val="36"/>
              <w:spacing w:line="240" w:lineRule="auto"/>
              <w:rPr>
                <w:color w:val="auto"/>
              </w:rPr>
            </w:pPr>
            <w:r>
              <w:rPr>
                <w:rFonts w:eastAsia="等线"/>
                <w:color w:val="auto"/>
                <w:szCs w:val="21"/>
              </w:rPr>
              <w:t>20</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0.0084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0.0672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2</w:t>
            </w:r>
          </w:p>
        </w:tc>
        <w:tc>
          <w:tcPr>
            <w:tcW w:w="1845" w:type="dxa"/>
            <w:shd w:val="clear" w:color="auto" w:fill="auto"/>
            <w:vAlign w:val="center"/>
          </w:tcPr>
          <w:p>
            <w:pPr>
              <w:pStyle w:val="36"/>
              <w:spacing w:line="240" w:lineRule="auto"/>
              <w:rPr>
                <w:color w:val="auto"/>
              </w:rPr>
            </w:pPr>
            <w:r>
              <w:rPr>
                <w:rFonts w:hint="eastAsia"/>
                <w:color w:val="auto"/>
                <w:szCs w:val="21"/>
              </w:rPr>
              <w:t>压缩机</w:t>
            </w:r>
          </w:p>
        </w:tc>
        <w:tc>
          <w:tcPr>
            <w:tcW w:w="1282" w:type="dxa"/>
            <w:shd w:val="clear" w:color="auto" w:fill="auto"/>
            <w:vAlign w:val="center"/>
          </w:tcPr>
          <w:p>
            <w:pPr>
              <w:pStyle w:val="36"/>
              <w:spacing w:line="240" w:lineRule="auto"/>
              <w:rPr>
                <w:color w:val="auto"/>
              </w:rPr>
            </w:pPr>
            <w:r>
              <w:rPr>
                <w:rFonts w:eastAsia="等线"/>
                <w:color w:val="auto"/>
                <w:szCs w:val="21"/>
              </w:rPr>
              <w:t>0.14</w:t>
            </w:r>
          </w:p>
        </w:tc>
        <w:tc>
          <w:tcPr>
            <w:tcW w:w="1282" w:type="dxa"/>
            <w:shd w:val="clear" w:color="auto" w:fill="auto"/>
            <w:noWrap/>
            <w:vAlign w:val="center"/>
          </w:tcPr>
          <w:p>
            <w:pPr>
              <w:pStyle w:val="36"/>
              <w:spacing w:line="240" w:lineRule="auto"/>
              <w:rPr>
                <w:color w:val="auto"/>
              </w:rPr>
            </w:pPr>
            <w:r>
              <w:rPr>
                <w:rFonts w:eastAsia="等线"/>
                <w:color w:val="auto"/>
                <w:szCs w:val="21"/>
              </w:rPr>
              <w:t>1</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0.0004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0.0034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3</w:t>
            </w:r>
          </w:p>
        </w:tc>
        <w:tc>
          <w:tcPr>
            <w:tcW w:w="1845" w:type="dxa"/>
            <w:shd w:val="clear" w:color="auto" w:fill="auto"/>
            <w:vAlign w:val="center"/>
          </w:tcPr>
          <w:p>
            <w:pPr>
              <w:pStyle w:val="36"/>
              <w:spacing w:line="240" w:lineRule="auto"/>
              <w:rPr>
                <w:color w:val="auto"/>
              </w:rPr>
            </w:pPr>
            <w:r>
              <w:rPr>
                <w:rFonts w:hint="eastAsia"/>
                <w:color w:val="auto"/>
                <w:szCs w:val="21"/>
              </w:rPr>
              <w:t>搅拌器</w:t>
            </w:r>
          </w:p>
        </w:tc>
        <w:tc>
          <w:tcPr>
            <w:tcW w:w="1282" w:type="dxa"/>
            <w:shd w:val="clear" w:color="auto" w:fill="auto"/>
            <w:vAlign w:val="center"/>
          </w:tcPr>
          <w:p>
            <w:pPr>
              <w:pStyle w:val="36"/>
              <w:spacing w:line="240" w:lineRule="auto"/>
              <w:rPr>
                <w:color w:val="auto"/>
              </w:rPr>
            </w:pPr>
            <w:r>
              <w:rPr>
                <w:rFonts w:eastAsia="等线"/>
                <w:color w:val="auto"/>
                <w:szCs w:val="21"/>
              </w:rPr>
              <w:t>0.14</w:t>
            </w:r>
          </w:p>
        </w:tc>
        <w:tc>
          <w:tcPr>
            <w:tcW w:w="1282" w:type="dxa"/>
            <w:shd w:val="clear" w:color="auto" w:fill="auto"/>
            <w:noWrap/>
            <w:vAlign w:val="center"/>
          </w:tcPr>
          <w:p>
            <w:pPr>
              <w:pStyle w:val="36"/>
              <w:spacing w:line="240" w:lineRule="auto"/>
              <w:rPr>
                <w:color w:val="auto"/>
              </w:rPr>
            </w:pPr>
            <w:r>
              <w:rPr>
                <w:rFonts w:eastAsia="等线"/>
                <w:color w:val="auto"/>
                <w:szCs w:val="21"/>
              </w:rPr>
              <w:t>3</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0.0013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0.0101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4</w:t>
            </w:r>
          </w:p>
        </w:tc>
        <w:tc>
          <w:tcPr>
            <w:tcW w:w="1845" w:type="dxa"/>
            <w:shd w:val="clear" w:color="auto" w:fill="auto"/>
            <w:vAlign w:val="center"/>
          </w:tcPr>
          <w:p>
            <w:pPr>
              <w:pStyle w:val="36"/>
              <w:spacing w:line="240" w:lineRule="auto"/>
              <w:rPr>
                <w:color w:val="auto"/>
              </w:rPr>
            </w:pPr>
            <w:r>
              <w:rPr>
                <w:rFonts w:hint="eastAsia"/>
                <w:color w:val="auto"/>
                <w:szCs w:val="21"/>
              </w:rPr>
              <w:t>泄压设备</w:t>
            </w:r>
          </w:p>
        </w:tc>
        <w:tc>
          <w:tcPr>
            <w:tcW w:w="1282" w:type="dxa"/>
            <w:shd w:val="clear" w:color="auto" w:fill="auto"/>
            <w:vAlign w:val="center"/>
          </w:tcPr>
          <w:p>
            <w:pPr>
              <w:pStyle w:val="36"/>
              <w:spacing w:line="240" w:lineRule="auto"/>
              <w:rPr>
                <w:color w:val="auto"/>
              </w:rPr>
            </w:pPr>
            <w:r>
              <w:rPr>
                <w:rFonts w:eastAsia="等线"/>
                <w:color w:val="auto"/>
                <w:szCs w:val="21"/>
              </w:rPr>
              <w:t>0.14</w:t>
            </w:r>
          </w:p>
        </w:tc>
        <w:tc>
          <w:tcPr>
            <w:tcW w:w="1282" w:type="dxa"/>
            <w:shd w:val="clear" w:color="auto" w:fill="auto"/>
            <w:noWrap/>
            <w:vAlign w:val="center"/>
          </w:tcPr>
          <w:p>
            <w:pPr>
              <w:pStyle w:val="36"/>
              <w:spacing w:line="240" w:lineRule="auto"/>
              <w:rPr>
                <w:color w:val="auto"/>
              </w:rPr>
            </w:pPr>
            <w:r>
              <w:rPr>
                <w:rFonts w:eastAsia="等线"/>
                <w:color w:val="auto"/>
                <w:szCs w:val="21"/>
              </w:rPr>
              <w:t>6</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0.0025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0.0202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5</w:t>
            </w:r>
          </w:p>
        </w:tc>
        <w:tc>
          <w:tcPr>
            <w:tcW w:w="1845" w:type="dxa"/>
            <w:shd w:val="clear" w:color="auto" w:fill="auto"/>
            <w:vAlign w:val="center"/>
          </w:tcPr>
          <w:p>
            <w:pPr>
              <w:pStyle w:val="36"/>
              <w:spacing w:line="240" w:lineRule="auto"/>
              <w:rPr>
                <w:color w:val="auto"/>
              </w:rPr>
            </w:pPr>
            <w:r>
              <w:rPr>
                <w:rFonts w:hint="eastAsia"/>
                <w:color w:val="auto"/>
                <w:szCs w:val="21"/>
              </w:rPr>
              <w:t>气体阀门</w:t>
            </w:r>
          </w:p>
        </w:tc>
        <w:tc>
          <w:tcPr>
            <w:tcW w:w="1282" w:type="dxa"/>
            <w:shd w:val="clear" w:color="auto" w:fill="auto"/>
            <w:vAlign w:val="center"/>
          </w:tcPr>
          <w:p>
            <w:pPr>
              <w:pStyle w:val="36"/>
              <w:spacing w:line="240" w:lineRule="auto"/>
              <w:rPr>
                <w:color w:val="auto"/>
              </w:rPr>
            </w:pPr>
            <w:r>
              <w:rPr>
                <w:rFonts w:eastAsia="等线"/>
                <w:color w:val="auto"/>
                <w:szCs w:val="21"/>
              </w:rPr>
              <w:t>0.024</w:t>
            </w:r>
          </w:p>
        </w:tc>
        <w:tc>
          <w:tcPr>
            <w:tcW w:w="1282" w:type="dxa"/>
            <w:shd w:val="clear" w:color="auto" w:fill="auto"/>
            <w:noWrap/>
            <w:vAlign w:val="center"/>
          </w:tcPr>
          <w:p>
            <w:pPr>
              <w:pStyle w:val="36"/>
              <w:spacing w:line="240" w:lineRule="auto"/>
              <w:rPr>
                <w:color w:val="auto"/>
              </w:rPr>
            </w:pPr>
            <w:r>
              <w:rPr>
                <w:rFonts w:eastAsia="等线"/>
                <w:color w:val="auto"/>
                <w:szCs w:val="21"/>
              </w:rPr>
              <w:t>26</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0.0019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0.0150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6</w:t>
            </w:r>
          </w:p>
        </w:tc>
        <w:tc>
          <w:tcPr>
            <w:tcW w:w="1845" w:type="dxa"/>
            <w:shd w:val="clear" w:color="auto" w:fill="auto"/>
            <w:vAlign w:val="center"/>
          </w:tcPr>
          <w:p>
            <w:pPr>
              <w:pStyle w:val="36"/>
              <w:spacing w:line="240" w:lineRule="auto"/>
              <w:rPr>
                <w:color w:val="auto"/>
              </w:rPr>
            </w:pPr>
            <w:r>
              <w:rPr>
                <w:rFonts w:hint="eastAsia"/>
                <w:color w:val="auto"/>
                <w:szCs w:val="21"/>
              </w:rPr>
              <w:t>液体阀门</w:t>
            </w:r>
          </w:p>
        </w:tc>
        <w:tc>
          <w:tcPr>
            <w:tcW w:w="1282" w:type="dxa"/>
            <w:shd w:val="clear" w:color="auto" w:fill="auto"/>
            <w:vAlign w:val="center"/>
          </w:tcPr>
          <w:p>
            <w:pPr>
              <w:pStyle w:val="36"/>
              <w:spacing w:line="240" w:lineRule="auto"/>
              <w:rPr>
                <w:color w:val="auto"/>
              </w:rPr>
            </w:pPr>
            <w:r>
              <w:rPr>
                <w:rFonts w:eastAsia="等线"/>
                <w:color w:val="auto"/>
                <w:szCs w:val="21"/>
              </w:rPr>
              <w:t>0.036</w:t>
            </w:r>
          </w:p>
        </w:tc>
        <w:tc>
          <w:tcPr>
            <w:tcW w:w="1282" w:type="dxa"/>
            <w:shd w:val="clear" w:color="auto" w:fill="auto"/>
            <w:noWrap/>
            <w:vAlign w:val="center"/>
          </w:tcPr>
          <w:p>
            <w:pPr>
              <w:pStyle w:val="36"/>
              <w:spacing w:line="240" w:lineRule="auto"/>
              <w:rPr>
                <w:color w:val="auto"/>
              </w:rPr>
            </w:pPr>
            <w:r>
              <w:rPr>
                <w:rFonts w:eastAsia="等线"/>
                <w:color w:val="auto"/>
                <w:szCs w:val="21"/>
              </w:rPr>
              <w:t>76</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0.0082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0.0657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7</w:t>
            </w:r>
          </w:p>
        </w:tc>
        <w:tc>
          <w:tcPr>
            <w:tcW w:w="1845" w:type="dxa"/>
            <w:shd w:val="clear" w:color="auto" w:fill="auto"/>
            <w:vAlign w:val="center"/>
          </w:tcPr>
          <w:p>
            <w:pPr>
              <w:pStyle w:val="36"/>
              <w:spacing w:line="240" w:lineRule="auto"/>
              <w:rPr>
                <w:color w:val="auto"/>
              </w:rPr>
            </w:pPr>
            <w:r>
              <w:rPr>
                <w:rFonts w:hint="eastAsia"/>
                <w:color w:val="auto"/>
                <w:szCs w:val="21"/>
              </w:rPr>
              <w:t>法兰或连接件</w:t>
            </w:r>
          </w:p>
        </w:tc>
        <w:tc>
          <w:tcPr>
            <w:tcW w:w="1282" w:type="dxa"/>
            <w:shd w:val="clear" w:color="auto" w:fill="auto"/>
            <w:vAlign w:val="center"/>
          </w:tcPr>
          <w:p>
            <w:pPr>
              <w:pStyle w:val="36"/>
              <w:spacing w:line="240" w:lineRule="auto"/>
              <w:rPr>
                <w:color w:val="auto"/>
              </w:rPr>
            </w:pPr>
            <w:r>
              <w:rPr>
                <w:rFonts w:eastAsia="等线"/>
                <w:color w:val="auto"/>
                <w:szCs w:val="21"/>
              </w:rPr>
              <w:t>0.044</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189 </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0.0250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0.1998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8</w:t>
            </w:r>
          </w:p>
        </w:tc>
        <w:tc>
          <w:tcPr>
            <w:tcW w:w="1845" w:type="dxa"/>
            <w:shd w:val="clear" w:color="auto" w:fill="auto"/>
            <w:vAlign w:val="center"/>
          </w:tcPr>
          <w:p>
            <w:pPr>
              <w:pStyle w:val="36"/>
              <w:spacing w:line="240" w:lineRule="auto"/>
              <w:rPr>
                <w:color w:val="auto"/>
              </w:rPr>
            </w:pPr>
            <w:r>
              <w:rPr>
                <w:rFonts w:hint="eastAsia"/>
                <w:color w:val="auto"/>
                <w:szCs w:val="21"/>
              </w:rPr>
              <w:t>开口阀或开口管线</w:t>
            </w:r>
          </w:p>
        </w:tc>
        <w:tc>
          <w:tcPr>
            <w:tcW w:w="1282" w:type="dxa"/>
            <w:shd w:val="clear" w:color="auto" w:fill="auto"/>
            <w:vAlign w:val="center"/>
          </w:tcPr>
          <w:p>
            <w:pPr>
              <w:pStyle w:val="36"/>
              <w:spacing w:line="240" w:lineRule="auto"/>
              <w:rPr>
                <w:color w:val="auto"/>
              </w:rPr>
            </w:pPr>
            <w:r>
              <w:rPr>
                <w:rFonts w:eastAsia="等线"/>
                <w:color w:val="auto"/>
                <w:szCs w:val="21"/>
              </w:rPr>
              <w:t>0.03</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26 </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0.0023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0.0184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704" w:type="dxa"/>
            <w:vAlign w:val="center"/>
          </w:tcPr>
          <w:p>
            <w:pPr>
              <w:pStyle w:val="36"/>
              <w:spacing w:line="240" w:lineRule="auto"/>
              <w:rPr>
                <w:color w:val="auto"/>
              </w:rPr>
            </w:pPr>
            <w:r>
              <w:rPr>
                <w:rFonts w:eastAsia="等线"/>
                <w:color w:val="auto"/>
                <w:szCs w:val="21"/>
              </w:rPr>
              <w:t>9</w:t>
            </w:r>
          </w:p>
        </w:tc>
        <w:tc>
          <w:tcPr>
            <w:tcW w:w="1845" w:type="dxa"/>
            <w:shd w:val="clear" w:color="auto" w:fill="auto"/>
            <w:vAlign w:val="center"/>
          </w:tcPr>
          <w:p>
            <w:pPr>
              <w:pStyle w:val="36"/>
              <w:spacing w:line="240" w:lineRule="auto"/>
              <w:rPr>
                <w:color w:val="auto"/>
              </w:rPr>
            </w:pPr>
            <w:r>
              <w:rPr>
                <w:rFonts w:hint="eastAsia"/>
                <w:color w:val="auto"/>
                <w:szCs w:val="21"/>
              </w:rPr>
              <w:t>其他</w:t>
            </w:r>
          </w:p>
        </w:tc>
        <w:tc>
          <w:tcPr>
            <w:tcW w:w="1282" w:type="dxa"/>
            <w:shd w:val="clear" w:color="auto" w:fill="auto"/>
            <w:vAlign w:val="center"/>
          </w:tcPr>
          <w:p>
            <w:pPr>
              <w:pStyle w:val="36"/>
              <w:spacing w:line="240" w:lineRule="auto"/>
              <w:rPr>
                <w:color w:val="auto"/>
              </w:rPr>
            </w:pPr>
            <w:r>
              <w:rPr>
                <w:rFonts w:eastAsia="等线"/>
                <w:color w:val="auto"/>
                <w:szCs w:val="21"/>
              </w:rPr>
              <w:t>0.073</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2 </w:t>
            </w:r>
          </w:p>
        </w:tc>
        <w:tc>
          <w:tcPr>
            <w:tcW w:w="1282" w:type="dxa"/>
            <w:shd w:val="clear" w:color="auto" w:fill="auto"/>
            <w:noWrap/>
            <w:vAlign w:val="center"/>
          </w:tcPr>
          <w:p>
            <w:pPr>
              <w:pStyle w:val="36"/>
              <w:spacing w:line="240" w:lineRule="auto"/>
              <w:rPr>
                <w:color w:val="auto"/>
              </w:rPr>
            </w:pPr>
            <w:r>
              <w:rPr>
                <w:rFonts w:eastAsia="等线"/>
                <w:color w:val="auto"/>
                <w:szCs w:val="21"/>
              </w:rPr>
              <w:t>8000</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0.0005 </w:t>
            </w:r>
          </w:p>
        </w:tc>
        <w:tc>
          <w:tcPr>
            <w:tcW w:w="1282" w:type="dxa"/>
            <w:shd w:val="clear" w:color="auto" w:fill="auto"/>
            <w:noWrap/>
            <w:vAlign w:val="center"/>
          </w:tcPr>
          <w:p>
            <w:pPr>
              <w:pStyle w:val="36"/>
              <w:spacing w:line="240" w:lineRule="auto"/>
              <w:rPr>
                <w:color w:val="auto"/>
              </w:rPr>
            </w:pPr>
            <w:r>
              <w:rPr>
                <w:rFonts w:eastAsia="等线"/>
                <w:color w:val="auto"/>
                <w:szCs w:val="21"/>
              </w:rPr>
              <w:t xml:space="preserve">0.0037 </w:t>
            </w:r>
          </w:p>
        </w:tc>
      </w:tr>
      <w:bookmarkEnd w:id="75"/>
    </w:tbl>
    <w:p>
      <w:pPr>
        <w:spacing w:line="520" w:lineRule="exact"/>
        <w:ind w:firstLine="560" w:firstLineChars="200"/>
        <w:rPr>
          <w:rFonts w:ascii="Times New Roman" w:hAnsi="Times New Roman"/>
          <w:sz w:val="28"/>
          <w:szCs w:val="28"/>
        </w:rPr>
      </w:pPr>
      <w:r>
        <w:rPr>
          <w:rFonts w:hint="eastAsia" w:ascii="Times New Roman" w:hAnsi="Times New Roman"/>
          <w:sz w:val="28"/>
          <w:szCs w:val="28"/>
        </w:rPr>
        <w:t>本项目</w:t>
      </w:r>
      <w:r>
        <w:rPr>
          <w:rFonts w:ascii="Times New Roman" w:hAnsi="Times New Roman"/>
          <w:sz w:val="28"/>
          <w:szCs w:val="28"/>
        </w:rPr>
        <w:t>生产无组织废气中各污染因子的排放情况</w:t>
      </w:r>
      <w:r>
        <w:rPr>
          <w:rFonts w:hint="eastAsia" w:ascii="Times New Roman" w:hAnsi="Times New Roman" w:eastAsiaTheme="minorEastAsia"/>
          <w:sz w:val="28"/>
          <w:szCs w:val="28"/>
        </w:rPr>
        <w:t>见表3.5-</w:t>
      </w:r>
      <w:r>
        <w:rPr>
          <w:rFonts w:ascii="Times New Roman" w:hAnsi="Times New Roman" w:eastAsiaTheme="minorEastAsia"/>
          <w:sz w:val="28"/>
          <w:szCs w:val="28"/>
        </w:rPr>
        <w:t>2</w:t>
      </w:r>
      <w:r>
        <w:rPr>
          <w:rFonts w:ascii="Times New Roman" w:hAnsi="Times New Roman"/>
          <w:sz w:val="28"/>
          <w:szCs w:val="28"/>
        </w:rPr>
        <w:t>。</w:t>
      </w:r>
    </w:p>
    <w:p>
      <w:pPr>
        <w:pStyle w:val="32"/>
        <w:spacing w:line="480" w:lineRule="exact"/>
        <w:ind w:left="851" w:firstLine="0" w:firstLineChars="0"/>
      </w:pPr>
      <w:r>
        <w:t xml:space="preserve">表3.5-2       </w:t>
      </w:r>
      <w:r>
        <w:rPr>
          <w:rFonts w:hint="eastAsia"/>
        </w:rPr>
        <w:t>生产装置区无组织废气排放情况一览表</w:t>
      </w:r>
    </w:p>
    <w:tbl>
      <w:tblPr>
        <w:tblStyle w:val="22"/>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58"/>
        <w:gridCol w:w="2211"/>
        <w:gridCol w:w="2835"/>
        <w:gridCol w:w="297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jc w:val="center"/>
        </w:trPr>
        <w:tc>
          <w:tcPr>
            <w:tcW w:w="1158" w:type="dxa"/>
          </w:tcPr>
          <w:p>
            <w:pPr>
              <w:pStyle w:val="41"/>
              <w:rPr>
                <w:rFonts w:eastAsiaTheme="minorEastAsia"/>
                <w:b/>
                <w:sz w:val="21"/>
                <w:szCs w:val="21"/>
              </w:rPr>
            </w:pPr>
            <w:bookmarkStart w:id="76" w:name="_Ref528621915"/>
            <w:r>
              <w:rPr>
                <w:rFonts w:eastAsiaTheme="minorEastAsia"/>
                <w:b/>
                <w:kern w:val="0"/>
                <w:sz w:val="21"/>
                <w:szCs w:val="21"/>
              </w:rPr>
              <w:t>序号</w:t>
            </w:r>
          </w:p>
        </w:tc>
        <w:tc>
          <w:tcPr>
            <w:tcW w:w="2211" w:type="dxa"/>
            <w:vAlign w:val="center"/>
          </w:tcPr>
          <w:p>
            <w:pPr>
              <w:pStyle w:val="41"/>
              <w:rPr>
                <w:rFonts w:eastAsiaTheme="minorEastAsia"/>
                <w:b/>
                <w:kern w:val="0"/>
                <w:sz w:val="21"/>
                <w:szCs w:val="21"/>
              </w:rPr>
            </w:pPr>
            <w:r>
              <w:rPr>
                <w:rFonts w:eastAsiaTheme="minorEastAsia"/>
                <w:b/>
                <w:kern w:val="0"/>
                <w:sz w:val="21"/>
                <w:szCs w:val="21"/>
              </w:rPr>
              <w:t>因子</w:t>
            </w:r>
          </w:p>
        </w:tc>
        <w:tc>
          <w:tcPr>
            <w:tcW w:w="2835" w:type="dxa"/>
            <w:vAlign w:val="center"/>
          </w:tcPr>
          <w:p>
            <w:pPr>
              <w:pStyle w:val="41"/>
              <w:rPr>
                <w:rFonts w:eastAsiaTheme="minorEastAsia"/>
                <w:b/>
                <w:kern w:val="0"/>
                <w:sz w:val="21"/>
                <w:szCs w:val="21"/>
              </w:rPr>
            </w:pPr>
            <w:r>
              <w:rPr>
                <w:rFonts w:eastAsiaTheme="minorEastAsia"/>
                <w:b/>
                <w:kern w:val="0"/>
                <w:sz w:val="21"/>
                <w:szCs w:val="21"/>
              </w:rPr>
              <w:t>排放速率 kg/h</w:t>
            </w:r>
          </w:p>
        </w:tc>
        <w:tc>
          <w:tcPr>
            <w:tcW w:w="2971" w:type="dxa"/>
            <w:vAlign w:val="center"/>
          </w:tcPr>
          <w:p>
            <w:pPr>
              <w:pStyle w:val="41"/>
              <w:rPr>
                <w:rFonts w:eastAsiaTheme="minorEastAsia"/>
                <w:b/>
                <w:kern w:val="0"/>
                <w:sz w:val="21"/>
                <w:szCs w:val="21"/>
              </w:rPr>
            </w:pPr>
            <w:r>
              <w:rPr>
                <w:rFonts w:eastAsiaTheme="minorEastAsia"/>
                <w:b/>
                <w:kern w:val="0"/>
                <w:sz w:val="21"/>
                <w:szCs w:val="21"/>
              </w:rPr>
              <w:t>排放量 t/a</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58" w:type="dxa"/>
            <w:vAlign w:val="center"/>
          </w:tcPr>
          <w:p>
            <w:pPr>
              <w:pStyle w:val="41"/>
              <w:rPr>
                <w:rFonts w:eastAsiaTheme="minorEastAsia"/>
                <w:kern w:val="0"/>
                <w:sz w:val="21"/>
                <w:szCs w:val="21"/>
              </w:rPr>
            </w:pPr>
            <w:r>
              <w:rPr>
                <w:rFonts w:eastAsia="等线"/>
                <w:sz w:val="21"/>
                <w:szCs w:val="21"/>
              </w:rPr>
              <w:t>1</w:t>
            </w:r>
          </w:p>
        </w:tc>
        <w:tc>
          <w:tcPr>
            <w:tcW w:w="2211" w:type="dxa"/>
            <w:vAlign w:val="center"/>
          </w:tcPr>
          <w:p>
            <w:pPr>
              <w:pStyle w:val="41"/>
              <w:rPr>
                <w:rFonts w:eastAsiaTheme="minorEastAsia"/>
                <w:kern w:val="0"/>
                <w:sz w:val="21"/>
                <w:szCs w:val="21"/>
              </w:rPr>
            </w:pPr>
            <w:r>
              <w:rPr>
                <w:rFonts w:hint="eastAsia"/>
                <w:sz w:val="21"/>
                <w:szCs w:val="21"/>
              </w:rPr>
              <w:t>乙二醇</w:t>
            </w:r>
          </w:p>
        </w:tc>
        <w:tc>
          <w:tcPr>
            <w:tcW w:w="2835" w:type="dxa"/>
            <w:vAlign w:val="center"/>
          </w:tcPr>
          <w:p>
            <w:pPr>
              <w:pStyle w:val="41"/>
              <w:rPr>
                <w:rFonts w:eastAsiaTheme="minorEastAsia"/>
                <w:kern w:val="0"/>
                <w:sz w:val="21"/>
                <w:szCs w:val="21"/>
              </w:rPr>
            </w:pPr>
            <w:r>
              <w:rPr>
                <w:rFonts w:eastAsia="等线"/>
                <w:sz w:val="21"/>
                <w:szCs w:val="21"/>
              </w:rPr>
              <w:t xml:space="preserve">0.0400 </w:t>
            </w:r>
          </w:p>
        </w:tc>
        <w:tc>
          <w:tcPr>
            <w:tcW w:w="2971" w:type="dxa"/>
            <w:vAlign w:val="center"/>
          </w:tcPr>
          <w:p>
            <w:pPr>
              <w:pStyle w:val="41"/>
              <w:rPr>
                <w:rFonts w:eastAsiaTheme="minorEastAsia"/>
                <w:kern w:val="0"/>
                <w:sz w:val="21"/>
                <w:szCs w:val="21"/>
              </w:rPr>
            </w:pPr>
            <w:r>
              <w:rPr>
                <w:rFonts w:eastAsia="等线"/>
                <w:sz w:val="21"/>
                <w:szCs w:val="21"/>
              </w:rPr>
              <w:t xml:space="preserve">0.3200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58" w:type="dxa"/>
            <w:vAlign w:val="center"/>
          </w:tcPr>
          <w:p>
            <w:pPr>
              <w:pStyle w:val="41"/>
              <w:rPr>
                <w:rFonts w:eastAsiaTheme="minorEastAsia"/>
                <w:kern w:val="0"/>
                <w:sz w:val="21"/>
                <w:szCs w:val="21"/>
              </w:rPr>
            </w:pPr>
            <w:r>
              <w:rPr>
                <w:rFonts w:eastAsia="等线"/>
                <w:sz w:val="21"/>
                <w:szCs w:val="21"/>
              </w:rPr>
              <w:t>2</w:t>
            </w:r>
          </w:p>
        </w:tc>
        <w:tc>
          <w:tcPr>
            <w:tcW w:w="2211" w:type="dxa"/>
            <w:vAlign w:val="center"/>
          </w:tcPr>
          <w:p>
            <w:pPr>
              <w:pStyle w:val="41"/>
              <w:rPr>
                <w:rFonts w:eastAsiaTheme="minorEastAsia"/>
                <w:kern w:val="0"/>
                <w:sz w:val="21"/>
                <w:szCs w:val="21"/>
              </w:rPr>
            </w:pPr>
            <w:r>
              <w:rPr>
                <w:rFonts w:hint="eastAsia"/>
                <w:sz w:val="21"/>
                <w:szCs w:val="21"/>
              </w:rPr>
              <w:t>丙二醇</w:t>
            </w:r>
          </w:p>
        </w:tc>
        <w:tc>
          <w:tcPr>
            <w:tcW w:w="2835" w:type="dxa"/>
            <w:vAlign w:val="center"/>
          </w:tcPr>
          <w:p>
            <w:pPr>
              <w:pStyle w:val="41"/>
              <w:rPr>
                <w:rFonts w:eastAsiaTheme="minorEastAsia"/>
                <w:kern w:val="0"/>
                <w:sz w:val="21"/>
                <w:szCs w:val="21"/>
              </w:rPr>
            </w:pPr>
            <w:r>
              <w:rPr>
                <w:rFonts w:eastAsia="等线"/>
                <w:sz w:val="21"/>
                <w:szCs w:val="21"/>
              </w:rPr>
              <w:t xml:space="preserve">0.0104 </w:t>
            </w:r>
          </w:p>
        </w:tc>
        <w:tc>
          <w:tcPr>
            <w:tcW w:w="2971" w:type="dxa"/>
            <w:vAlign w:val="center"/>
          </w:tcPr>
          <w:p>
            <w:pPr>
              <w:pStyle w:val="41"/>
              <w:rPr>
                <w:rFonts w:eastAsiaTheme="minorEastAsia"/>
                <w:kern w:val="0"/>
                <w:sz w:val="21"/>
                <w:szCs w:val="21"/>
              </w:rPr>
            </w:pPr>
            <w:r>
              <w:rPr>
                <w:rFonts w:eastAsia="等线"/>
                <w:sz w:val="21"/>
                <w:szCs w:val="21"/>
              </w:rPr>
              <w:t xml:space="preserve">0.0833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58" w:type="dxa"/>
            <w:vAlign w:val="center"/>
          </w:tcPr>
          <w:p>
            <w:pPr>
              <w:pStyle w:val="41"/>
              <w:rPr>
                <w:rFonts w:eastAsiaTheme="minorEastAsia"/>
                <w:kern w:val="0"/>
                <w:sz w:val="21"/>
                <w:szCs w:val="21"/>
              </w:rPr>
            </w:pPr>
            <w:r>
              <w:rPr>
                <w:rFonts w:eastAsia="等线"/>
                <w:sz w:val="21"/>
                <w:szCs w:val="21"/>
              </w:rPr>
              <w:t>3</w:t>
            </w:r>
          </w:p>
        </w:tc>
        <w:tc>
          <w:tcPr>
            <w:tcW w:w="2211" w:type="dxa"/>
            <w:vAlign w:val="center"/>
          </w:tcPr>
          <w:p>
            <w:pPr>
              <w:pStyle w:val="41"/>
              <w:rPr>
                <w:rFonts w:eastAsiaTheme="minorEastAsia"/>
                <w:kern w:val="0"/>
                <w:sz w:val="21"/>
                <w:szCs w:val="21"/>
              </w:rPr>
            </w:pPr>
            <w:r>
              <w:rPr>
                <w:rFonts w:hint="eastAsia"/>
                <w:sz w:val="21"/>
                <w:szCs w:val="21"/>
              </w:rPr>
              <w:t>V</w:t>
            </w:r>
            <w:r>
              <w:rPr>
                <w:sz w:val="21"/>
                <w:szCs w:val="21"/>
              </w:rPr>
              <w:t>OC</w:t>
            </w:r>
            <w:r>
              <w:rPr>
                <w:sz w:val="21"/>
                <w:szCs w:val="21"/>
                <w:vertAlign w:val="subscript"/>
              </w:rPr>
              <w:t>S</w:t>
            </w:r>
          </w:p>
        </w:tc>
        <w:tc>
          <w:tcPr>
            <w:tcW w:w="2835" w:type="dxa"/>
            <w:vAlign w:val="center"/>
          </w:tcPr>
          <w:p>
            <w:pPr>
              <w:pStyle w:val="41"/>
              <w:rPr>
                <w:rFonts w:eastAsiaTheme="minorEastAsia"/>
                <w:kern w:val="0"/>
                <w:sz w:val="21"/>
                <w:szCs w:val="21"/>
              </w:rPr>
            </w:pPr>
            <w:r>
              <w:rPr>
                <w:rFonts w:eastAsia="等线"/>
                <w:sz w:val="21"/>
                <w:szCs w:val="21"/>
              </w:rPr>
              <w:t xml:space="preserve">0.0504 </w:t>
            </w:r>
          </w:p>
        </w:tc>
        <w:tc>
          <w:tcPr>
            <w:tcW w:w="2971" w:type="dxa"/>
            <w:vAlign w:val="center"/>
          </w:tcPr>
          <w:p>
            <w:pPr>
              <w:pStyle w:val="41"/>
              <w:rPr>
                <w:rFonts w:eastAsiaTheme="minorEastAsia"/>
                <w:kern w:val="0"/>
                <w:sz w:val="21"/>
                <w:szCs w:val="21"/>
              </w:rPr>
            </w:pPr>
            <w:r>
              <w:rPr>
                <w:rFonts w:eastAsia="等线"/>
                <w:sz w:val="21"/>
                <w:szCs w:val="21"/>
              </w:rPr>
              <w:t xml:space="preserve">0.4033 </w:t>
            </w:r>
          </w:p>
        </w:tc>
      </w:tr>
      <w:bookmarkEnd w:id="76"/>
    </w:tbl>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项目通过严格执行泄漏检测与修复制度，可以有效减少因装置和管线密封点泄漏所产生的无组织排放。</w:t>
      </w:r>
    </w:p>
    <w:p>
      <w:pPr>
        <w:pStyle w:val="32"/>
        <w:spacing w:line="480" w:lineRule="exact"/>
        <w:ind w:left="851" w:firstLine="0" w:firstLineChars="0"/>
        <w:rPr>
          <w:rFonts w:eastAsia="宋体"/>
          <w:b w:val="0"/>
          <w:sz w:val="28"/>
          <w:szCs w:val="28"/>
        </w:rPr>
      </w:pPr>
      <w:r>
        <w:rPr>
          <w:rFonts w:hint="eastAsia" w:eastAsia="宋体"/>
          <w:b w:val="0"/>
          <w:sz w:val="28"/>
          <w:szCs w:val="28"/>
        </w:rPr>
        <w:t>本项目废气污染物产排情况见表表3.5-</w:t>
      </w:r>
      <w:r>
        <w:rPr>
          <w:rFonts w:eastAsia="宋体"/>
          <w:b w:val="0"/>
          <w:sz w:val="28"/>
          <w:szCs w:val="28"/>
        </w:rPr>
        <w:t>3</w:t>
      </w:r>
      <w:r>
        <w:rPr>
          <w:rFonts w:hint="eastAsia" w:eastAsia="宋体"/>
          <w:b w:val="0"/>
          <w:sz w:val="28"/>
          <w:szCs w:val="28"/>
        </w:rPr>
        <w:t>。</w:t>
      </w:r>
    </w:p>
    <w:p>
      <w:pPr>
        <w:pStyle w:val="32"/>
        <w:spacing w:line="480" w:lineRule="exact"/>
        <w:ind w:left="851" w:firstLine="0" w:firstLineChars="0"/>
      </w:pPr>
    </w:p>
    <w:p>
      <w:pPr>
        <w:pStyle w:val="32"/>
        <w:spacing w:line="480" w:lineRule="exact"/>
        <w:ind w:left="851" w:firstLine="0" w:firstLineChars="0"/>
      </w:pPr>
    </w:p>
    <w:p>
      <w:pPr>
        <w:pStyle w:val="32"/>
        <w:spacing w:line="480" w:lineRule="exact"/>
        <w:ind w:left="851" w:firstLine="0" w:firstLineChars="0"/>
      </w:pPr>
    </w:p>
    <w:p>
      <w:pPr>
        <w:pStyle w:val="32"/>
        <w:spacing w:line="480" w:lineRule="exact"/>
        <w:ind w:left="851" w:firstLine="0" w:firstLineChars="0"/>
      </w:pPr>
    </w:p>
    <w:p>
      <w:pPr>
        <w:pStyle w:val="32"/>
        <w:spacing w:line="480" w:lineRule="exact"/>
        <w:ind w:left="851" w:firstLine="0" w:firstLineChars="0"/>
      </w:pPr>
    </w:p>
    <w:p>
      <w:pPr>
        <w:pStyle w:val="32"/>
        <w:spacing w:line="480" w:lineRule="exact"/>
        <w:ind w:left="851" w:firstLine="0" w:firstLineChars="0"/>
      </w:pPr>
    </w:p>
    <w:p>
      <w:pPr>
        <w:pStyle w:val="32"/>
        <w:spacing w:line="480" w:lineRule="exact"/>
        <w:ind w:left="851" w:firstLine="0" w:firstLineChars="0"/>
        <w:sectPr>
          <w:pgSz w:w="11907" w:h="16840"/>
          <w:pgMar w:top="1474" w:right="1474" w:bottom="1474" w:left="1474" w:header="851" w:footer="851" w:gutter="0"/>
          <w:cols w:space="720" w:num="1"/>
          <w:docGrid w:linePitch="332" w:charSpace="-227"/>
        </w:sectPr>
      </w:pPr>
    </w:p>
    <w:p>
      <w:pPr>
        <w:pStyle w:val="32"/>
        <w:spacing w:line="480" w:lineRule="exact"/>
        <w:ind w:left="851" w:firstLine="0" w:firstLineChars="0"/>
      </w:pPr>
      <w:r>
        <w:t xml:space="preserve">表3.5-3                                     </w:t>
      </w:r>
      <w:r>
        <w:rPr>
          <w:rFonts w:hint="eastAsia"/>
        </w:rPr>
        <w:t>项目</w:t>
      </w:r>
      <w:r>
        <w:t>废气</w:t>
      </w:r>
      <w:r>
        <w:rPr>
          <w:rFonts w:hint="eastAsia"/>
        </w:rPr>
        <w:t>产排情况</w:t>
      </w:r>
      <w:r>
        <w:t>一览表</w:t>
      </w:r>
    </w:p>
    <w:tbl>
      <w:tblPr>
        <w:tblStyle w:val="21"/>
        <w:tblW w:w="5000" w:type="pct"/>
        <w:jc w:val="right"/>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445"/>
        <w:gridCol w:w="1559"/>
        <w:gridCol w:w="993"/>
        <w:gridCol w:w="993"/>
        <w:gridCol w:w="990"/>
        <w:gridCol w:w="993"/>
        <w:gridCol w:w="1559"/>
        <w:gridCol w:w="1133"/>
        <w:gridCol w:w="851"/>
        <w:gridCol w:w="993"/>
        <w:gridCol w:w="709"/>
        <w:gridCol w:w="809"/>
        <w:gridCol w:w="92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Merge w:val="restart"/>
            <w:vAlign w:val="center"/>
          </w:tcPr>
          <w:p>
            <w:pPr>
              <w:pStyle w:val="36"/>
              <w:spacing w:line="240" w:lineRule="auto"/>
              <w:rPr>
                <w:b/>
                <w:bCs/>
                <w:color w:val="auto"/>
                <w:szCs w:val="21"/>
              </w:rPr>
            </w:pPr>
            <w:bookmarkStart w:id="77" w:name="_Ref383892732"/>
            <w:bookmarkStart w:id="78" w:name="_Ref385927607"/>
            <w:r>
              <w:rPr>
                <w:b/>
                <w:bCs/>
                <w:color w:val="auto"/>
                <w:szCs w:val="21"/>
              </w:rPr>
              <w:t>废气名称</w:t>
            </w:r>
          </w:p>
        </w:tc>
        <w:tc>
          <w:tcPr>
            <w:tcW w:w="559" w:type="pct"/>
            <w:vMerge w:val="restart"/>
            <w:vAlign w:val="center"/>
          </w:tcPr>
          <w:p>
            <w:pPr>
              <w:pStyle w:val="36"/>
              <w:spacing w:line="240" w:lineRule="auto"/>
              <w:rPr>
                <w:b/>
                <w:bCs/>
                <w:color w:val="auto"/>
                <w:szCs w:val="21"/>
              </w:rPr>
            </w:pPr>
            <w:r>
              <w:rPr>
                <w:b/>
                <w:bCs/>
                <w:color w:val="auto"/>
                <w:szCs w:val="21"/>
              </w:rPr>
              <w:t>产生源</w:t>
            </w:r>
          </w:p>
        </w:tc>
        <w:tc>
          <w:tcPr>
            <w:tcW w:w="356" w:type="pct"/>
            <w:vMerge w:val="restart"/>
            <w:vAlign w:val="center"/>
          </w:tcPr>
          <w:p>
            <w:pPr>
              <w:pStyle w:val="36"/>
              <w:spacing w:line="240" w:lineRule="auto"/>
              <w:rPr>
                <w:b/>
                <w:bCs/>
                <w:color w:val="auto"/>
                <w:szCs w:val="21"/>
              </w:rPr>
            </w:pPr>
            <w:r>
              <w:rPr>
                <w:b/>
                <w:bCs/>
                <w:color w:val="auto"/>
                <w:szCs w:val="21"/>
              </w:rPr>
              <w:t>气量</w:t>
            </w:r>
          </w:p>
          <w:p>
            <w:pPr>
              <w:pStyle w:val="36"/>
              <w:spacing w:line="240" w:lineRule="auto"/>
              <w:rPr>
                <w:b/>
                <w:bCs/>
                <w:color w:val="auto"/>
                <w:szCs w:val="21"/>
              </w:rPr>
            </w:pPr>
            <w:r>
              <w:rPr>
                <w:b/>
                <w:bCs/>
                <w:color w:val="auto"/>
                <w:szCs w:val="21"/>
              </w:rPr>
              <w:t>Nm</w:t>
            </w:r>
            <w:r>
              <w:rPr>
                <w:b/>
                <w:bCs/>
                <w:color w:val="auto"/>
                <w:szCs w:val="21"/>
                <w:vertAlign w:val="superscript"/>
              </w:rPr>
              <w:t>3</w:t>
            </w:r>
            <w:r>
              <w:rPr>
                <w:b/>
                <w:bCs/>
                <w:color w:val="auto"/>
                <w:szCs w:val="21"/>
              </w:rPr>
              <w:t>/h</w:t>
            </w:r>
          </w:p>
        </w:tc>
        <w:tc>
          <w:tcPr>
            <w:tcW w:w="1067" w:type="pct"/>
            <w:gridSpan w:val="3"/>
            <w:vAlign w:val="center"/>
          </w:tcPr>
          <w:p>
            <w:pPr>
              <w:pStyle w:val="36"/>
              <w:spacing w:line="240" w:lineRule="auto"/>
              <w:rPr>
                <w:b/>
                <w:bCs/>
                <w:color w:val="auto"/>
                <w:szCs w:val="21"/>
              </w:rPr>
            </w:pPr>
            <w:r>
              <w:rPr>
                <w:b/>
                <w:bCs/>
                <w:color w:val="auto"/>
                <w:szCs w:val="21"/>
              </w:rPr>
              <w:t>产生情况</w:t>
            </w:r>
          </w:p>
        </w:tc>
        <w:tc>
          <w:tcPr>
            <w:tcW w:w="559" w:type="pct"/>
            <w:vMerge w:val="restart"/>
            <w:vAlign w:val="center"/>
          </w:tcPr>
          <w:p>
            <w:pPr>
              <w:pStyle w:val="36"/>
              <w:spacing w:line="240" w:lineRule="auto"/>
              <w:rPr>
                <w:b/>
                <w:bCs/>
                <w:color w:val="auto"/>
                <w:szCs w:val="21"/>
              </w:rPr>
            </w:pPr>
            <w:r>
              <w:rPr>
                <w:b/>
                <w:bCs/>
                <w:color w:val="auto"/>
                <w:szCs w:val="21"/>
              </w:rPr>
              <w:t>处理措施</w:t>
            </w:r>
          </w:p>
        </w:tc>
        <w:tc>
          <w:tcPr>
            <w:tcW w:w="406" w:type="pct"/>
            <w:vMerge w:val="restart"/>
            <w:vAlign w:val="center"/>
          </w:tcPr>
          <w:p>
            <w:pPr>
              <w:pStyle w:val="36"/>
              <w:spacing w:line="240" w:lineRule="auto"/>
              <w:rPr>
                <w:b/>
                <w:bCs/>
                <w:color w:val="auto"/>
                <w:szCs w:val="21"/>
              </w:rPr>
            </w:pPr>
            <w:r>
              <w:rPr>
                <w:b/>
                <w:bCs/>
                <w:color w:val="auto"/>
                <w:szCs w:val="21"/>
              </w:rPr>
              <w:t>处理</w:t>
            </w:r>
          </w:p>
          <w:p>
            <w:pPr>
              <w:pStyle w:val="36"/>
              <w:spacing w:line="240" w:lineRule="auto"/>
              <w:rPr>
                <w:b/>
                <w:bCs/>
                <w:color w:val="auto"/>
                <w:szCs w:val="21"/>
              </w:rPr>
            </w:pPr>
            <w:r>
              <w:rPr>
                <w:b/>
                <w:bCs/>
                <w:color w:val="auto"/>
                <w:szCs w:val="21"/>
              </w:rPr>
              <w:t>效率</w:t>
            </w:r>
          </w:p>
          <w:p>
            <w:pPr>
              <w:pStyle w:val="36"/>
              <w:spacing w:line="240" w:lineRule="auto"/>
              <w:rPr>
                <w:b/>
                <w:bCs/>
                <w:color w:val="auto"/>
                <w:szCs w:val="21"/>
              </w:rPr>
            </w:pPr>
            <w:r>
              <w:rPr>
                <w:b/>
                <w:bCs/>
                <w:color w:val="auto"/>
                <w:szCs w:val="21"/>
              </w:rPr>
              <w:t>%</w:t>
            </w:r>
          </w:p>
        </w:tc>
        <w:tc>
          <w:tcPr>
            <w:tcW w:w="915" w:type="pct"/>
            <w:gridSpan w:val="3"/>
            <w:vAlign w:val="center"/>
          </w:tcPr>
          <w:p>
            <w:pPr>
              <w:pStyle w:val="36"/>
              <w:spacing w:line="240" w:lineRule="auto"/>
              <w:rPr>
                <w:b/>
                <w:bCs/>
                <w:color w:val="auto"/>
                <w:szCs w:val="21"/>
              </w:rPr>
            </w:pPr>
            <w:r>
              <w:rPr>
                <w:b/>
                <w:bCs/>
                <w:color w:val="auto"/>
                <w:szCs w:val="21"/>
              </w:rPr>
              <w:t>排放情况</w:t>
            </w:r>
          </w:p>
        </w:tc>
        <w:tc>
          <w:tcPr>
            <w:tcW w:w="290" w:type="pct"/>
            <w:vMerge w:val="restart"/>
            <w:vAlign w:val="center"/>
          </w:tcPr>
          <w:p>
            <w:pPr>
              <w:pStyle w:val="36"/>
              <w:spacing w:line="240" w:lineRule="auto"/>
              <w:rPr>
                <w:b/>
                <w:bCs/>
                <w:color w:val="auto"/>
                <w:szCs w:val="21"/>
              </w:rPr>
            </w:pPr>
            <w:r>
              <w:rPr>
                <w:b/>
                <w:bCs/>
                <w:color w:val="auto"/>
                <w:szCs w:val="21"/>
              </w:rPr>
              <w:t>排放</w:t>
            </w:r>
          </w:p>
          <w:p>
            <w:pPr>
              <w:pStyle w:val="36"/>
              <w:spacing w:line="240" w:lineRule="auto"/>
              <w:rPr>
                <w:b/>
                <w:bCs/>
                <w:color w:val="auto"/>
                <w:szCs w:val="21"/>
              </w:rPr>
            </w:pPr>
            <w:r>
              <w:rPr>
                <w:b/>
                <w:bCs/>
                <w:color w:val="auto"/>
                <w:szCs w:val="21"/>
              </w:rPr>
              <w:t>标准mg/m</w:t>
            </w:r>
            <w:r>
              <w:rPr>
                <w:b/>
                <w:bCs/>
                <w:color w:val="auto"/>
                <w:szCs w:val="21"/>
                <w:vertAlign w:val="superscript"/>
              </w:rPr>
              <w:t>3</w:t>
            </w:r>
          </w:p>
        </w:tc>
        <w:tc>
          <w:tcPr>
            <w:tcW w:w="330" w:type="pct"/>
            <w:vMerge w:val="restart"/>
            <w:vAlign w:val="center"/>
          </w:tcPr>
          <w:p>
            <w:pPr>
              <w:pStyle w:val="54"/>
              <w:spacing w:line="240" w:lineRule="auto"/>
              <w:ind w:firstLine="0" w:firstLineChars="0"/>
              <w:rPr>
                <w:b/>
                <w:bCs/>
                <w:color w:val="auto"/>
                <w:sz w:val="21"/>
                <w:szCs w:val="21"/>
              </w:rPr>
            </w:pPr>
            <w:r>
              <w:rPr>
                <w:b/>
                <w:bCs/>
                <w:color w:val="auto"/>
                <w:sz w:val="21"/>
                <w:szCs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Merge w:val="continue"/>
            <w:vAlign w:val="center"/>
          </w:tcPr>
          <w:p>
            <w:pPr>
              <w:widowControl/>
              <w:jc w:val="center"/>
              <w:rPr>
                <w:rFonts w:ascii="Times New Roman" w:hAnsi="Times New Roman"/>
                <w:b/>
                <w:bCs/>
                <w:szCs w:val="21"/>
              </w:rPr>
            </w:pPr>
          </w:p>
        </w:tc>
        <w:tc>
          <w:tcPr>
            <w:tcW w:w="559" w:type="pct"/>
            <w:vMerge w:val="continue"/>
            <w:vAlign w:val="center"/>
          </w:tcPr>
          <w:p>
            <w:pPr>
              <w:widowControl/>
              <w:jc w:val="center"/>
              <w:rPr>
                <w:rFonts w:ascii="Times New Roman" w:hAnsi="Times New Roman"/>
                <w:b/>
                <w:bCs/>
                <w:szCs w:val="21"/>
              </w:rPr>
            </w:pPr>
          </w:p>
        </w:tc>
        <w:tc>
          <w:tcPr>
            <w:tcW w:w="356" w:type="pct"/>
            <w:vMerge w:val="continue"/>
            <w:vAlign w:val="center"/>
          </w:tcPr>
          <w:p>
            <w:pPr>
              <w:pStyle w:val="36"/>
              <w:spacing w:line="240" w:lineRule="auto"/>
              <w:rPr>
                <w:b/>
                <w:bCs/>
                <w:color w:val="auto"/>
                <w:szCs w:val="21"/>
              </w:rPr>
            </w:pPr>
          </w:p>
        </w:tc>
        <w:tc>
          <w:tcPr>
            <w:tcW w:w="356" w:type="pct"/>
            <w:vAlign w:val="center"/>
          </w:tcPr>
          <w:p>
            <w:pPr>
              <w:pStyle w:val="36"/>
              <w:spacing w:line="240" w:lineRule="auto"/>
              <w:rPr>
                <w:b/>
                <w:bCs/>
                <w:color w:val="auto"/>
                <w:szCs w:val="21"/>
              </w:rPr>
            </w:pPr>
            <w:r>
              <w:rPr>
                <w:b/>
                <w:bCs/>
                <w:color w:val="auto"/>
                <w:szCs w:val="21"/>
              </w:rPr>
              <w:t>污染</w:t>
            </w:r>
          </w:p>
          <w:p>
            <w:pPr>
              <w:pStyle w:val="36"/>
              <w:spacing w:line="240" w:lineRule="auto"/>
              <w:rPr>
                <w:b/>
                <w:bCs/>
                <w:color w:val="auto"/>
                <w:szCs w:val="21"/>
              </w:rPr>
            </w:pPr>
            <w:r>
              <w:rPr>
                <w:b/>
                <w:bCs/>
                <w:color w:val="auto"/>
                <w:szCs w:val="21"/>
              </w:rPr>
              <w:t>因子</w:t>
            </w:r>
          </w:p>
        </w:tc>
        <w:tc>
          <w:tcPr>
            <w:tcW w:w="355" w:type="pct"/>
            <w:vAlign w:val="center"/>
          </w:tcPr>
          <w:p>
            <w:pPr>
              <w:pStyle w:val="36"/>
              <w:spacing w:line="240" w:lineRule="auto"/>
              <w:rPr>
                <w:b/>
                <w:bCs/>
                <w:color w:val="auto"/>
                <w:szCs w:val="21"/>
              </w:rPr>
            </w:pPr>
            <w:r>
              <w:rPr>
                <w:b/>
                <w:bCs/>
                <w:color w:val="auto"/>
                <w:szCs w:val="21"/>
              </w:rPr>
              <w:t>浓度mg/m</w:t>
            </w:r>
            <w:r>
              <w:rPr>
                <w:b/>
                <w:bCs/>
                <w:color w:val="auto"/>
                <w:szCs w:val="21"/>
                <w:vertAlign w:val="superscript"/>
              </w:rPr>
              <w:t>3</w:t>
            </w:r>
          </w:p>
        </w:tc>
        <w:tc>
          <w:tcPr>
            <w:tcW w:w="356" w:type="pct"/>
            <w:vAlign w:val="center"/>
          </w:tcPr>
          <w:p>
            <w:pPr>
              <w:pStyle w:val="36"/>
              <w:spacing w:line="240" w:lineRule="auto"/>
              <w:rPr>
                <w:b/>
                <w:bCs/>
                <w:color w:val="auto"/>
                <w:szCs w:val="21"/>
              </w:rPr>
            </w:pPr>
            <w:r>
              <w:rPr>
                <w:b/>
                <w:bCs/>
                <w:color w:val="auto"/>
                <w:szCs w:val="21"/>
              </w:rPr>
              <w:t>速率</w:t>
            </w:r>
          </w:p>
          <w:p>
            <w:pPr>
              <w:pStyle w:val="36"/>
              <w:spacing w:line="240" w:lineRule="auto"/>
              <w:rPr>
                <w:b/>
                <w:bCs/>
                <w:color w:val="auto"/>
                <w:szCs w:val="21"/>
              </w:rPr>
            </w:pPr>
            <w:r>
              <w:rPr>
                <w:b/>
                <w:bCs/>
                <w:color w:val="auto"/>
                <w:szCs w:val="21"/>
              </w:rPr>
              <w:t>kg/h</w:t>
            </w:r>
          </w:p>
        </w:tc>
        <w:tc>
          <w:tcPr>
            <w:tcW w:w="559" w:type="pct"/>
            <w:vMerge w:val="continue"/>
            <w:vAlign w:val="center"/>
          </w:tcPr>
          <w:p>
            <w:pPr>
              <w:pStyle w:val="36"/>
              <w:spacing w:line="240" w:lineRule="auto"/>
              <w:rPr>
                <w:color w:val="auto"/>
                <w:szCs w:val="21"/>
              </w:rPr>
            </w:pPr>
          </w:p>
        </w:tc>
        <w:tc>
          <w:tcPr>
            <w:tcW w:w="406" w:type="pct"/>
            <w:vMerge w:val="continue"/>
            <w:vAlign w:val="center"/>
          </w:tcPr>
          <w:p>
            <w:pPr>
              <w:pStyle w:val="36"/>
              <w:spacing w:line="240" w:lineRule="auto"/>
              <w:rPr>
                <w:color w:val="auto"/>
                <w:szCs w:val="21"/>
              </w:rPr>
            </w:pPr>
          </w:p>
        </w:tc>
        <w:tc>
          <w:tcPr>
            <w:tcW w:w="305" w:type="pct"/>
            <w:vAlign w:val="center"/>
          </w:tcPr>
          <w:p>
            <w:pPr>
              <w:pStyle w:val="36"/>
              <w:spacing w:line="240" w:lineRule="auto"/>
              <w:rPr>
                <w:b/>
                <w:bCs/>
                <w:color w:val="auto"/>
                <w:szCs w:val="21"/>
              </w:rPr>
            </w:pPr>
            <w:r>
              <w:rPr>
                <w:b/>
                <w:bCs/>
                <w:color w:val="auto"/>
                <w:szCs w:val="21"/>
              </w:rPr>
              <w:t>浓度mg/m</w:t>
            </w:r>
            <w:r>
              <w:rPr>
                <w:b/>
                <w:bCs/>
                <w:color w:val="auto"/>
                <w:szCs w:val="21"/>
                <w:vertAlign w:val="superscript"/>
              </w:rPr>
              <w:t>3</w:t>
            </w:r>
          </w:p>
        </w:tc>
        <w:tc>
          <w:tcPr>
            <w:tcW w:w="356" w:type="pct"/>
            <w:vAlign w:val="center"/>
          </w:tcPr>
          <w:p>
            <w:pPr>
              <w:pStyle w:val="36"/>
              <w:spacing w:line="240" w:lineRule="auto"/>
              <w:rPr>
                <w:b/>
                <w:bCs/>
                <w:color w:val="auto"/>
                <w:szCs w:val="21"/>
              </w:rPr>
            </w:pPr>
            <w:r>
              <w:rPr>
                <w:b/>
                <w:bCs/>
                <w:color w:val="auto"/>
                <w:szCs w:val="21"/>
              </w:rPr>
              <w:t>速率</w:t>
            </w:r>
          </w:p>
          <w:p>
            <w:pPr>
              <w:pStyle w:val="36"/>
              <w:spacing w:line="240" w:lineRule="auto"/>
              <w:rPr>
                <w:b/>
                <w:bCs/>
                <w:color w:val="auto"/>
                <w:szCs w:val="21"/>
              </w:rPr>
            </w:pPr>
            <w:r>
              <w:rPr>
                <w:b/>
                <w:bCs/>
                <w:color w:val="auto"/>
                <w:szCs w:val="21"/>
              </w:rPr>
              <w:t>kg/h</w:t>
            </w:r>
          </w:p>
        </w:tc>
        <w:tc>
          <w:tcPr>
            <w:tcW w:w="254" w:type="pct"/>
            <w:vAlign w:val="center"/>
          </w:tcPr>
          <w:p>
            <w:pPr>
              <w:pStyle w:val="36"/>
              <w:spacing w:line="240" w:lineRule="auto"/>
              <w:rPr>
                <w:b/>
                <w:bCs/>
                <w:color w:val="auto"/>
                <w:szCs w:val="21"/>
              </w:rPr>
            </w:pPr>
            <w:r>
              <w:rPr>
                <w:b/>
                <w:bCs/>
                <w:color w:val="auto"/>
                <w:szCs w:val="21"/>
              </w:rPr>
              <w:t>排放量t/a</w:t>
            </w:r>
          </w:p>
        </w:tc>
        <w:tc>
          <w:tcPr>
            <w:tcW w:w="290" w:type="pct"/>
            <w:vMerge w:val="continue"/>
            <w:vAlign w:val="center"/>
          </w:tcPr>
          <w:p>
            <w:pPr>
              <w:widowControl/>
              <w:jc w:val="center"/>
              <w:rPr>
                <w:rFonts w:ascii="Times New Roman" w:hAnsi="Times New Roman"/>
                <w:szCs w:val="21"/>
              </w:rPr>
            </w:pPr>
          </w:p>
        </w:tc>
        <w:tc>
          <w:tcPr>
            <w:tcW w:w="330" w:type="pct"/>
            <w:vMerge w:val="continue"/>
            <w:vAlign w:val="center"/>
          </w:tcPr>
          <w:p>
            <w:pPr>
              <w:widowControl/>
              <w:jc w:val="center"/>
              <w:rPr>
                <w:rFonts w:ascii="Times New Roman" w:hAnsi="Times New Roman"/>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Align w:val="center"/>
          </w:tcPr>
          <w:p>
            <w:pPr>
              <w:pStyle w:val="36"/>
              <w:spacing w:line="240" w:lineRule="auto"/>
              <w:jc w:val="left"/>
              <w:rPr>
                <w:color w:val="auto"/>
                <w:szCs w:val="21"/>
                <w:vertAlign w:val="subscript"/>
              </w:rPr>
            </w:pPr>
            <w:r>
              <w:rPr>
                <w:color w:val="auto"/>
                <w:szCs w:val="21"/>
              </w:rPr>
              <w:t>G</w:t>
            </w:r>
            <w:r>
              <w:rPr>
                <w:color w:val="auto"/>
                <w:szCs w:val="21"/>
                <w:vertAlign w:val="subscript"/>
              </w:rPr>
              <w:t>1</w:t>
            </w:r>
            <w:r>
              <w:rPr>
                <w:color w:val="auto"/>
                <w:szCs w:val="21"/>
              </w:rPr>
              <w:t>反应氢气驰放气</w:t>
            </w:r>
          </w:p>
        </w:tc>
        <w:tc>
          <w:tcPr>
            <w:tcW w:w="559" w:type="pct"/>
            <w:vAlign w:val="center"/>
          </w:tcPr>
          <w:p>
            <w:pPr>
              <w:pStyle w:val="36"/>
              <w:spacing w:line="240" w:lineRule="auto"/>
              <w:rPr>
                <w:color w:val="auto"/>
                <w:szCs w:val="21"/>
              </w:rPr>
            </w:pPr>
            <w:r>
              <w:rPr>
                <w:color w:val="auto"/>
                <w:szCs w:val="21"/>
              </w:rPr>
              <w:t>合成反应釜</w:t>
            </w:r>
          </w:p>
        </w:tc>
        <w:tc>
          <w:tcPr>
            <w:tcW w:w="356" w:type="pct"/>
            <w:vAlign w:val="center"/>
          </w:tcPr>
          <w:p>
            <w:pPr>
              <w:pStyle w:val="36"/>
              <w:spacing w:line="240" w:lineRule="auto"/>
              <w:rPr>
                <w:color w:val="auto"/>
                <w:szCs w:val="21"/>
              </w:rPr>
            </w:pPr>
            <w:r>
              <w:rPr>
                <w:color w:val="auto"/>
                <w:szCs w:val="21"/>
              </w:rPr>
              <w:t>100</w:t>
            </w:r>
          </w:p>
        </w:tc>
        <w:tc>
          <w:tcPr>
            <w:tcW w:w="356" w:type="pct"/>
            <w:vAlign w:val="center"/>
          </w:tcPr>
          <w:p>
            <w:pPr>
              <w:pStyle w:val="36"/>
              <w:spacing w:line="240" w:lineRule="auto"/>
              <w:rPr>
                <w:color w:val="auto"/>
                <w:szCs w:val="21"/>
              </w:rPr>
            </w:pPr>
            <w:r>
              <w:rPr>
                <w:color w:val="auto"/>
                <w:szCs w:val="21"/>
              </w:rPr>
              <w:t>氢气</w:t>
            </w:r>
          </w:p>
        </w:tc>
        <w:tc>
          <w:tcPr>
            <w:tcW w:w="355" w:type="pct"/>
            <w:vAlign w:val="center"/>
          </w:tcPr>
          <w:p>
            <w:pPr>
              <w:pStyle w:val="36"/>
              <w:spacing w:line="240" w:lineRule="auto"/>
              <w:rPr>
                <w:color w:val="auto"/>
                <w:szCs w:val="21"/>
              </w:rPr>
            </w:pPr>
            <w:r>
              <w:rPr>
                <w:color w:val="auto"/>
                <w:szCs w:val="21"/>
              </w:rPr>
              <w:t>~89450</w:t>
            </w:r>
          </w:p>
        </w:tc>
        <w:tc>
          <w:tcPr>
            <w:tcW w:w="356" w:type="pct"/>
            <w:vAlign w:val="center"/>
          </w:tcPr>
          <w:p>
            <w:pPr>
              <w:pStyle w:val="36"/>
              <w:spacing w:line="240" w:lineRule="auto"/>
              <w:rPr>
                <w:color w:val="auto"/>
                <w:szCs w:val="21"/>
              </w:rPr>
            </w:pPr>
            <w:r>
              <w:rPr>
                <w:rFonts w:hint="eastAsia"/>
                <w:color w:val="auto"/>
                <w:szCs w:val="21"/>
              </w:rPr>
              <w:t>8</w:t>
            </w:r>
            <w:r>
              <w:rPr>
                <w:color w:val="auto"/>
                <w:szCs w:val="21"/>
              </w:rPr>
              <w:t>.95</w:t>
            </w:r>
          </w:p>
        </w:tc>
        <w:tc>
          <w:tcPr>
            <w:tcW w:w="559" w:type="pct"/>
            <w:vAlign w:val="center"/>
          </w:tcPr>
          <w:p>
            <w:pPr>
              <w:pStyle w:val="36"/>
              <w:spacing w:line="240" w:lineRule="auto"/>
              <w:rPr>
                <w:color w:val="auto"/>
                <w:szCs w:val="21"/>
              </w:rPr>
            </w:pPr>
            <w:r>
              <w:rPr>
                <w:color w:val="auto"/>
                <w:szCs w:val="21"/>
              </w:rPr>
              <w:t>送现有火炬系统</w:t>
            </w:r>
          </w:p>
        </w:tc>
        <w:tc>
          <w:tcPr>
            <w:tcW w:w="406" w:type="pct"/>
            <w:vAlign w:val="center"/>
          </w:tcPr>
          <w:p>
            <w:pPr>
              <w:pStyle w:val="36"/>
              <w:spacing w:line="240" w:lineRule="auto"/>
              <w:rPr>
                <w:color w:val="auto"/>
                <w:szCs w:val="21"/>
              </w:rPr>
            </w:pPr>
            <w:r>
              <w:rPr>
                <w:color w:val="auto"/>
                <w:szCs w:val="21"/>
              </w:rPr>
              <w:t>/</w:t>
            </w:r>
          </w:p>
        </w:tc>
        <w:tc>
          <w:tcPr>
            <w:tcW w:w="305" w:type="pct"/>
            <w:vAlign w:val="center"/>
          </w:tcPr>
          <w:p>
            <w:pPr>
              <w:pStyle w:val="36"/>
              <w:spacing w:line="240" w:lineRule="auto"/>
              <w:rPr>
                <w:color w:val="auto"/>
                <w:szCs w:val="21"/>
              </w:rPr>
            </w:pPr>
            <w:r>
              <w:rPr>
                <w:color w:val="auto"/>
                <w:szCs w:val="21"/>
              </w:rPr>
              <w:t>/</w:t>
            </w:r>
          </w:p>
        </w:tc>
        <w:tc>
          <w:tcPr>
            <w:tcW w:w="356" w:type="pct"/>
            <w:vAlign w:val="center"/>
          </w:tcPr>
          <w:p>
            <w:pPr>
              <w:pStyle w:val="36"/>
              <w:spacing w:line="240" w:lineRule="auto"/>
              <w:rPr>
                <w:color w:val="auto"/>
                <w:szCs w:val="21"/>
              </w:rPr>
            </w:pPr>
            <w:r>
              <w:rPr>
                <w:color w:val="auto"/>
                <w:szCs w:val="21"/>
              </w:rPr>
              <w:t>/</w:t>
            </w:r>
          </w:p>
        </w:tc>
        <w:tc>
          <w:tcPr>
            <w:tcW w:w="254" w:type="pct"/>
            <w:vAlign w:val="center"/>
          </w:tcPr>
          <w:p>
            <w:pPr>
              <w:pStyle w:val="36"/>
              <w:spacing w:line="240" w:lineRule="auto"/>
              <w:rPr>
                <w:color w:val="auto"/>
                <w:szCs w:val="21"/>
              </w:rPr>
            </w:pPr>
            <w:r>
              <w:rPr>
                <w:color w:val="auto"/>
                <w:szCs w:val="21"/>
              </w:rPr>
              <w:t>/</w:t>
            </w:r>
          </w:p>
        </w:tc>
        <w:tc>
          <w:tcPr>
            <w:tcW w:w="290" w:type="pct"/>
            <w:vAlign w:val="center"/>
          </w:tcPr>
          <w:p>
            <w:pPr>
              <w:pStyle w:val="36"/>
              <w:spacing w:line="240" w:lineRule="auto"/>
              <w:rPr>
                <w:color w:val="auto"/>
                <w:szCs w:val="21"/>
              </w:rPr>
            </w:pPr>
            <w:r>
              <w:rPr>
                <w:color w:val="auto"/>
                <w:szCs w:val="21"/>
              </w:rPr>
              <w:t>/</w:t>
            </w:r>
          </w:p>
        </w:tc>
        <w:tc>
          <w:tcPr>
            <w:tcW w:w="330" w:type="pct"/>
            <w:vAlign w:val="center"/>
          </w:tcPr>
          <w:p>
            <w:pPr>
              <w:jc w:val="center"/>
              <w:rPr>
                <w:rFonts w:ascii="Times New Roman" w:hAnsi="Times New Roman"/>
                <w:szCs w:val="21"/>
              </w:rPr>
            </w:pPr>
            <w:r>
              <w:rPr>
                <w:rFonts w:ascii="Times New Roman" w:hAnsi="Times New Roman"/>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Align w:val="center"/>
          </w:tcPr>
          <w:p>
            <w:pPr>
              <w:pStyle w:val="36"/>
              <w:spacing w:line="240" w:lineRule="auto"/>
              <w:jc w:val="left"/>
              <w:rPr>
                <w:color w:val="auto"/>
                <w:szCs w:val="21"/>
              </w:rPr>
            </w:pPr>
            <w:r>
              <w:rPr>
                <w:color w:val="auto"/>
                <w:szCs w:val="21"/>
              </w:rPr>
              <w:t>G</w:t>
            </w:r>
            <w:r>
              <w:rPr>
                <w:color w:val="auto"/>
                <w:szCs w:val="21"/>
                <w:vertAlign w:val="subscript"/>
              </w:rPr>
              <w:t>2</w:t>
            </w:r>
            <w:r>
              <w:rPr>
                <w:color w:val="auto"/>
                <w:kern w:val="0"/>
                <w:szCs w:val="21"/>
              </w:rPr>
              <w:t>闪蒸不凝气</w:t>
            </w:r>
          </w:p>
        </w:tc>
        <w:tc>
          <w:tcPr>
            <w:tcW w:w="559" w:type="pct"/>
            <w:vAlign w:val="center"/>
          </w:tcPr>
          <w:p>
            <w:pPr>
              <w:pStyle w:val="36"/>
              <w:spacing w:line="240" w:lineRule="auto"/>
              <w:rPr>
                <w:color w:val="auto"/>
                <w:szCs w:val="21"/>
              </w:rPr>
            </w:pPr>
            <w:r>
              <w:rPr>
                <w:color w:val="auto"/>
                <w:szCs w:val="21"/>
              </w:rPr>
              <w:t>闪蒸汽冷凝罐</w:t>
            </w:r>
          </w:p>
        </w:tc>
        <w:tc>
          <w:tcPr>
            <w:tcW w:w="356" w:type="pct"/>
            <w:vAlign w:val="center"/>
          </w:tcPr>
          <w:p>
            <w:pPr>
              <w:pStyle w:val="36"/>
              <w:spacing w:line="240" w:lineRule="auto"/>
              <w:rPr>
                <w:color w:val="auto"/>
                <w:szCs w:val="21"/>
              </w:rPr>
            </w:pPr>
            <w:r>
              <w:rPr>
                <w:rFonts w:hint="eastAsia"/>
                <w:color w:val="auto"/>
                <w:szCs w:val="21"/>
              </w:rPr>
              <w:t>/</w:t>
            </w:r>
          </w:p>
        </w:tc>
        <w:tc>
          <w:tcPr>
            <w:tcW w:w="356" w:type="pct"/>
            <w:vAlign w:val="center"/>
          </w:tcPr>
          <w:p>
            <w:pPr>
              <w:pStyle w:val="36"/>
              <w:spacing w:line="240" w:lineRule="auto"/>
              <w:rPr>
                <w:color w:val="auto"/>
                <w:szCs w:val="21"/>
              </w:rPr>
            </w:pPr>
            <w:r>
              <w:rPr>
                <w:color w:val="auto"/>
                <w:szCs w:val="21"/>
              </w:rPr>
              <w:t>醇类</w:t>
            </w:r>
          </w:p>
        </w:tc>
        <w:tc>
          <w:tcPr>
            <w:tcW w:w="355" w:type="pct"/>
            <w:vAlign w:val="center"/>
          </w:tcPr>
          <w:p>
            <w:pPr>
              <w:pStyle w:val="36"/>
              <w:spacing w:line="240" w:lineRule="auto"/>
              <w:rPr>
                <w:color w:val="auto"/>
                <w:szCs w:val="21"/>
              </w:rPr>
            </w:pPr>
            <w:r>
              <w:rPr>
                <w:rFonts w:hint="eastAsia"/>
                <w:color w:val="auto"/>
                <w:szCs w:val="21"/>
              </w:rPr>
              <w:t>/</w:t>
            </w:r>
          </w:p>
        </w:tc>
        <w:tc>
          <w:tcPr>
            <w:tcW w:w="356" w:type="pct"/>
            <w:vAlign w:val="center"/>
          </w:tcPr>
          <w:p>
            <w:pPr>
              <w:pStyle w:val="36"/>
              <w:spacing w:line="240" w:lineRule="auto"/>
              <w:rPr>
                <w:color w:val="auto"/>
                <w:szCs w:val="21"/>
              </w:rPr>
            </w:pPr>
            <w:r>
              <w:rPr>
                <w:color w:val="auto"/>
                <w:szCs w:val="21"/>
              </w:rPr>
              <w:t>0.11</w:t>
            </w:r>
          </w:p>
        </w:tc>
        <w:tc>
          <w:tcPr>
            <w:tcW w:w="559" w:type="pct"/>
            <w:vAlign w:val="center"/>
          </w:tcPr>
          <w:p>
            <w:pPr>
              <w:pStyle w:val="36"/>
              <w:spacing w:line="240" w:lineRule="auto"/>
              <w:rPr>
                <w:color w:val="auto"/>
                <w:szCs w:val="21"/>
              </w:rPr>
            </w:pPr>
            <w:r>
              <w:rPr>
                <w:color w:val="auto"/>
                <w:szCs w:val="21"/>
              </w:rPr>
              <w:t>送现有火炬系统</w:t>
            </w:r>
          </w:p>
        </w:tc>
        <w:tc>
          <w:tcPr>
            <w:tcW w:w="406" w:type="pct"/>
            <w:vAlign w:val="center"/>
          </w:tcPr>
          <w:p>
            <w:pPr>
              <w:pStyle w:val="36"/>
              <w:spacing w:line="240" w:lineRule="auto"/>
              <w:rPr>
                <w:color w:val="auto"/>
                <w:szCs w:val="21"/>
              </w:rPr>
            </w:pPr>
            <w:r>
              <w:rPr>
                <w:color w:val="auto"/>
                <w:szCs w:val="21"/>
              </w:rPr>
              <w:t>/</w:t>
            </w:r>
          </w:p>
        </w:tc>
        <w:tc>
          <w:tcPr>
            <w:tcW w:w="305" w:type="pct"/>
            <w:vAlign w:val="center"/>
          </w:tcPr>
          <w:p>
            <w:pPr>
              <w:pStyle w:val="36"/>
              <w:spacing w:line="240" w:lineRule="auto"/>
              <w:rPr>
                <w:color w:val="auto"/>
                <w:szCs w:val="21"/>
              </w:rPr>
            </w:pPr>
            <w:r>
              <w:rPr>
                <w:color w:val="auto"/>
                <w:szCs w:val="21"/>
              </w:rPr>
              <w:t>/</w:t>
            </w:r>
          </w:p>
        </w:tc>
        <w:tc>
          <w:tcPr>
            <w:tcW w:w="356" w:type="pct"/>
            <w:vAlign w:val="center"/>
          </w:tcPr>
          <w:p>
            <w:pPr>
              <w:pStyle w:val="36"/>
              <w:spacing w:line="240" w:lineRule="auto"/>
              <w:rPr>
                <w:color w:val="auto"/>
                <w:szCs w:val="21"/>
              </w:rPr>
            </w:pPr>
            <w:r>
              <w:rPr>
                <w:color w:val="auto"/>
                <w:szCs w:val="21"/>
              </w:rPr>
              <w:t>/</w:t>
            </w:r>
          </w:p>
        </w:tc>
        <w:tc>
          <w:tcPr>
            <w:tcW w:w="254" w:type="pct"/>
            <w:vAlign w:val="center"/>
          </w:tcPr>
          <w:p>
            <w:pPr>
              <w:pStyle w:val="36"/>
              <w:spacing w:line="240" w:lineRule="auto"/>
              <w:rPr>
                <w:color w:val="auto"/>
                <w:szCs w:val="21"/>
              </w:rPr>
            </w:pPr>
            <w:r>
              <w:rPr>
                <w:color w:val="auto"/>
                <w:szCs w:val="21"/>
              </w:rPr>
              <w:t>/</w:t>
            </w:r>
          </w:p>
        </w:tc>
        <w:tc>
          <w:tcPr>
            <w:tcW w:w="290" w:type="pct"/>
            <w:vAlign w:val="center"/>
          </w:tcPr>
          <w:p>
            <w:pPr>
              <w:pStyle w:val="36"/>
              <w:spacing w:line="240" w:lineRule="auto"/>
              <w:rPr>
                <w:color w:val="auto"/>
                <w:szCs w:val="21"/>
              </w:rPr>
            </w:pPr>
            <w:r>
              <w:rPr>
                <w:color w:val="auto"/>
                <w:szCs w:val="21"/>
              </w:rPr>
              <w:t>/</w:t>
            </w:r>
          </w:p>
        </w:tc>
        <w:tc>
          <w:tcPr>
            <w:tcW w:w="330" w:type="pct"/>
            <w:vAlign w:val="center"/>
          </w:tcPr>
          <w:p>
            <w:pPr>
              <w:jc w:val="center"/>
              <w:rPr>
                <w:rFonts w:ascii="Times New Roman" w:hAnsi="Times New Roman"/>
                <w:szCs w:val="21"/>
              </w:rPr>
            </w:pPr>
            <w:r>
              <w:rPr>
                <w:rFonts w:ascii="Times New Roman" w:hAnsi="Times New Roman"/>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Align w:val="center"/>
          </w:tcPr>
          <w:p>
            <w:pPr>
              <w:pStyle w:val="36"/>
              <w:spacing w:line="240" w:lineRule="auto"/>
              <w:jc w:val="left"/>
              <w:rPr>
                <w:color w:val="auto"/>
                <w:szCs w:val="21"/>
              </w:rPr>
            </w:pPr>
            <w:r>
              <w:rPr>
                <w:color w:val="auto"/>
                <w:szCs w:val="21"/>
              </w:rPr>
              <w:t>G</w:t>
            </w:r>
            <w:r>
              <w:rPr>
                <w:color w:val="auto"/>
                <w:szCs w:val="21"/>
                <w:vertAlign w:val="subscript"/>
              </w:rPr>
              <w:t>3</w:t>
            </w:r>
            <w:r>
              <w:rPr>
                <w:color w:val="auto"/>
                <w:kern w:val="0"/>
                <w:szCs w:val="21"/>
              </w:rPr>
              <w:t>真空泵尾气</w:t>
            </w:r>
          </w:p>
        </w:tc>
        <w:tc>
          <w:tcPr>
            <w:tcW w:w="559" w:type="pct"/>
            <w:vAlign w:val="center"/>
          </w:tcPr>
          <w:p>
            <w:pPr>
              <w:pStyle w:val="36"/>
              <w:spacing w:line="240" w:lineRule="auto"/>
              <w:rPr>
                <w:color w:val="auto"/>
                <w:szCs w:val="21"/>
              </w:rPr>
            </w:pPr>
            <w:r>
              <w:rPr>
                <w:color w:val="auto"/>
                <w:szCs w:val="21"/>
              </w:rPr>
              <w:t>精馏系统不凝气</w:t>
            </w:r>
          </w:p>
        </w:tc>
        <w:tc>
          <w:tcPr>
            <w:tcW w:w="356" w:type="pct"/>
            <w:vAlign w:val="center"/>
          </w:tcPr>
          <w:p>
            <w:pPr>
              <w:pStyle w:val="36"/>
              <w:spacing w:line="240" w:lineRule="auto"/>
              <w:rPr>
                <w:color w:val="auto"/>
                <w:szCs w:val="21"/>
              </w:rPr>
            </w:pPr>
            <w:r>
              <w:rPr>
                <w:color w:val="auto"/>
                <w:szCs w:val="21"/>
              </w:rPr>
              <w:t>100</w:t>
            </w:r>
          </w:p>
        </w:tc>
        <w:tc>
          <w:tcPr>
            <w:tcW w:w="356" w:type="pct"/>
            <w:vAlign w:val="center"/>
          </w:tcPr>
          <w:p>
            <w:pPr>
              <w:pStyle w:val="36"/>
              <w:spacing w:line="240" w:lineRule="auto"/>
              <w:rPr>
                <w:color w:val="auto"/>
                <w:szCs w:val="21"/>
              </w:rPr>
            </w:pPr>
            <w:r>
              <w:rPr>
                <w:color w:val="auto"/>
                <w:szCs w:val="21"/>
              </w:rPr>
              <w:t>乙二醇</w:t>
            </w:r>
          </w:p>
          <w:p>
            <w:pPr>
              <w:pStyle w:val="36"/>
              <w:spacing w:line="240" w:lineRule="auto"/>
              <w:rPr>
                <w:color w:val="auto"/>
                <w:szCs w:val="21"/>
              </w:rPr>
            </w:pPr>
            <w:r>
              <w:rPr>
                <w:color w:val="auto"/>
                <w:szCs w:val="21"/>
              </w:rPr>
              <w:t>丙二醇</w:t>
            </w:r>
          </w:p>
        </w:tc>
        <w:tc>
          <w:tcPr>
            <w:tcW w:w="355" w:type="pct"/>
            <w:vAlign w:val="center"/>
          </w:tcPr>
          <w:p>
            <w:pPr>
              <w:pStyle w:val="36"/>
              <w:spacing w:line="240" w:lineRule="auto"/>
              <w:rPr>
                <w:color w:val="auto"/>
                <w:szCs w:val="21"/>
              </w:rPr>
            </w:pPr>
            <w:r>
              <w:rPr>
                <w:rFonts w:hint="eastAsia"/>
                <w:color w:val="auto"/>
                <w:szCs w:val="21"/>
              </w:rPr>
              <w:t>3</w:t>
            </w:r>
            <w:r>
              <w:rPr>
                <w:color w:val="auto"/>
                <w:szCs w:val="21"/>
              </w:rPr>
              <w:t>17</w:t>
            </w:r>
          </w:p>
          <w:p>
            <w:pPr>
              <w:pStyle w:val="36"/>
              <w:spacing w:line="240" w:lineRule="auto"/>
              <w:rPr>
                <w:color w:val="auto"/>
                <w:szCs w:val="21"/>
              </w:rPr>
            </w:pPr>
            <w:r>
              <w:rPr>
                <w:rFonts w:hint="eastAsia"/>
                <w:color w:val="auto"/>
                <w:szCs w:val="21"/>
              </w:rPr>
              <w:t>8</w:t>
            </w:r>
            <w:r>
              <w:rPr>
                <w:color w:val="auto"/>
                <w:szCs w:val="21"/>
              </w:rPr>
              <w:t>3</w:t>
            </w:r>
          </w:p>
        </w:tc>
        <w:tc>
          <w:tcPr>
            <w:tcW w:w="356" w:type="pct"/>
            <w:vAlign w:val="center"/>
          </w:tcPr>
          <w:p>
            <w:pPr>
              <w:pStyle w:val="36"/>
              <w:spacing w:line="240" w:lineRule="auto"/>
              <w:rPr>
                <w:color w:val="auto"/>
                <w:szCs w:val="21"/>
                <w:shd w:val="clear" w:color="auto" w:fill="FFFFFF"/>
                <w:vertAlign w:val="superscript"/>
              </w:rPr>
            </w:pPr>
            <w:r>
              <w:rPr>
                <w:color w:val="auto"/>
                <w:kern w:val="0"/>
                <w:szCs w:val="21"/>
              </w:rPr>
              <w:t>3.17</w:t>
            </w:r>
            <w:r>
              <w:rPr>
                <w:color w:val="auto"/>
                <w:szCs w:val="21"/>
                <w:shd w:val="clear" w:color="auto" w:fill="FFFFFF"/>
              </w:rPr>
              <w:t>×10</w:t>
            </w:r>
            <w:r>
              <w:rPr>
                <w:color w:val="auto"/>
                <w:szCs w:val="21"/>
                <w:shd w:val="clear" w:color="auto" w:fill="FFFFFF"/>
                <w:vertAlign w:val="superscript"/>
              </w:rPr>
              <w:t>-2</w:t>
            </w:r>
          </w:p>
          <w:p>
            <w:pPr>
              <w:pStyle w:val="36"/>
              <w:spacing w:line="240" w:lineRule="auto"/>
              <w:rPr>
                <w:color w:val="auto"/>
                <w:szCs w:val="21"/>
              </w:rPr>
            </w:pPr>
            <w:r>
              <w:rPr>
                <w:color w:val="auto"/>
                <w:kern w:val="0"/>
                <w:szCs w:val="21"/>
              </w:rPr>
              <w:t>8.3</w:t>
            </w:r>
            <w:r>
              <w:rPr>
                <w:color w:val="auto"/>
                <w:szCs w:val="21"/>
                <w:shd w:val="clear" w:color="auto" w:fill="FFFFFF"/>
              </w:rPr>
              <w:t>×10</w:t>
            </w:r>
            <w:r>
              <w:rPr>
                <w:color w:val="auto"/>
                <w:szCs w:val="21"/>
                <w:shd w:val="clear" w:color="auto" w:fill="FFFFFF"/>
                <w:vertAlign w:val="superscript"/>
              </w:rPr>
              <w:t>-3</w:t>
            </w:r>
          </w:p>
        </w:tc>
        <w:tc>
          <w:tcPr>
            <w:tcW w:w="559" w:type="pct"/>
            <w:vAlign w:val="center"/>
          </w:tcPr>
          <w:p>
            <w:pPr>
              <w:pStyle w:val="36"/>
              <w:spacing w:line="240" w:lineRule="auto"/>
              <w:rPr>
                <w:color w:val="auto"/>
                <w:szCs w:val="21"/>
              </w:rPr>
            </w:pPr>
            <w:r>
              <w:rPr>
                <w:color w:val="auto"/>
                <w:szCs w:val="21"/>
              </w:rPr>
              <w:t>尾气洗涤塔</w:t>
            </w:r>
            <w:r>
              <w:rPr>
                <w:rFonts w:hint="eastAsia"/>
                <w:color w:val="auto"/>
                <w:szCs w:val="21"/>
              </w:rPr>
              <w:t>+活性炭吸附罐</w:t>
            </w:r>
          </w:p>
        </w:tc>
        <w:tc>
          <w:tcPr>
            <w:tcW w:w="406" w:type="pct"/>
            <w:vAlign w:val="center"/>
          </w:tcPr>
          <w:p>
            <w:pPr>
              <w:pStyle w:val="36"/>
              <w:spacing w:line="240" w:lineRule="auto"/>
              <w:rPr>
                <w:color w:val="auto"/>
                <w:szCs w:val="21"/>
              </w:rPr>
            </w:pPr>
            <w:r>
              <w:rPr>
                <w:color w:val="auto"/>
                <w:szCs w:val="21"/>
              </w:rPr>
              <w:t>85</w:t>
            </w:r>
          </w:p>
        </w:tc>
        <w:tc>
          <w:tcPr>
            <w:tcW w:w="305" w:type="pct"/>
            <w:vAlign w:val="center"/>
          </w:tcPr>
          <w:p>
            <w:pPr>
              <w:pStyle w:val="36"/>
              <w:spacing w:line="240" w:lineRule="auto"/>
              <w:rPr>
                <w:color w:val="auto"/>
                <w:szCs w:val="21"/>
              </w:rPr>
            </w:pPr>
            <w:r>
              <w:rPr>
                <w:rFonts w:hint="eastAsia"/>
                <w:color w:val="auto"/>
                <w:szCs w:val="21"/>
              </w:rPr>
              <w:t>4</w:t>
            </w:r>
            <w:r>
              <w:rPr>
                <w:color w:val="auto"/>
                <w:szCs w:val="21"/>
              </w:rPr>
              <w:t>7.6</w:t>
            </w:r>
          </w:p>
          <w:p>
            <w:pPr>
              <w:pStyle w:val="36"/>
              <w:spacing w:line="240" w:lineRule="auto"/>
              <w:rPr>
                <w:color w:val="auto"/>
                <w:szCs w:val="21"/>
              </w:rPr>
            </w:pPr>
            <w:r>
              <w:rPr>
                <w:rFonts w:hint="eastAsia"/>
                <w:color w:val="auto"/>
                <w:szCs w:val="21"/>
              </w:rPr>
              <w:t>1</w:t>
            </w:r>
            <w:r>
              <w:rPr>
                <w:color w:val="auto"/>
                <w:szCs w:val="21"/>
              </w:rPr>
              <w:t>2.5</w:t>
            </w:r>
          </w:p>
        </w:tc>
        <w:tc>
          <w:tcPr>
            <w:tcW w:w="356" w:type="pct"/>
            <w:vAlign w:val="center"/>
          </w:tcPr>
          <w:p>
            <w:pPr>
              <w:pStyle w:val="36"/>
              <w:spacing w:line="240" w:lineRule="auto"/>
              <w:rPr>
                <w:color w:val="auto"/>
                <w:szCs w:val="21"/>
                <w:shd w:val="clear" w:color="auto" w:fill="FFFFFF"/>
              </w:rPr>
            </w:pPr>
            <w:r>
              <w:rPr>
                <w:color w:val="auto"/>
                <w:kern w:val="0"/>
                <w:szCs w:val="21"/>
              </w:rPr>
              <w:t>4.76</w:t>
            </w:r>
            <w:r>
              <w:rPr>
                <w:color w:val="auto"/>
                <w:szCs w:val="21"/>
                <w:shd w:val="clear" w:color="auto" w:fill="FFFFFF"/>
              </w:rPr>
              <w:t>×10</w:t>
            </w:r>
            <w:r>
              <w:rPr>
                <w:color w:val="auto"/>
                <w:szCs w:val="21"/>
                <w:shd w:val="clear" w:color="auto" w:fill="FFFFFF"/>
                <w:vertAlign w:val="superscript"/>
              </w:rPr>
              <w:t>-3</w:t>
            </w:r>
          </w:p>
          <w:p>
            <w:pPr>
              <w:pStyle w:val="36"/>
              <w:spacing w:line="240" w:lineRule="auto"/>
              <w:rPr>
                <w:color w:val="auto"/>
                <w:szCs w:val="21"/>
              </w:rPr>
            </w:pPr>
            <w:r>
              <w:rPr>
                <w:color w:val="auto"/>
                <w:kern w:val="0"/>
                <w:szCs w:val="21"/>
              </w:rPr>
              <w:t>1.25</w:t>
            </w:r>
            <w:r>
              <w:rPr>
                <w:color w:val="auto"/>
                <w:szCs w:val="21"/>
                <w:shd w:val="clear" w:color="auto" w:fill="FFFFFF"/>
              </w:rPr>
              <w:t>×10</w:t>
            </w:r>
            <w:r>
              <w:rPr>
                <w:color w:val="auto"/>
                <w:szCs w:val="21"/>
                <w:shd w:val="clear" w:color="auto" w:fill="FFFFFF"/>
                <w:vertAlign w:val="superscript"/>
              </w:rPr>
              <w:t>-3</w:t>
            </w:r>
          </w:p>
        </w:tc>
        <w:tc>
          <w:tcPr>
            <w:tcW w:w="254" w:type="pct"/>
            <w:vAlign w:val="center"/>
          </w:tcPr>
          <w:p>
            <w:pPr>
              <w:pStyle w:val="36"/>
              <w:spacing w:line="240" w:lineRule="auto"/>
              <w:rPr>
                <w:color w:val="auto"/>
                <w:szCs w:val="21"/>
              </w:rPr>
            </w:pPr>
            <w:r>
              <w:rPr>
                <w:rFonts w:hint="eastAsia"/>
                <w:color w:val="auto"/>
                <w:szCs w:val="21"/>
              </w:rPr>
              <w:t>0</w:t>
            </w:r>
            <w:r>
              <w:rPr>
                <w:color w:val="auto"/>
                <w:szCs w:val="21"/>
              </w:rPr>
              <w:t>.038</w:t>
            </w:r>
          </w:p>
          <w:p>
            <w:pPr>
              <w:pStyle w:val="36"/>
              <w:spacing w:line="240" w:lineRule="auto"/>
              <w:rPr>
                <w:color w:val="auto"/>
                <w:szCs w:val="21"/>
              </w:rPr>
            </w:pPr>
            <w:r>
              <w:rPr>
                <w:rFonts w:hint="eastAsia"/>
                <w:color w:val="auto"/>
                <w:szCs w:val="21"/>
              </w:rPr>
              <w:t>0</w:t>
            </w:r>
            <w:r>
              <w:rPr>
                <w:color w:val="auto"/>
                <w:szCs w:val="21"/>
              </w:rPr>
              <w:t>.01</w:t>
            </w:r>
          </w:p>
        </w:tc>
        <w:tc>
          <w:tcPr>
            <w:tcW w:w="290" w:type="pct"/>
            <w:vAlign w:val="center"/>
          </w:tcPr>
          <w:p>
            <w:pPr>
              <w:pStyle w:val="36"/>
              <w:spacing w:line="240" w:lineRule="auto"/>
              <w:rPr>
                <w:color w:val="auto"/>
                <w:szCs w:val="21"/>
              </w:rPr>
            </w:pPr>
            <w:r>
              <w:rPr>
                <w:color w:val="auto"/>
                <w:szCs w:val="21"/>
              </w:rPr>
              <w:t>50</w:t>
            </w:r>
          </w:p>
          <w:p>
            <w:pPr>
              <w:pStyle w:val="36"/>
              <w:spacing w:line="240" w:lineRule="auto"/>
              <w:rPr>
                <w:color w:val="auto"/>
                <w:szCs w:val="21"/>
              </w:rPr>
            </w:pPr>
            <w:r>
              <w:rPr>
                <w:color w:val="auto"/>
                <w:szCs w:val="21"/>
              </w:rPr>
              <w:t>/</w:t>
            </w:r>
          </w:p>
        </w:tc>
        <w:tc>
          <w:tcPr>
            <w:tcW w:w="330" w:type="pct"/>
            <w:vAlign w:val="center"/>
          </w:tcPr>
          <w:p>
            <w:pPr>
              <w:jc w:val="center"/>
              <w:rPr>
                <w:rFonts w:ascii="Times New Roman" w:hAnsi="Times New Roman"/>
                <w:szCs w:val="21"/>
              </w:rPr>
            </w:pPr>
            <w:r>
              <w:rPr>
                <w:rFonts w:ascii="Times New Roman" w:hAnsi="Times New Roman"/>
                <w:szCs w:val="21"/>
              </w:rPr>
              <w:t>H15m</w:t>
            </w:r>
          </w:p>
          <w:p>
            <w:pPr>
              <w:jc w:val="center"/>
              <w:rPr>
                <w:rFonts w:ascii="Times New Roman" w:hAnsi="Times New Roman"/>
                <w:szCs w:val="21"/>
              </w:rPr>
            </w:pPr>
            <w:r>
              <w:rPr>
                <w:rFonts w:ascii="Times New Roman" w:hAnsi="Times New Roman"/>
                <w:szCs w:val="21"/>
              </w:rPr>
              <w:t>φ=0.4m</w:t>
            </w:r>
          </w:p>
          <w:p>
            <w:pPr>
              <w:jc w:val="center"/>
              <w:rPr>
                <w:rFonts w:ascii="Times New Roman" w:hAnsi="Times New Roman"/>
                <w:szCs w:val="21"/>
              </w:rPr>
            </w:pPr>
            <w:r>
              <w:rPr>
                <w:rFonts w:ascii="Times New Roman" w:hAnsi="Times New Roman"/>
                <w:szCs w:val="21"/>
              </w:rPr>
              <w:t>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Align w:val="center"/>
          </w:tcPr>
          <w:p>
            <w:pPr>
              <w:pStyle w:val="36"/>
              <w:spacing w:line="240" w:lineRule="auto"/>
              <w:jc w:val="left"/>
              <w:rPr>
                <w:color w:val="auto"/>
                <w:szCs w:val="21"/>
              </w:rPr>
            </w:pPr>
            <w:r>
              <w:rPr>
                <w:rFonts w:hint="eastAsia"/>
                <w:color w:val="auto"/>
                <w:szCs w:val="21"/>
              </w:rPr>
              <w:t>g</w:t>
            </w:r>
            <w:r>
              <w:rPr>
                <w:color w:val="auto"/>
                <w:szCs w:val="21"/>
                <w:vertAlign w:val="subscript"/>
              </w:rPr>
              <w:t>1</w:t>
            </w:r>
            <w:r>
              <w:rPr>
                <w:rFonts w:hint="eastAsia"/>
                <w:color w:val="auto"/>
                <w:szCs w:val="21"/>
              </w:rPr>
              <w:t>无组织</w:t>
            </w:r>
          </w:p>
        </w:tc>
        <w:tc>
          <w:tcPr>
            <w:tcW w:w="4482" w:type="pct"/>
            <w:gridSpan w:val="12"/>
            <w:vAlign w:val="center"/>
          </w:tcPr>
          <w:p>
            <w:pPr>
              <w:jc w:val="center"/>
              <w:rPr>
                <w:rFonts w:ascii="Times New Roman" w:hAnsi="Times New Roman"/>
                <w:szCs w:val="21"/>
              </w:rPr>
            </w:pPr>
            <w:r>
              <w:rPr>
                <w:rFonts w:hint="eastAsia" w:ascii="Times New Roman" w:hAnsi="Times New Roman"/>
                <w:szCs w:val="21"/>
              </w:rPr>
              <w:t>装置区面积：2</w:t>
            </w:r>
            <w:r>
              <w:rPr>
                <w:rFonts w:ascii="Times New Roman" w:hAnsi="Times New Roman"/>
                <w:szCs w:val="21"/>
              </w:rPr>
              <w:t>2.5</w:t>
            </w:r>
            <w:r>
              <w:rPr>
                <w:rFonts w:hint="eastAsia" w:ascii="Times New Roman" w:hAnsi="Times New Roman"/>
                <w:szCs w:val="21"/>
                <w:shd w:val="clear" w:color="auto" w:fill="FFFFFF"/>
              </w:rPr>
              <w:t>m</w:t>
            </w:r>
            <w:r>
              <w:rPr>
                <w:rFonts w:ascii="Times New Roman" w:hAnsi="Times New Roman"/>
                <w:szCs w:val="21"/>
                <w:shd w:val="clear" w:color="auto" w:fill="FFFFFF"/>
              </w:rPr>
              <w:t>×40</w:t>
            </w:r>
            <w:r>
              <w:rPr>
                <w:rFonts w:hint="eastAsia" w:ascii="Times New Roman" w:hAnsi="Times New Roman"/>
                <w:szCs w:val="21"/>
                <w:shd w:val="clear" w:color="auto" w:fill="FFFFFF"/>
              </w:rPr>
              <w:t>m</w:t>
            </w:r>
            <w:r>
              <w:rPr>
                <w:rFonts w:hint="eastAsia" w:ascii="Times New Roman" w:hAnsi="Times New Roman"/>
                <w:szCs w:val="21"/>
              </w:rPr>
              <w:t>，乙二醇0</w:t>
            </w:r>
            <w:r>
              <w:rPr>
                <w:rFonts w:ascii="Times New Roman" w:hAnsi="Times New Roman"/>
                <w:szCs w:val="21"/>
              </w:rPr>
              <w:t>.32</w:t>
            </w:r>
            <w:r>
              <w:rPr>
                <w:rFonts w:hint="eastAsia" w:ascii="Times New Roman" w:hAnsi="Times New Roman"/>
                <w:szCs w:val="21"/>
              </w:rPr>
              <w:t>t/a，丙二醇0</w:t>
            </w:r>
            <w:r>
              <w:rPr>
                <w:rFonts w:ascii="Times New Roman" w:hAnsi="Times New Roman"/>
                <w:szCs w:val="21"/>
              </w:rPr>
              <w:t>.08</w:t>
            </w:r>
            <w:r>
              <w:rPr>
                <w:rFonts w:hint="eastAsia" w:ascii="Times New Roman" w:hAnsi="Times New Roman"/>
                <w:szCs w:val="21"/>
              </w:rPr>
              <w:t>t/a，</w:t>
            </w:r>
            <w:r>
              <w:rPr>
                <w:rFonts w:ascii="Times New Roman" w:hAnsi="Times New Roman"/>
                <w:szCs w:val="21"/>
              </w:rPr>
              <w:t>VOC</w:t>
            </w:r>
            <w:r>
              <w:rPr>
                <w:rFonts w:ascii="Times New Roman" w:hAnsi="Times New Roman"/>
                <w:szCs w:val="21"/>
                <w:vertAlign w:val="subscript"/>
              </w:rPr>
              <w:t>S</w:t>
            </w:r>
            <w:r>
              <w:rPr>
                <w:rFonts w:hint="eastAsia" w:ascii="Times New Roman" w:hAnsi="Times New Roman"/>
                <w:szCs w:val="21"/>
              </w:rPr>
              <w:t>0</w:t>
            </w:r>
            <w:r>
              <w:rPr>
                <w:rFonts w:ascii="Times New Roman" w:hAnsi="Times New Roman"/>
                <w:szCs w:val="21"/>
              </w:rPr>
              <w:t>.40</w:t>
            </w:r>
            <w:r>
              <w:rPr>
                <w:rFonts w:hint="eastAsia" w:ascii="Times New Roman" w:hAnsi="Times New Roman"/>
                <w:szCs w:val="21"/>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right"/>
        </w:trPr>
        <w:tc>
          <w:tcPr>
            <w:tcW w:w="518" w:type="pct"/>
            <w:vAlign w:val="center"/>
          </w:tcPr>
          <w:p>
            <w:pPr>
              <w:pStyle w:val="36"/>
              <w:spacing w:line="240" w:lineRule="auto"/>
              <w:jc w:val="left"/>
              <w:rPr>
                <w:color w:val="auto"/>
                <w:szCs w:val="21"/>
              </w:rPr>
            </w:pPr>
            <w:r>
              <w:rPr>
                <w:rFonts w:hint="eastAsia"/>
                <w:color w:val="auto"/>
                <w:szCs w:val="21"/>
              </w:rPr>
              <w:t>合计</w:t>
            </w:r>
          </w:p>
        </w:tc>
        <w:tc>
          <w:tcPr>
            <w:tcW w:w="4482" w:type="pct"/>
            <w:gridSpan w:val="12"/>
            <w:vAlign w:val="center"/>
          </w:tcPr>
          <w:p>
            <w:pPr>
              <w:jc w:val="center"/>
              <w:rPr>
                <w:rFonts w:ascii="Times New Roman" w:hAnsi="Times New Roman"/>
                <w:szCs w:val="21"/>
              </w:rPr>
            </w:pPr>
            <w:r>
              <w:rPr>
                <w:rFonts w:hint="eastAsia" w:ascii="Times New Roman" w:hAnsi="Times New Roman"/>
                <w:szCs w:val="21"/>
              </w:rPr>
              <w:t>乙二醇</w:t>
            </w:r>
            <w:r>
              <w:rPr>
                <w:rFonts w:ascii="Times New Roman" w:hAnsi="Times New Roman"/>
                <w:szCs w:val="21"/>
              </w:rPr>
              <w:t>0.358</w:t>
            </w:r>
            <w:r>
              <w:rPr>
                <w:rFonts w:hint="eastAsia" w:ascii="Times New Roman" w:hAnsi="Times New Roman"/>
                <w:szCs w:val="21"/>
              </w:rPr>
              <w:t>t/a，丙二醇0</w:t>
            </w:r>
            <w:r>
              <w:rPr>
                <w:rFonts w:ascii="Times New Roman" w:hAnsi="Times New Roman"/>
                <w:szCs w:val="21"/>
              </w:rPr>
              <w:t>.09</w:t>
            </w:r>
            <w:r>
              <w:rPr>
                <w:rFonts w:hint="eastAsia" w:ascii="Times New Roman" w:hAnsi="Times New Roman"/>
                <w:szCs w:val="21"/>
              </w:rPr>
              <w:t>t/a，</w:t>
            </w:r>
            <w:r>
              <w:rPr>
                <w:rFonts w:ascii="Times New Roman" w:hAnsi="Times New Roman"/>
                <w:szCs w:val="21"/>
              </w:rPr>
              <w:t>VOC</w:t>
            </w:r>
            <w:r>
              <w:rPr>
                <w:rFonts w:ascii="Times New Roman" w:hAnsi="Times New Roman"/>
                <w:szCs w:val="21"/>
                <w:vertAlign w:val="subscript"/>
              </w:rPr>
              <w:t>S</w:t>
            </w:r>
            <w:r>
              <w:rPr>
                <w:rFonts w:hint="eastAsia" w:ascii="Times New Roman" w:hAnsi="Times New Roman"/>
                <w:szCs w:val="21"/>
              </w:rPr>
              <w:t>0</w:t>
            </w:r>
            <w:r>
              <w:rPr>
                <w:rFonts w:ascii="Times New Roman" w:hAnsi="Times New Roman"/>
                <w:szCs w:val="21"/>
              </w:rPr>
              <w:t>.45</w:t>
            </w:r>
            <w:r>
              <w:rPr>
                <w:rFonts w:hint="eastAsia" w:ascii="Times New Roman" w:hAnsi="Times New Roman"/>
                <w:szCs w:val="21"/>
              </w:rPr>
              <w:t>t/a</w:t>
            </w:r>
          </w:p>
        </w:tc>
      </w:tr>
      <w:bookmarkEnd w:id="77"/>
      <w:bookmarkEnd w:id="78"/>
    </w:tbl>
    <w:p>
      <w:pPr>
        <w:pStyle w:val="32"/>
        <w:spacing w:line="480" w:lineRule="exact"/>
        <w:ind w:left="851" w:firstLine="0" w:firstLineChars="0"/>
      </w:pPr>
    </w:p>
    <w:p>
      <w:pPr>
        <w:pStyle w:val="32"/>
        <w:spacing w:line="480" w:lineRule="exact"/>
        <w:ind w:left="851" w:firstLine="0" w:firstLineChars="0"/>
        <w:sectPr>
          <w:pgSz w:w="16840" w:h="11907" w:orient="landscape"/>
          <w:pgMar w:top="1474" w:right="1474" w:bottom="1474" w:left="1474" w:header="851" w:footer="851" w:gutter="0"/>
          <w:cols w:space="720" w:num="1"/>
          <w:docGrid w:linePitch="332" w:charSpace="-227"/>
        </w:sectPr>
      </w:pPr>
    </w:p>
    <w:p>
      <w:pPr>
        <w:pStyle w:val="5"/>
        <w:spacing w:before="0" w:after="0" w:line="520" w:lineRule="exact"/>
        <w:rPr>
          <w:rFonts w:ascii="Times New Roman" w:hAnsi="Times New Roman" w:eastAsia="楷体_GB2312"/>
          <w:sz w:val="28"/>
          <w:szCs w:val="28"/>
          <w:lang w:val="en-US" w:eastAsia="zh-CN"/>
        </w:rPr>
      </w:pPr>
      <w:bookmarkStart w:id="79" w:name="_Toc439060551"/>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.2  废水污染物产排分析</w:t>
      </w:r>
      <w:bookmarkEnd w:id="79"/>
    </w:p>
    <w:p>
      <w:pPr>
        <w:pStyle w:val="27"/>
        <w:ind w:firstLine="560"/>
        <w:rPr>
          <w:szCs w:val="28"/>
        </w:rPr>
      </w:pPr>
      <w:bookmarkStart w:id="80" w:name="_Hlk38635686"/>
      <w:r>
        <w:rPr>
          <w:szCs w:val="28"/>
        </w:rPr>
        <w:t>拟建项目主要废水产生及处理情况如下：</w:t>
      </w:r>
    </w:p>
    <w:p>
      <w:pPr>
        <w:pStyle w:val="27"/>
        <w:ind w:firstLine="560"/>
        <w:rPr>
          <w:szCs w:val="28"/>
        </w:rPr>
      </w:pPr>
      <w:r>
        <w:rPr>
          <w:szCs w:val="28"/>
        </w:rPr>
        <w:t>（1）乙二醇精馏系统产生的闪蒸冷凝液（W</w:t>
      </w:r>
      <w:r>
        <w:rPr>
          <w:szCs w:val="28"/>
          <w:vertAlign w:val="subscript"/>
        </w:rPr>
        <w:t>1</w:t>
      </w:r>
      <w:r>
        <w:rPr>
          <w:szCs w:val="28"/>
        </w:rPr>
        <w:t>）、</w:t>
      </w:r>
      <w:r>
        <w:rPr>
          <w:kern w:val="0"/>
          <w:szCs w:val="28"/>
        </w:rPr>
        <w:t>脱轻塔塔顶产生的冷凝废水</w:t>
      </w:r>
      <w:r>
        <w:rPr>
          <w:szCs w:val="28"/>
        </w:rPr>
        <w:t>（W</w:t>
      </w:r>
      <w:r>
        <w:rPr>
          <w:szCs w:val="28"/>
          <w:vertAlign w:val="subscript"/>
        </w:rPr>
        <w:t>2</w:t>
      </w:r>
      <w:r>
        <w:rPr>
          <w:szCs w:val="28"/>
        </w:rPr>
        <w:t>）均为含醇废水，送项目尾气洗涤塔利用；</w:t>
      </w:r>
    </w:p>
    <w:p>
      <w:pPr>
        <w:pStyle w:val="27"/>
        <w:ind w:firstLine="560"/>
        <w:rPr>
          <w:szCs w:val="28"/>
        </w:rPr>
      </w:pPr>
      <w:r>
        <w:rPr>
          <w:szCs w:val="28"/>
        </w:rPr>
        <w:t>（2）尾气洗涤塔外排水（W</w:t>
      </w:r>
      <w:r>
        <w:rPr>
          <w:szCs w:val="28"/>
          <w:vertAlign w:val="subscript"/>
        </w:rPr>
        <w:t>3</w:t>
      </w:r>
      <w:r>
        <w:rPr>
          <w:szCs w:val="28"/>
        </w:rPr>
        <w:t>）、</w:t>
      </w:r>
      <w:r>
        <w:rPr>
          <w:snapToGrid w:val="0"/>
          <w:kern w:val="0"/>
          <w:szCs w:val="28"/>
        </w:rPr>
        <w:t>真空系统废水</w:t>
      </w:r>
      <w:r>
        <w:rPr>
          <w:szCs w:val="28"/>
        </w:rPr>
        <w:t>（W</w:t>
      </w:r>
      <w:r>
        <w:rPr>
          <w:szCs w:val="28"/>
          <w:vertAlign w:val="subscript"/>
        </w:rPr>
        <w:t>4</w:t>
      </w:r>
      <w:r>
        <w:rPr>
          <w:szCs w:val="28"/>
        </w:rPr>
        <w:t>）、</w:t>
      </w:r>
      <w:r>
        <w:rPr>
          <w:snapToGrid w:val="0"/>
          <w:kern w:val="0"/>
          <w:szCs w:val="28"/>
        </w:rPr>
        <w:t>地面冲洗废水</w:t>
      </w:r>
      <w:r>
        <w:rPr>
          <w:szCs w:val="28"/>
        </w:rPr>
        <w:t>（W</w:t>
      </w:r>
      <w:r>
        <w:rPr>
          <w:szCs w:val="28"/>
          <w:vertAlign w:val="subscript"/>
        </w:rPr>
        <w:t>7</w:t>
      </w:r>
      <w:r>
        <w:rPr>
          <w:szCs w:val="28"/>
        </w:rPr>
        <w:t>）送厂区现有污水处理站处理；</w:t>
      </w:r>
    </w:p>
    <w:p>
      <w:pPr>
        <w:pStyle w:val="27"/>
        <w:ind w:firstLine="560"/>
        <w:rPr>
          <w:szCs w:val="28"/>
        </w:rPr>
      </w:pPr>
      <w:r>
        <w:rPr>
          <w:szCs w:val="28"/>
        </w:rPr>
        <w:t>（3）本工程新增的循环冷却外排水（W</w:t>
      </w:r>
      <w:r>
        <w:rPr>
          <w:szCs w:val="28"/>
          <w:vertAlign w:val="subscript"/>
        </w:rPr>
        <w:t>5</w:t>
      </w:r>
      <w:r>
        <w:rPr>
          <w:szCs w:val="28"/>
        </w:rPr>
        <w:t>）和脱盐水站排污水（W</w:t>
      </w:r>
      <w:r>
        <w:rPr>
          <w:szCs w:val="28"/>
          <w:vertAlign w:val="subscript"/>
        </w:rPr>
        <w:t>6</w:t>
      </w:r>
      <w:r>
        <w:rPr>
          <w:szCs w:val="28"/>
        </w:rPr>
        <w:t>）均属清净下水，直接排入濮阳市第二污水处理厂处理。</w:t>
      </w:r>
    </w:p>
    <w:bookmarkEnd w:id="80"/>
    <w:p>
      <w:pPr>
        <w:pStyle w:val="27"/>
        <w:ind w:firstLine="560"/>
        <w:rPr>
          <w:rFonts w:eastAsiaTheme="minorEastAsia"/>
          <w:szCs w:val="28"/>
        </w:rPr>
      </w:pPr>
      <w:r>
        <w:rPr>
          <w:rFonts w:hint="eastAsia" w:eastAsiaTheme="minorEastAsia"/>
          <w:szCs w:val="28"/>
        </w:rPr>
        <w:t>各外排废水产生量、水质及处理设施见表3</w:t>
      </w:r>
      <w:r>
        <w:rPr>
          <w:rFonts w:eastAsiaTheme="minorEastAsia"/>
          <w:szCs w:val="28"/>
        </w:rPr>
        <w:t>.</w:t>
      </w:r>
      <w:r>
        <w:rPr>
          <w:rFonts w:hint="eastAsia" w:eastAsiaTheme="minorEastAsia"/>
          <w:szCs w:val="28"/>
        </w:rPr>
        <w:t>5</w:t>
      </w:r>
      <w:r>
        <w:rPr>
          <w:rFonts w:eastAsiaTheme="minorEastAsia"/>
          <w:szCs w:val="28"/>
        </w:rPr>
        <w:t>-4</w:t>
      </w:r>
      <w:r>
        <w:rPr>
          <w:rFonts w:hint="eastAsia" w:eastAsiaTheme="minorEastAsia"/>
          <w:szCs w:val="28"/>
        </w:rPr>
        <w:t>。</w:t>
      </w:r>
    </w:p>
    <w:p>
      <w:pPr>
        <w:pStyle w:val="32"/>
        <w:spacing w:line="480" w:lineRule="exact"/>
        <w:ind w:left="851" w:firstLine="0" w:firstLineChars="0"/>
      </w:pPr>
      <w:r>
        <w:t>表</w:t>
      </w:r>
      <w:r>
        <w:rPr>
          <w:rFonts w:hint="eastAsia"/>
        </w:rPr>
        <w:t>3</w:t>
      </w:r>
      <w:r>
        <w:t>.</w:t>
      </w:r>
      <w:r>
        <w:rPr>
          <w:rFonts w:hint="eastAsia"/>
        </w:rPr>
        <w:t>5</w:t>
      </w:r>
      <w:r>
        <w:t xml:space="preserve">-4              废水产排情况一览表 </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10"/>
        <w:gridCol w:w="1185"/>
        <w:gridCol w:w="1112"/>
        <w:gridCol w:w="1163"/>
        <w:gridCol w:w="1043"/>
        <w:gridCol w:w="968"/>
        <w:gridCol w:w="777"/>
        <w:gridCol w:w="205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Merge w:val="restart"/>
            <w:vAlign w:val="center"/>
          </w:tcPr>
          <w:p>
            <w:pPr>
              <w:pStyle w:val="55"/>
              <w:spacing w:line="240" w:lineRule="auto"/>
              <w:rPr>
                <w:rFonts w:eastAsiaTheme="minorEastAsia"/>
                <w:b/>
                <w:spacing w:val="0"/>
              </w:rPr>
            </w:pPr>
            <w:bookmarkStart w:id="81" w:name="_Hlk38635930"/>
            <w:r>
              <w:rPr>
                <w:rFonts w:eastAsiaTheme="minorEastAsia"/>
                <w:b/>
                <w:spacing w:val="0"/>
              </w:rPr>
              <w:t>序号</w:t>
            </w:r>
          </w:p>
        </w:tc>
        <w:tc>
          <w:tcPr>
            <w:tcW w:w="1185" w:type="dxa"/>
            <w:vMerge w:val="restart"/>
            <w:vAlign w:val="center"/>
          </w:tcPr>
          <w:p>
            <w:pPr>
              <w:pStyle w:val="55"/>
              <w:spacing w:line="240" w:lineRule="auto"/>
              <w:rPr>
                <w:rFonts w:eastAsiaTheme="minorEastAsia"/>
                <w:b/>
                <w:spacing w:val="0"/>
              </w:rPr>
            </w:pPr>
            <w:r>
              <w:rPr>
                <w:rFonts w:eastAsiaTheme="minorEastAsia"/>
                <w:b/>
                <w:spacing w:val="0"/>
              </w:rPr>
              <w:t>废水(液)</w:t>
            </w:r>
          </w:p>
          <w:p>
            <w:pPr>
              <w:pStyle w:val="55"/>
              <w:spacing w:line="240" w:lineRule="auto"/>
              <w:rPr>
                <w:rFonts w:eastAsiaTheme="minorEastAsia"/>
                <w:b/>
                <w:spacing w:val="0"/>
              </w:rPr>
            </w:pPr>
            <w:r>
              <w:rPr>
                <w:rFonts w:eastAsiaTheme="minorEastAsia"/>
                <w:b/>
                <w:spacing w:val="0"/>
              </w:rPr>
              <w:t>名称</w:t>
            </w:r>
          </w:p>
        </w:tc>
        <w:tc>
          <w:tcPr>
            <w:tcW w:w="1112" w:type="dxa"/>
            <w:vMerge w:val="restart"/>
            <w:vAlign w:val="center"/>
          </w:tcPr>
          <w:p>
            <w:pPr>
              <w:pStyle w:val="55"/>
              <w:spacing w:line="240" w:lineRule="auto"/>
              <w:rPr>
                <w:rFonts w:eastAsiaTheme="minorEastAsia"/>
                <w:b/>
                <w:spacing w:val="0"/>
              </w:rPr>
            </w:pPr>
            <w:r>
              <w:rPr>
                <w:rFonts w:eastAsiaTheme="minorEastAsia"/>
                <w:b/>
                <w:spacing w:val="0"/>
              </w:rPr>
              <w:t>废水量</w:t>
            </w:r>
          </w:p>
          <w:p>
            <w:pPr>
              <w:pStyle w:val="55"/>
              <w:spacing w:line="240" w:lineRule="auto"/>
              <w:rPr>
                <w:rFonts w:eastAsiaTheme="minorEastAsia"/>
                <w:b/>
                <w:bCs/>
                <w:spacing w:val="0"/>
              </w:rPr>
            </w:pPr>
            <w:r>
              <w:rPr>
                <w:rFonts w:eastAsiaTheme="minorEastAsia"/>
                <w:b/>
                <w:spacing w:val="0"/>
              </w:rPr>
              <w:t>(m</w:t>
            </w:r>
            <w:r>
              <w:rPr>
                <w:rFonts w:eastAsiaTheme="minorEastAsia"/>
                <w:b/>
                <w:spacing w:val="0"/>
                <w:vertAlign w:val="superscript"/>
              </w:rPr>
              <w:t>3</w:t>
            </w:r>
            <w:r>
              <w:rPr>
                <w:rFonts w:eastAsiaTheme="minorEastAsia"/>
                <w:b/>
                <w:spacing w:val="0"/>
              </w:rPr>
              <w:t>/h)</w:t>
            </w:r>
          </w:p>
        </w:tc>
        <w:tc>
          <w:tcPr>
            <w:tcW w:w="2206" w:type="dxa"/>
            <w:gridSpan w:val="2"/>
            <w:vAlign w:val="center"/>
          </w:tcPr>
          <w:p>
            <w:pPr>
              <w:pStyle w:val="55"/>
              <w:spacing w:line="240" w:lineRule="auto"/>
              <w:rPr>
                <w:rFonts w:eastAsiaTheme="minorEastAsia"/>
                <w:b/>
                <w:spacing w:val="0"/>
              </w:rPr>
            </w:pPr>
            <w:r>
              <w:rPr>
                <w:rFonts w:eastAsiaTheme="minorEastAsia"/>
                <w:b/>
                <w:spacing w:val="0"/>
              </w:rPr>
              <w:t>组成特征</w:t>
            </w:r>
          </w:p>
        </w:tc>
        <w:tc>
          <w:tcPr>
            <w:tcW w:w="1745" w:type="dxa"/>
            <w:gridSpan w:val="2"/>
            <w:vAlign w:val="center"/>
          </w:tcPr>
          <w:p>
            <w:pPr>
              <w:pStyle w:val="55"/>
              <w:spacing w:line="240" w:lineRule="auto"/>
              <w:rPr>
                <w:rFonts w:eastAsiaTheme="minorEastAsia"/>
                <w:b/>
                <w:spacing w:val="0"/>
              </w:rPr>
            </w:pPr>
            <w:r>
              <w:rPr>
                <w:rFonts w:eastAsiaTheme="minorEastAsia"/>
                <w:b/>
                <w:spacing w:val="0"/>
              </w:rPr>
              <w:t>排放特性</w:t>
            </w:r>
          </w:p>
        </w:tc>
        <w:tc>
          <w:tcPr>
            <w:tcW w:w="2057" w:type="dxa"/>
            <w:vMerge w:val="restart"/>
            <w:vAlign w:val="center"/>
          </w:tcPr>
          <w:p>
            <w:pPr>
              <w:pStyle w:val="55"/>
              <w:spacing w:line="240" w:lineRule="auto"/>
              <w:rPr>
                <w:rFonts w:eastAsiaTheme="minorEastAsia"/>
                <w:b/>
                <w:spacing w:val="0"/>
              </w:rPr>
            </w:pPr>
            <w:r>
              <w:rPr>
                <w:rFonts w:eastAsiaTheme="minorEastAsia"/>
                <w:b/>
                <w:spacing w:val="0"/>
              </w:rPr>
              <w:t>排放方式及去向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Merge w:val="continue"/>
            <w:vAlign w:val="center"/>
          </w:tcPr>
          <w:p>
            <w:pPr>
              <w:pStyle w:val="55"/>
              <w:spacing w:line="240" w:lineRule="auto"/>
              <w:rPr>
                <w:rFonts w:eastAsiaTheme="minorEastAsia"/>
                <w:b/>
                <w:spacing w:val="0"/>
              </w:rPr>
            </w:pPr>
          </w:p>
        </w:tc>
        <w:tc>
          <w:tcPr>
            <w:tcW w:w="1185" w:type="dxa"/>
            <w:vMerge w:val="continue"/>
            <w:vAlign w:val="center"/>
          </w:tcPr>
          <w:p>
            <w:pPr>
              <w:pStyle w:val="55"/>
              <w:spacing w:line="240" w:lineRule="auto"/>
              <w:rPr>
                <w:rFonts w:eastAsiaTheme="minorEastAsia"/>
                <w:b/>
                <w:spacing w:val="0"/>
              </w:rPr>
            </w:pPr>
          </w:p>
        </w:tc>
        <w:tc>
          <w:tcPr>
            <w:tcW w:w="1112" w:type="dxa"/>
            <w:vMerge w:val="continue"/>
            <w:vAlign w:val="center"/>
          </w:tcPr>
          <w:p>
            <w:pPr>
              <w:pStyle w:val="55"/>
              <w:spacing w:line="240" w:lineRule="auto"/>
              <w:rPr>
                <w:rFonts w:eastAsiaTheme="minorEastAsia"/>
                <w:b/>
                <w:spacing w:val="0"/>
              </w:rPr>
            </w:pPr>
          </w:p>
        </w:tc>
        <w:tc>
          <w:tcPr>
            <w:tcW w:w="1163" w:type="dxa"/>
            <w:vAlign w:val="center"/>
          </w:tcPr>
          <w:p>
            <w:pPr>
              <w:pStyle w:val="55"/>
              <w:spacing w:line="240" w:lineRule="auto"/>
              <w:rPr>
                <w:rFonts w:eastAsiaTheme="minorEastAsia"/>
                <w:b/>
                <w:spacing w:val="0"/>
              </w:rPr>
            </w:pPr>
            <w:r>
              <w:rPr>
                <w:rFonts w:eastAsiaTheme="minorEastAsia"/>
                <w:b/>
                <w:spacing w:val="0"/>
              </w:rPr>
              <w:t>因子</w:t>
            </w:r>
          </w:p>
        </w:tc>
        <w:tc>
          <w:tcPr>
            <w:tcW w:w="1043" w:type="dxa"/>
            <w:vAlign w:val="center"/>
          </w:tcPr>
          <w:p>
            <w:pPr>
              <w:pStyle w:val="55"/>
              <w:spacing w:line="240" w:lineRule="auto"/>
              <w:rPr>
                <w:rFonts w:eastAsiaTheme="minorEastAsia"/>
                <w:b/>
                <w:spacing w:val="0"/>
              </w:rPr>
            </w:pPr>
            <w:r>
              <w:rPr>
                <w:rFonts w:eastAsiaTheme="minorEastAsia"/>
                <w:b/>
                <w:spacing w:val="0"/>
              </w:rPr>
              <w:t>产生</w:t>
            </w:r>
          </w:p>
          <w:p>
            <w:pPr>
              <w:pStyle w:val="55"/>
              <w:spacing w:line="240" w:lineRule="auto"/>
              <w:rPr>
                <w:rFonts w:eastAsiaTheme="minorEastAsia"/>
                <w:b/>
                <w:spacing w:val="0"/>
              </w:rPr>
            </w:pPr>
            <w:r>
              <w:rPr>
                <w:rFonts w:eastAsiaTheme="minorEastAsia"/>
                <w:b/>
                <w:spacing w:val="0"/>
              </w:rPr>
              <w:t>浓度</w:t>
            </w:r>
          </w:p>
          <w:p>
            <w:pPr>
              <w:pStyle w:val="55"/>
              <w:spacing w:line="240" w:lineRule="auto"/>
              <w:rPr>
                <w:rFonts w:eastAsiaTheme="minorEastAsia"/>
                <w:b/>
                <w:spacing w:val="0"/>
              </w:rPr>
            </w:pPr>
            <w:r>
              <w:rPr>
                <w:rFonts w:eastAsiaTheme="minorEastAsia"/>
                <w:b/>
                <w:spacing w:val="0"/>
              </w:rPr>
              <w:t>（mg/L）</w:t>
            </w:r>
          </w:p>
        </w:tc>
        <w:tc>
          <w:tcPr>
            <w:tcW w:w="968" w:type="dxa"/>
            <w:vAlign w:val="center"/>
          </w:tcPr>
          <w:p>
            <w:pPr>
              <w:pStyle w:val="55"/>
              <w:spacing w:line="240" w:lineRule="auto"/>
              <w:rPr>
                <w:rFonts w:eastAsiaTheme="minorEastAsia"/>
                <w:b/>
                <w:spacing w:val="0"/>
              </w:rPr>
            </w:pPr>
            <w:r>
              <w:rPr>
                <w:rFonts w:eastAsiaTheme="minorEastAsia"/>
                <w:b/>
                <w:spacing w:val="0"/>
              </w:rPr>
              <w:t>温度</w:t>
            </w:r>
          </w:p>
          <w:p>
            <w:pPr>
              <w:pStyle w:val="55"/>
              <w:spacing w:line="240" w:lineRule="auto"/>
              <w:rPr>
                <w:rFonts w:eastAsiaTheme="minorEastAsia"/>
                <w:b/>
                <w:spacing w:val="0"/>
              </w:rPr>
            </w:pPr>
            <w:r>
              <w:rPr>
                <w:rFonts w:eastAsiaTheme="minorEastAsia"/>
                <w:b/>
                <w:spacing w:val="0"/>
              </w:rPr>
              <w:t>(℃)</w:t>
            </w:r>
          </w:p>
        </w:tc>
        <w:tc>
          <w:tcPr>
            <w:tcW w:w="777" w:type="dxa"/>
            <w:vAlign w:val="center"/>
          </w:tcPr>
          <w:p>
            <w:pPr>
              <w:pStyle w:val="55"/>
              <w:spacing w:line="240" w:lineRule="auto"/>
              <w:rPr>
                <w:rFonts w:eastAsiaTheme="minorEastAsia"/>
                <w:b/>
                <w:spacing w:val="0"/>
              </w:rPr>
            </w:pPr>
            <w:r>
              <w:rPr>
                <w:rFonts w:eastAsiaTheme="minorEastAsia"/>
                <w:b/>
                <w:spacing w:val="0"/>
              </w:rPr>
              <w:t>规律</w:t>
            </w:r>
          </w:p>
        </w:tc>
        <w:tc>
          <w:tcPr>
            <w:tcW w:w="2057" w:type="dxa"/>
            <w:vMerge w:val="continue"/>
            <w:vAlign w:val="center"/>
          </w:tcPr>
          <w:p>
            <w:pPr>
              <w:pStyle w:val="55"/>
              <w:spacing w:line="240" w:lineRule="auto"/>
              <w:rPr>
                <w:rFonts w:eastAsiaTheme="minorEastAsia"/>
                <w:spacing w:val="0"/>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Align w:val="center"/>
          </w:tcPr>
          <w:p>
            <w:pPr>
              <w:pStyle w:val="53"/>
              <w:snapToGrid w:val="0"/>
              <w:spacing w:line="240" w:lineRule="auto"/>
              <w:jc w:val="center"/>
              <w:rPr>
                <w:rFonts w:eastAsiaTheme="minorEastAsia"/>
                <w:b w:val="0"/>
                <w:snapToGrid w:val="0"/>
                <w:spacing w:val="0"/>
                <w:kern w:val="0"/>
                <w:sz w:val="21"/>
                <w:szCs w:val="21"/>
              </w:rPr>
            </w:pPr>
            <w:bookmarkStart w:id="82" w:name="_Hlk38615433"/>
            <w:r>
              <w:rPr>
                <w:rFonts w:eastAsiaTheme="minorEastAsia"/>
                <w:b w:val="0"/>
                <w:spacing w:val="0"/>
                <w:sz w:val="21"/>
                <w:szCs w:val="21"/>
              </w:rPr>
              <w:t>W</w:t>
            </w:r>
            <w:r>
              <w:rPr>
                <w:rFonts w:eastAsiaTheme="minorEastAsia"/>
                <w:b w:val="0"/>
                <w:spacing w:val="0"/>
                <w:sz w:val="21"/>
                <w:szCs w:val="21"/>
                <w:vertAlign w:val="subscript"/>
              </w:rPr>
              <w:t>3</w:t>
            </w:r>
          </w:p>
        </w:tc>
        <w:tc>
          <w:tcPr>
            <w:tcW w:w="1185" w:type="dxa"/>
            <w:vAlign w:val="center"/>
          </w:tcPr>
          <w:p>
            <w:pPr>
              <w:pStyle w:val="53"/>
              <w:snapToGrid w:val="0"/>
              <w:spacing w:line="240" w:lineRule="auto"/>
              <w:jc w:val="left"/>
              <w:rPr>
                <w:rFonts w:eastAsiaTheme="minorEastAsia"/>
                <w:b w:val="0"/>
                <w:bCs/>
                <w:snapToGrid w:val="0"/>
                <w:spacing w:val="0"/>
                <w:kern w:val="0"/>
                <w:sz w:val="21"/>
                <w:szCs w:val="21"/>
              </w:rPr>
            </w:pPr>
            <w:r>
              <w:rPr>
                <w:rFonts w:eastAsia="宋体"/>
                <w:b w:val="0"/>
                <w:bCs/>
                <w:spacing w:val="0"/>
                <w:kern w:val="0"/>
                <w:sz w:val="21"/>
                <w:szCs w:val="21"/>
              </w:rPr>
              <w:t>尾气洗涤塔外排水</w:t>
            </w:r>
          </w:p>
        </w:tc>
        <w:tc>
          <w:tcPr>
            <w:tcW w:w="1112" w:type="dxa"/>
            <w:vAlign w:val="center"/>
          </w:tcPr>
          <w:p>
            <w:pPr>
              <w:pStyle w:val="55"/>
              <w:spacing w:line="240" w:lineRule="auto"/>
              <w:rPr>
                <w:rFonts w:eastAsiaTheme="minorEastAsia"/>
                <w:spacing w:val="0"/>
              </w:rPr>
            </w:pPr>
            <w:r>
              <w:rPr>
                <w:rFonts w:eastAsiaTheme="minorEastAsia"/>
                <w:spacing w:val="0"/>
              </w:rPr>
              <w:t>0.47</w:t>
            </w:r>
          </w:p>
        </w:tc>
        <w:tc>
          <w:tcPr>
            <w:tcW w:w="116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COD</w:t>
            </w:r>
          </w:p>
          <w:p>
            <w:pPr>
              <w:autoSpaceDE w:val="0"/>
              <w:autoSpaceDN w:val="0"/>
              <w:jc w:val="center"/>
              <w:rPr>
                <w:rFonts w:ascii="Times New Roman" w:hAnsi="Times New Roman" w:eastAsiaTheme="minorEastAsia"/>
                <w:szCs w:val="21"/>
                <w:vertAlign w:val="subscript"/>
              </w:rPr>
            </w:pPr>
            <w:r>
              <w:rPr>
                <w:rFonts w:ascii="Times New Roman" w:hAnsi="Times New Roman" w:eastAsiaTheme="minorEastAsia"/>
                <w:szCs w:val="21"/>
              </w:rPr>
              <w:t>BOD</w:t>
            </w:r>
            <w:r>
              <w:rPr>
                <w:rFonts w:ascii="Times New Roman" w:hAnsi="Times New Roman" w:eastAsiaTheme="minorEastAsia"/>
                <w:szCs w:val="21"/>
                <w:vertAlign w:val="subscript"/>
              </w:rPr>
              <w:t>5</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SS</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NH</w:t>
            </w:r>
            <w:r>
              <w:rPr>
                <w:rFonts w:ascii="Times New Roman" w:hAnsi="Times New Roman" w:eastAsiaTheme="minorEastAsia"/>
                <w:szCs w:val="21"/>
                <w:vertAlign w:val="subscript"/>
              </w:rPr>
              <w:t>3</w:t>
            </w:r>
            <w:r>
              <w:rPr>
                <w:rFonts w:ascii="Times New Roman" w:hAnsi="Times New Roman" w:eastAsiaTheme="minorEastAsia"/>
                <w:szCs w:val="21"/>
              </w:rPr>
              <w:t>-N</w:t>
            </w:r>
          </w:p>
        </w:tc>
        <w:tc>
          <w:tcPr>
            <w:tcW w:w="1043" w:type="dxa"/>
            <w:vAlign w:val="center"/>
          </w:tcPr>
          <w:p>
            <w:pPr>
              <w:autoSpaceDE w:val="0"/>
              <w:autoSpaceDN w:val="0"/>
              <w:jc w:val="center"/>
              <w:rPr>
                <w:rFonts w:ascii="Times New Roman" w:hAnsi="Times New Roman"/>
                <w:szCs w:val="21"/>
              </w:rPr>
            </w:pPr>
            <w:r>
              <w:rPr>
                <w:rFonts w:hint="eastAsia" w:ascii="Times New Roman" w:hAnsi="Times New Roman"/>
                <w:szCs w:val="21"/>
              </w:rPr>
              <w:t>1</w:t>
            </w:r>
            <w:r>
              <w:rPr>
                <w:rFonts w:ascii="Times New Roman" w:hAnsi="Times New Roman"/>
                <w:szCs w:val="21"/>
              </w:rPr>
              <w:t>2000</w:t>
            </w:r>
          </w:p>
          <w:p>
            <w:pPr>
              <w:autoSpaceDE w:val="0"/>
              <w:autoSpaceDN w:val="0"/>
              <w:jc w:val="center"/>
              <w:rPr>
                <w:rFonts w:ascii="Times New Roman" w:hAnsi="Times New Roman"/>
                <w:szCs w:val="21"/>
              </w:rPr>
            </w:pPr>
            <w:r>
              <w:rPr>
                <w:rFonts w:ascii="Times New Roman" w:hAnsi="Times New Roman"/>
                <w:szCs w:val="21"/>
              </w:rPr>
              <w:t>5500</w:t>
            </w:r>
          </w:p>
          <w:p>
            <w:pPr>
              <w:autoSpaceDE w:val="0"/>
              <w:autoSpaceDN w:val="0"/>
              <w:jc w:val="center"/>
              <w:rPr>
                <w:rFonts w:ascii="Times New Roman" w:hAnsi="Times New Roman"/>
                <w:szCs w:val="21"/>
              </w:rPr>
            </w:pPr>
            <w:r>
              <w:rPr>
                <w:rFonts w:ascii="Times New Roman" w:hAnsi="Times New Roman"/>
                <w:szCs w:val="21"/>
              </w:rPr>
              <w:t>150</w:t>
            </w:r>
          </w:p>
          <w:p>
            <w:pPr>
              <w:autoSpaceDE w:val="0"/>
              <w:autoSpaceDN w:val="0"/>
              <w:jc w:val="center"/>
              <w:rPr>
                <w:rFonts w:ascii="Times New Roman" w:hAnsi="Times New Roman"/>
                <w:szCs w:val="21"/>
              </w:rPr>
            </w:pPr>
            <w:r>
              <w:rPr>
                <w:rFonts w:ascii="Times New Roman" w:hAnsi="Times New Roman"/>
                <w:szCs w:val="21"/>
              </w:rPr>
              <w:t>5</w:t>
            </w:r>
          </w:p>
        </w:tc>
        <w:tc>
          <w:tcPr>
            <w:tcW w:w="968" w:type="dxa"/>
            <w:vAlign w:val="center"/>
          </w:tcPr>
          <w:p>
            <w:pPr>
              <w:jc w:val="center"/>
              <w:rPr>
                <w:rFonts w:ascii="Times New Roman" w:hAnsi="Times New Roman" w:eastAsiaTheme="minorEastAsia"/>
                <w:szCs w:val="21"/>
              </w:rPr>
            </w:pPr>
            <w:r>
              <w:rPr>
                <w:rFonts w:ascii="Times New Roman" w:hAnsi="Times New Roman" w:eastAsiaTheme="minorEastAsia"/>
                <w:szCs w:val="21"/>
              </w:rPr>
              <w:t>常温</w:t>
            </w:r>
          </w:p>
        </w:tc>
        <w:tc>
          <w:tcPr>
            <w:tcW w:w="777" w:type="dxa"/>
            <w:vAlign w:val="center"/>
          </w:tcPr>
          <w:p>
            <w:pPr>
              <w:jc w:val="center"/>
              <w:rPr>
                <w:rFonts w:ascii="Times New Roman" w:hAnsi="Times New Roman" w:eastAsiaTheme="minorEastAsia"/>
                <w:szCs w:val="21"/>
              </w:rPr>
            </w:pPr>
            <w:r>
              <w:rPr>
                <w:rFonts w:ascii="Times New Roman" w:hAnsi="Times New Roman" w:eastAsiaTheme="minorEastAsia"/>
                <w:szCs w:val="21"/>
              </w:rPr>
              <w:t>连续</w:t>
            </w:r>
          </w:p>
        </w:tc>
        <w:tc>
          <w:tcPr>
            <w:tcW w:w="2057" w:type="dxa"/>
            <w:vMerge w:val="restart"/>
            <w:vAlign w:val="center"/>
          </w:tcPr>
          <w:p>
            <w:pPr>
              <w:rPr>
                <w:rFonts w:ascii="Times New Roman" w:hAnsi="Times New Roman" w:eastAsiaTheme="minorEastAsia"/>
                <w:szCs w:val="21"/>
              </w:rPr>
            </w:pPr>
            <w:r>
              <w:rPr>
                <w:rFonts w:ascii="Times New Roman" w:hAnsi="Times New Roman" w:eastAsiaTheme="minorEastAsia"/>
                <w:szCs w:val="21"/>
              </w:rPr>
              <w:t>废水排入厂区</w:t>
            </w:r>
            <w:r>
              <w:rPr>
                <w:rFonts w:hint="eastAsia" w:ascii="Times New Roman" w:hAnsi="Times New Roman" w:eastAsiaTheme="minorEastAsia"/>
                <w:szCs w:val="21"/>
              </w:rPr>
              <w:t>现有3</w:t>
            </w:r>
            <w:r>
              <w:rPr>
                <w:rFonts w:ascii="Times New Roman" w:hAnsi="Times New Roman" w:eastAsiaTheme="minorEastAsia"/>
                <w:szCs w:val="21"/>
              </w:rPr>
              <w:t>0</w:t>
            </w:r>
            <w:r>
              <w:rPr>
                <w:rFonts w:hint="eastAsia" w:ascii="Times New Roman" w:hAnsi="Times New Roman" w:eastAsiaTheme="minorEastAsia"/>
                <w:szCs w:val="21"/>
              </w:rPr>
              <w:t>万吨甲醇项目</w:t>
            </w:r>
            <w:r>
              <w:rPr>
                <w:rFonts w:ascii="Times New Roman" w:hAnsi="Times New Roman" w:eastAsiaTheme="minorEastAsia"/>
                <w:szCs w:val="21"/>
              </w:rPr>
              <w:t>污水处理站处理</w:t>
            </w:r>
            <w:r>
              <w:rPr>
                <w:rFonts w:hint="eastAsia" w:ascii="Times New Roman" w:hAnsi="Times New Roman" w:eastAsiaTheme="minorEastAsia"/>
                <w:szCs w:val="21"/>
              </w:rPr>
              <w:t>，处理达标后排入濮阳市第二污水处理厂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Align w:val="center"/>
          </w:tcPr>
          <w:p>
            <w:pPr>
              <w:pStyle w:val="53"/>
              <w:snapToGrid w:val="0"/>
              <w:spacing w:line="240" w:lineRule="auto"/>
              <w:jc w:val="center"/>
              <w:rPr>
                <w:rFonts w:eastAsiaTheme="minorEastAsia"/>
                <w:b w:val="0"/>
                <w:spacing w:val="0"/>
                <w:sz w:val="21"/>
                <w:szCs w:val="21"/>
              </w:rPr>
            </w:pPr>
            <w:r>
              <w:rPr>
                <w:rFonts w:eastAsiaTheme="minorEastAsia"/>
                <w:b w:val="0"/>
                <w:spacing w:val="0"/>
                <w:sz w:val="21"/>
                <w:szCs w:val="21"/>
              </w:rPr>
              <w:t>W</w:t>
            </w:r>
            <w:r>
              <w:rPr>
                <w:rFonts w:eastAsiaTheme="minorEastAsia"/>
                <w:b w:val="0"/>
                <w:spacing w:val="0"/>
                <w:sz w:val="21"/>
                <w:szCs w:val="21"/>
                <w:vertAlign w:val="subscript"/>
              </w:rPr>
              <w:t>4</w:t>
            </w:r>
          </w:p>
        </w:tc>
        <w:tc>
          <w:tcPr>
            <w:tcW w:w="1185" w:type="dxa"/>
            <w:vAlign w:val="center"/>
          </w:tcPr>
          <w:p>
            <w:pPr>
              <w:pStyle w:val="53"/>
              <w:snapToGrid w:val="0"/>
              <w:spacing w:line="240" w:lineRule="auto"/>
              <w:jc w:val="left"/>
              <w:rPr>
                <w:rFonts w:eastAsia="宋体"/>
                <w:b w:val="0"/>
                <w:bCs/>
                <w:spacing w:val="0"/>
                <w:kern w:val="0"/>
                <w:sz w:val="21"/>
                <w:szCs w:val="21"/>
              </w:rPr>
            </w:pPr>
            <w:r>
              <w:rPr>
                <w:rFonts w:hint="eastAsia" w:eastAsiaTheme="minorEastAsia"/>
                <w:b w:val="0"/>
                <w:snapToGrid w:val="0"/>
                <w:spacing w:val="0"/>
                <w:kern w:val="0"/>
                <w:sz w:val="21"/>
                <w:szCs w:val="21"/>
              </w:rPr>
              <w:t>真空系统废水</w:t>
            </w:r>
          </w:p>
        </w:tc>
        <w:tc>
          <w:tcPr>
            <w:tcW w:w="1112" w:type="dxa"/>
            <w:vAlign w:val="center"/>
          </w:tcPr>
          <w:p>
            <w:pPr>
              <w:pStyle w:val="55"/>
              <w:spacing w:line="240" w:lineRule="auto"/>
              <w:rPr>
                <w:rFonts w:eastAsiaTheme="minorEastAsia"/>
                <w:spacing w:val="0"/>
              </w:rPr>
            </w:pPr>
            <w:r>
              <w:rPr>
                <w:rFonts w:hint="eastAsia" w:eastAsiaTheme="minorEastAsia"/>
                <w:spacing w:val="0"/>
              </w:rPr>
              <w:t>0</w:t>
            </w:r>
            <w:r>
              <w:rPr>
                <w:rFonts w:eastAsiaTheme="minorEastAsia"/>
                <w:spacing w:val="0"/>
              </w:rPr>
              <w:t>.5</w:t>
            </w:r>
          </w:p>
        </w:tc>
        <w:tc>
          <w:tcPr>
            <w:tcW w:w="116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COD</w:t>
            </w:r>
          </w:p>
          <w:p>
            <w:pPr>
              <w:autoSpaceDE w:val="0"/>
              <w:autoSpaceDN w:val="0"/>
              <w:jc w:val="center"/>
              <w:rPr>
                <w:rFonts w:ascii="Times New Roman" w:hAnsi="Times New Roman" w:eastAsiaTheme="minorEastAsia"/>
                <w:szCs w:val="21"/>
                <w:vertAlign w:val="subscript"/>
              </w:rPr>
            </w:pPr>
            <w:r>
              <w:rPr>
                <w:rFonts w:ascii="Times New Roman" w:hAnsi="Times New Roman" w:eastAsiaTheme="minorEastAsia"/>
                <w:szCs w:val="21"/>
              </w:rPr>
              <w:t>BOD</w:t>
            </w:r>
            <w:r>
              <w:rPr>
                <w:rFonts w:ascii="Times New Roman" w:hAnsi="Times New Roman" w:eastAsiaTheme="minorEastAsia"/>
                <w:szCs w:val="21"/>
                <w:vertAlign w:val="subscript"/>
              </w:rPr>
              <w:t>5</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SS</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NH</w:t>
            </w:r>
            <w:r>
              <w:rPr>
                <w:rFonts w:ascii="Times New Roman" w:hAnsi="Times New Roman" w:eastAsiaTheme="minorEastAsia"/>
                <w:szCs w:val="21"/>
                <w:vertAlign w:val="subscript"/>
              </w:rPr>
              <w:t>3</w:t>
            </w:r>
            <w:r>
              <w:rPr>
                <w:rFonts w:ascii="Times New Roman" w:hAnsi="Times New Roman" w:eastAsiaTheme="minorEastAsia"/>
                <w:szCs w:val="21"/>
              </w:rPr>
              <w:t>-N</w:t>
            </w:r>
          </w:p>
        </w:tc>
        <w:tc>
          <w:tcPr>
            <w:tcW w:w="1043" w:type="dxa"/>
            <w:vAlign w:val="center"/>
          </w:tcPr>
          <w:p>
            <w:pPr>
              <w:autoSpaceDE w:val="0"/>
              <w:autoSpaceDN w:val="0"/>
              <w:jc w:val="center"/>
              <w:rPr>
                <w:rFonts w:ascii="Times New Roman" w:hAnsi="Times New Roman"/>
                <w:szCs w:val="21"/>
              </w:rPr>
            </w:pPr>
            <w:r>
              <w:rPr>
                <w:rFonts w:ascii="Times New Roman" w:hAnsi="Times New Roman"/>
                <w:szCs w:val="21"/>
              </w:rPr>
              <w:t>4000</w:t>
            </w:r>
          </w:p>
          <w:p>
            <w:pPr>
              <w:autoSpaceDE w:val="0"/>
              <w:autoSpaceDN w:val="0"/>
              <w:jc w:val="center"/>
              <w:rPr>
                <w:rFonts w:ascii="Times New Roman" w:hAnsi="Times New Roman"/>
                <w:szCs w:val="21"/>
              </w:rPr>
            </w:pPr>
            <w:r>
              <w:rPr>
                <w:rFonts w:ascii="Times New Roman" w:hAnsi="Times New Roman"/>
                <w:szCs w:val="21"/>
              </w:rPr>
              <w:t>1800</w:t>
            </w:r>
          </w:p>
          <w:p>
            <w:pPr>
              <w:autoSpaceDE w:val="0"/>
              <w:autoSpaceDN w:val="0"/>
              <w:jc w:val="center"/>
              <w:rPr>
                <w:rFonts w:ascii="Times New Roman" w:hAnsi="Times New Roman"/>
                <w:szCs w:val="21"/>
              </w:rPr>
            </w:pPr>
            <w:r>
              <w:rPr>
                <w:rFonts w:hint="eastAsia" w:ascii="Times New Roman" w:hAnsi="Times New Roman"/>
                <w:szCs w:val="21"/>
              </w:rPr>
              <w:t>1</w:t>
            </w:r>
            <w:r>
              <w:rPr>
                <w:rFonts w:ascii="Times New Roman" w:hAnsi="Times New Roman"/>
                <w:szCs w:val="21"/>
              </w:rPr>
              <w:t>50</w:t>
            </w:r>
          </w:p>
          <w:p>
            <w:pPr>
              <w:autoSpaceDE w:val="0"/>
              <w:autoSpaceDN w:val="0"/>
              <w:jc w:val="center"/>
              <w:rPr>
                <w:rFonts w:ascii="Times New Roman" w:hAnsi="Times New Roman"/>
                <w:szCs w:val="21"/>
              </w:rPr>
            </w:pPr>
            <w:r>
              <w:rPr>
                <w:rFonts w:ascii="Times New Roman" w:hAnsi="Times New Roman"/>
                <w:szCs w:val="21"/>
              </w:rPr>
              <w:t>5</w:t>
            </w:r>
          </w:p>
        </w:tc>
        <w:tc>
          <w:tcPr>
            <w:tcW w:w="968" w:type="dxa"/>
            <w:vAlign w:val="center"/>
          </w:tcPr>
          <w:p>
            <w:pPr>
              <w:jc w:val="center"/>
              <w:rPr>
                <w:rFonts w:ascii="Times New Roman" w:hAnsi="Times New Roman" w:eastAsiaTheme="minorEastAsia"/>
                <w:szCs w:val="21"/>
              </w:rPr>
            </w:pPr>
            <w:r>
              <w:rPr>
                <w:rFonts w:ascii="Times New Roman" w:hAnsi="Times New Roman" w:eastAsiaTheme="minorEastAsia"/>
                <w:szCs w:val="21"/>
              </w:rPr>
              <w:t>常温</w:t>
            </w:r>
          </w:p>
        </w:tc>
        <w:tc>
          <w:tcPr>
            <w:tcW w:w="777" w:type="dxa"/>
            <w:vAlign w:val="center"/>
          </w:tcPr>
          <w:p>
            <w:pPr>
              <w:jc w:val="center"/>
              <w:rPr>
                <w:rFonts w:ascii="Times New Roman" w:hAnsi="Times New Roman" w:eastAsiaTheme="minorEastAsia"/>
                <w:szCs w:val="21"/>
              </w:rPr>
            </w:pPr>
            <w:r>
              <w:rPr>
                <w:rFonts w:ascii="Times New Roman" w:hAnsi="Times New Roman" w:eastAsiaTheme="minorEastAsia"/>
                <w:szCs w:val="21"/>
              </w:rPr>
              <w:t>连续</w:t>
            </w:r>
          </w:p>
        </w:tc>
        <w:tc>
          <w:tcPr>
            <w:tcW w:w="2057" w:type="dxa"/>
            <w:vMerge w:val="continue"/>
            <w:vAlign w:val="center"/>
          </w:tcPr>
          <w:p>
            <w:pP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Align w:val="center"/>
          </w:tcPr>
          <w:p>
            <w:pPr>
              <w:pStyle w:val="53"/>
              <w:snapToGrid w:val="0"/>
              <w:spacing w:line="240" w:lineRule="auto"/>
              <w:jc w:val="center"/>
              <w:rPr>
                <w:rFonts w:eastAsiaTheme="minorEastAsia"/>
                <w:b w:val="0"/>
                <w:spacing w:val="0"/>
                <w:sz w:val="21"/>
                <w:szCs w:val="21"/>
              </w:rPr>
            </w:pPr>
            <w:r>
              <w:rPr>
                <w:rFonts w:eastAsiaTheme="minorEastAsia"/>
                <w:b w:val="0"/>
                <w:spacing w:val="0"/>
                <w:sz w:val="21"/>
                <w:szCs w:val="21"/>
              </w:rPr>
              <w:t>W</w:t>
            </w:r>
            <w:r>
              <w:rPr>
                <w:rFonts w:eastAsiaTheme="minorEastAsia"/>
                <w:b w:val="0"/>
                <w:spacing w:val="0"/>
                <w:sz w:val="21"/>
                <w:szCs w:val="21"/>
                <w:vertAlign w:val="subscript"/>
              </w:rPr>
              <w:t>7</w:t>
            </w:r>
          </w:p>
        </w:tc>
        <w:tc>
          <w:tcPr>
            <w:tcW w:w="1185" w:type="dxa"/>
            <w:vAlign w:val="center"/>
          </w:tcPr>
          <w:p>
            <w:pPr>
              <w:pStyle w:val="53"/>
              <w:snapToGrid w:val="0"/>
              <w:spacing w:line="240" w:lineRule="auto"/>
              <w:jc w:val="left"/>
              <w:rPr>
                <w:rFonts w:eastAsiaTheme="minorEastAsia"/>
                <w:b w:val="0"/>
                <w:bCs/>
                <w:snapToGrid w:val="0"/>
                <w:spacing w:val="0"/>
                <w:kern w:val="0"/>
                <w:sz w:val="21"/>
                <w:szCs w:val="21"/>
              </w:rPr>
            </w:pPr>
            <w:r>
              <w:rPr>
                <w:rFonts w:eastAsiaTheme="minorEastAsia"/>
                <w:b w:val="0"/>
                <w:bCs/>
                <w:spacing w:val="0"/>
                <w:sz w:val="21"/>
                <w:szCs w:val="21"/>
              </w:rPr>
              <w:t>地面冲洗废水</w:t>
            </w:r>
          </w:p>
        </w:tc>
        <w:tc>
          <w:tcPr>
            <w:tcW w:w="1112" w:type="dxa"/>
            <w:vAlign w:val="center"/>
          </w:tcPr>
          <w:p>
            <w:pPr>
              <w:pStyle w:val="55"/>
              <w:spacing w:line="240" w:lineRule="auto"/>
              <w:rPr>
                <w:rFonts w:eastAsiaTheme="minorEastAsia"/>
                <w:spacing w:val="0"/>
              </w:rPr>
            </w:pPr>
            <w:r>
              <w:rPr>
                <w:rFonts w:hint="eastAsia" w:eastAsiaTheme="minorEastAsia"/>
                <w:spacing w:val="0"/>
              </w:rPr>
              <w:t>0.</w:t>
            </w:r>
            <w:r>
              <w:rPr>
                <w:rFonts w:eastAsiaTheme="minorEastAsia"/>
                <w:spacing w:val="0"/>
              </w:rPr>
              <w:t>25</w:t>
            </w:r>
          </w:p>
        </w:tc>
        <w:tc>
          <w:tcPr>
            <w:tcW w:w="116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COD</w:t>
            </w:r>
          </w:p>
          <w:p>
            <w:pPr>
              <w:autoSpaceDE w:val="0"/>
              <w:autoSpaceDN w:val="0"/>
              <w:jc w:val="center"/>
              <w:rPr>
                <w:rFonts w:ascii="Times New Roman" w:hAnsi="Times New Roman" w:eastAsiaTheme="minorEastAsia"/>
                <w:szCs w:val="21"/>
                <w:vertAlign w:val="subscript"/>
              </w:rPr>
            </w:pPr>
            <w:r>
              <w:rPr>
                <w:rFonts w:ascii="Times New Roman" w:hAnsi="Times New Roman" w:eastAsiaTheme="minorEastAsia"/>
                <w:szCs w:val="21"/>
              </w:rPr>
              <w:t>BOD</w:t>
            </w:r>
            <w:r>
              <w:rPr>
                <w:rFonts w:ascii="Times New Roman" w:hAnsi="Times New Roman" w:eastAsiaTheme="minorEastAsia"/>
                <w:szCs w:val="21"/>
                <w:vertAlign w:val="subscript"/>
              </w:rPr>
              <w:t>5</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SS</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NH</w:t>
            </w:r>
            <w:r>
              <w:rPr>
                <w:rFonts w:ascii="Times New Roman" w:hAnsi="Times New Roman" w:eastAsiaTheme="minorEastAsia"/>
                <w:szCs w:val="21"/>
                <w:vertAlign w:val="subscript"/>
              </w:rPr>
              <w:t>3</w:t>
            </w:r>
            <w:r>
              <w:rPr>
                <w:rFonts w:ascii="Times New Roman" w:hAnsi="Times New Roman" w:eastAsiaTheme="minorEastAsia"/>
                <w:szCs w:val="21"/>
              </w:rPr>
              <w:t>-N</w:t>
            </w:r>
          </w:p>
        </w:tc>
        <w:tc>
          <w:tcPr>
            <w:tcW w:w="1043" w:type="dxa"/>
            <w:vAlign w:val="center"/>
          </w:tcPr>
          <w:p>
            <w:pPr>
              <w:autoSpaceDE w:val="0"/>
              <w:autoSpaceDN w:val="0"/>
              <w:jc w:val="center"/>
              <w:rPr>
                <w:rFonts w:ascii="Times New Roman" w:hAnsi="Times New Roman"/>
                <w:szCs w:val="21"/>
              </w:rPr>
            </w:pPr>
            <w:r>
              <w:rPr>
                <w:rFonts w:ascii="Times New Roman" w:hAnsi="Times New Roman"/>
                <w:szCs w:val="21"/>
              </w:rPr>
              <w:t>600</w:t>
            </w:r>
          </w:p>
          <w:p>
            <w:pPr>
              <w:autoSpaceDE w:val="0"/>
              <w:autoSpaceDN w:val="0"/>
              <w:jc w:val="center"/>
              <w:rPr>
                <w:rFonts w:ascii="Times New Roman" w:hAnsi="Times New Roman"/>
                <w:szCs w:val="21"/>
              </w:rPr>
            </w:pPr>
            <w:r>
              <w:rPr>
                <w:rFonts w:ascii="Times New Roman" w:hAnsi="Times New Roman"/>
                <w:szCs w:val="21"/>
              </w:rPr>
              <w:t>200</w:t>
            </w:r>
          </w:p>
          <w:p>
            <w:pPr>
              <w:autoSpaceDE w:val="0"/>
              <w:autoSpaceDN w:val="0"/>
              <w:jc w:val="center"/>
              <w:rPr>
                <w:rFonts w:ascii="Times New Roman" w:hAnsi="Times New Roman"/>
                <w:szCs w:val="21"/>
              </w:rPr>
            </w:pPr>
            <w:r>
              <w:rPr>
                <w:rFonts w:hint="eastAsia" w:ascii="Times New Roman" w:hAnsi="Times New Roman"/>
                <w:szCs w:val="21"/>
              </w:rPr>
              <w:t>2</w:t>
            </w:r>
            <w:r>
              <w:rPr>
                <w:rFonts w:ascii="Times New Roman" w:hAnsi="Times New Roman"/>
                <w:szCs w:val="21"/>
              </w:rPr>
              <w:t>00</w:t>
            </w:r>
          </w:p>
          <w:p>
            <w:pPr>
              <w:autoSpaceDE w:val="0"/>
              <w:autoSpaceDN w:val="0"/>
              <w:jc w:val="center"/>
              <w:rPr>
                <w:rFonts w:ascii="Times New Roman" w:hAnsi="Times New Roman" w:eastAsiaTheme="minorEastAsia"/>
                <w:szCs w:val="21"/>
              </w:rPr>
            </w:pPr>
            <w:r>
              <w:rPr>
                <w:rFonts w:ascii="Times New Roman" w:hAnsi="Times New Roman"/>
                <w:szCs w:val="21"/>
              </w:rPr>
              <w:t>5</w:t>
            </w:r>
          </w:p>
        </w:tc>
        <w:tc>
          <w:tcPr>
            <w:tcW w:w="968" w:type="dxa"/>
            <w:vAlign w:val="center"/>
          </w:tcPr>
          <w:p>
            <w:pPr>
              <w:jc w:val="center"/>
              <w:rPr>
                <w:rFonts w:ascii="Times New Roman" w:hAnsi="Times New Roman" w:eastAsiaTheme="minorEastAsia"/>
                <w:szCs w:val="21"/>
              </w:rPr>
            </w:pPr>
            <w:r>
              <w:rPr>
                <w:rFonts w:ascii="Times New Roman" w:hAnsi="Times New Roman" w:eastAsiaTheme="minorEastAsia"/>
                <w:szCs w:val="21"/>
              </w:rPr>
              <w:t>常温</w:t>
            </w:r>
          </w:p>
        </w:tc>
        <w:tc>
          <w:tcPr>
            <w:tcW w:w="777" w:type="dxa"/>
            <w:vAlign w:val="center"/>
          </w:tcPr>
          <w:p>
            <w:pPr>
              <w:jc w:val="center"/>
              <w:rPr>
                <w:rFonts w:ascii="Times New Roman" w:hAnsi="Times New Roman" w:eastAsiaTheme="minorEastAsia"/>
                <w:szCs w:val="21"/>
              </w:rPr>
            </w:pPr>
            <w:r>
              <w:rPr>
                <w:rFonts w:ascii="Times New Roman" w:hAnsi="Times New Roman" w:eastAsiaTheme="minorEastAsia"/>
                <w:szCs w:val="21"/>
              </w:rPr>
              <w:t>间歇</w:t>
            </w:r>
          </w:p>
        </w:tc>
        <w:tc>
          <w:tcPr>
            <w:tcW w:w="2057" w:type="dxa"/>
            <w:vMerge w:val="continue"/>
            <w:vAlign w:val="center"/>
          </w:tcPr>
          <w:p>
            <w:pPr>
              <w:rPr>
                <w:rFonts w:ascii="Times New Roman" w:hAnsi="Times New Roman" w:eastAsiaTheme="minorEastAsia"/>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pacing w:val="0"/>
                <w:sz w:val="21"/>
                <w:szCs w:val="21"/>
              </w:rPr>
              <w:t>W</w:t>
            </w:r>
            <w:r>
              <w:rPr>
                <w:rFonts w:eastAsiaTheme="minorEastAsia"/>
                <w:b w:val="0"/>
                <w:spacing w:val="0"/>
                <w:sz w:val="21"/>
                <w:szCs w:val="21"/>
                <w:vertAlign w:val="subscript"/>
              </w:rPr>
              <w:t>5</w:t>
            </w:r>
          </w:p>
        </w:tc>
        <w:tc>
          <w:tcPr>
            <w:tcW w:w="1185" w:type="dxa"/>
            <w:vAlign w:val="center"/>
          </w:tcPr>
          <w:p>
            <w:pPr>
              <w:pStyle w:val="53"/>
              <w:snapToGrid w:val="0"/>
              <w:spacing w:line="240" w:lineRule="auto"/>
              <w:jc w:val="left"/>
              <w:rPr>
                <w:rFonts w:eastAsiaTheme="minorEastAsia"/>
                <w:b w:val="0"/>
                <w:snapToGrid w:val="0"/>
                <w:spacing w:val="0"/>
                <w:kern w:val="0"/>
                <w:sz w:val="21"/>
                <w:szCs w:val="21"/>
              </w:rPr>
            </w:pPr>
            <w:r>
              <w:rPr>
                <w:rFonts w:eastAsiaTheme="minorEastAsia"/>
                <w:b w:val="0"/>
                <w:snapToGrid w:val="0"/>
                <w:spacing w:val="0"/>
                <w:kern w:val="0"/>
                <w:sz w:val="21"/>
                <w:szCs w:val="21"/>
              </w:rPr>
              <w:t>循环冷却排污水</w:t>
            </w:r>
          </w:p>
        </w:tc>
        <w:tc>
          <w:tcPr>
            <w:tcW w:w="1112" w:type="dxa"/>
            <w:vAlign w:val="center"/>
          </w:tcPr>
          <w:p>
            <w:pPr>
              <w:pStyle w:val="55"/>
              <w:spacing w:line="240" w:lineRule="auto"/>
              <w:rPr>
                <w:rFonts w:eastAsiaTheme="minorEastAsia"/>
                <w:spacing w:val="0"/>
              </w:rPr>
            </w:pPr>
            <w:r>
              <w:rPr>
                <w:rFonts w:eastAsiaTheme="minorEastAsia"/>
                <w:spacing w:val="0"/>
              </w:rPr>
              <w:t>1.3</w:t>
            </w:r>
          </w:p>
        </w:tc>
        <w:tc>
          <w:tcPr>
            <w:tcW w:w="116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 xml:space="preserve">COD </w:t>
            </w:r>
          </w:p>
          <w:p>
            <w:pPr>
              <w:autoSpaceDE w:val="0"/>
              <w:autoSpaceDN w:val="0"/>
              <w:jc w:val="center"/>
              <w:rPr>
                <w:rFonts w:ascii="Times New Roman" w:hAnsi="Times New Roman" w:eastAsiaTheme="minorEastAsia"/>
                <w:szCs w:val="21"/>
                <w:vertAlign w:val="subscript"/>
              </w:rPr>
            </w:pPr>
            <w:r>
              <w:rPr>
                <w:rFonts w:ascii="Times New Roman" w:hAnsi="Times New Roman" w:eastAsiaTheme="minorEastAsia"/>
                <w:szCs w:val="21"/>
              </w:rPr>
              <w:t>BOD</w:t>
            </w:r>
            <w:r>
              <w:rPr>
                <w:rFonts w:ascii="Times New Roman" w:hAnsi="Times New Roman" w:eastAsiaTheme="minorEastAsia"/>
                <w:szCs w:val="21"/>
                <w:vertAlign w:val="subscript"/>
              </w:rPr>
              <w:t>5</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SS</w:t>
            </w:r>
          </w:p>
          <w:p>
            <w:pPr>
              <w:pStyle w:val="55"/>
              <w:spacing w:line="240" w:lineRule="auto"/>
              <w:rPr>
                <w:rFonts w:eastAsiaTheme="minorEastAsia"/>
                <w:spacing w:val="0"/>
              </w:rPr>
            </w:pPr>
            <w:r>
              <w:rPr>
                <w:rFonts w:eastAsiaTheme="minorEastAsia"/>
                <w:spacing w:val="0"/>
              </w:rPr>
              <w:t>NH</w:t>
            </w:r>
            <w:r>
              <w:rPr>
                <w:rFonts w:eastAsiaTheme="minorEastAsia"/>
                <w:spacing w:val="0"/>
                <w:vertAlign w:val="subscript"/>
              </w:rPr>
              <w:t>3</w:t>
            </w:r>
            <w:r>
              <w:rPr>
                <w:rFonts w:eastAsiaTheme="minorEastAsia"/>
                <w:spacing w:val="0"/>
              </w:rPr>
              <w:t>-N</w:t>
            </w:r>
          </w:p>
        </w:tc>
        <w:tc>
          <w:tcPr>
            <w:tcW w:w="104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45</w:t>
            </w:r>
          </w:p>
          <w:p>
            <w:pPr>
              <w:jc w:val="center"/>
              <w:rPr>
                <w:rFonts w:ascii="Times New Roman" w:hAnsi="Times New Roman" w:eastAsiaTheme="minorEastAsia"/>
                <w:szCs w:val="21"/>
              </w:rPr>
            </w:pPr>
            <w:r>
              <w:rPr>
                <w:rFonts w:hint="eastAsia" w:ascii="Times New Roman" w:hAnsi="Times New Roman" w:eastAsiaTheme="minorEastAsia"/>
                <w:szCs w:val="21"/>
              </w:rPr>
              <w:t>1</w:t>
            </w:r>
            <w:r>
              <w:rPr>
                <w:rFonts w:ascii="Times New Roman" w:hAnsi="Times New Roman" w:eastAsiaTheme="minorEastAsia"/>
                <w:szCs w:val="21"/>
              </w:rPr>
              <w:t>0</w:t>
            </w:r>
          </w:p>
          <w:p>
            <w:pPr>
              <w:jc w:val="center"/>
              <w:rPr>
                <w:rFonts w:ascii="Times New Roman" w:hAnsi="Times New Roman" w:eastAsiaTheme="minorEastAsia"/>
                <w:szCs w:val="21"/>
              </w:rPr>
            </w:pPr>
            <w:r>
              <w:rPr>
                <w:rFonts w:ascii="Times New Roman" w:hAnsi="Times New Roman" w:eastAsiaTheme="minorEastAsia"/>
                <w:szCs w:val="21"/>
              </w:rPr>
              <w:t>50</w:t>
            </w:r>
          </w:p>
          <w:p>
            <w:pPr>
              <w:pStyle w:val="55"/>
              <w:spacing w:line="240" w:lineRule="auto"/>
              <w:rPr>
                <w:rFonts w:eastAsiaTheme="minorEastAsia"/>
                <w:spacing w:val="0"/>
              </w:rPr>
            </w:pPr>
            <w:r>
              <w:rPr>
                <w:rFonts w:eastAsiaTheme="minorEastAsia"/>
                <w:spacing w:val="0"/>
              </w:rPr>
              <w:t>2</w:t>
            </w:r>
          </w:p>
        </w:tc>
        <w:tc>
          <w:tcPr>
            <w:tcW w:w="968" w:type="dxa"/>
            <w:vAlign w:val="center"/>
          </w:tcPr>
          <w:p>
            <w:pPr>
              <w:jc w:val="center"/>
              <w:rPr>
                <w:rFonts w:ascii="Times New Roman" w:hAnsi="Times New Roman" w:eastAsiaTheme="minorEastAsia"/>
                <w:szCs w:val="21"/>
              </w:rPr>
            </w:pPr>
            <w:r>
              <w:rPr>
                <w:rFonts w:ascii="Times New Roman" w:hAnsi="Times New Roman" w:eastAsiaTheme="minorEastAsia"/>
                <w:szCs w:val="21"/>
              </w:rPr>
              <w:t>常温</w:t>
            </w:r>
          </w:p>
        </w:tc>
        <w:tc>
          <w:tcPr>
            <w:tcW w:w="777" w:type="dxa"/>
            <w:vAlign w:val="center"/>
          </w:tcPr>
          <w:p>
            <w:pPr>
              <w:jc w:val="center"/>
              <w:rPr>
                <w:rFonts w:ascii="Times New Roman" w:hAnsi="Times New Roman" w:eastAsiaTheme="minorEastAsia"/>
                <w:szCs w:val="21"/>
              </w:rPr>
            </w:pPr>
            <w:r>
              <w:rPr>
                <w:rFonts w:ascii="Times New Roman" w:hAnsi="Times New Roman" w:eastAsiaTheme="minorEastAsia"/>
                <w:szCs w:val="21"/>
              </w:rPr>
              <w:t>连续</w:t>
            </w:r>
          </w:p>
        </w:tc>
        <w:tc>
          <w:tcPr>
            <w:tcW w:w="2057" w:type="dxa"/>
            <w:vMerge w:val="restart"/>
            <w:vAlign w:val="center"/>
          </w:tcPr>
          <w:p>
            <w:pPr>
              <w:pStyle w:val="55"/>
              <w:spacing w:line="240" w:lineRule="auto"/>
              <w:jc w:val="both"/>
              <w:rPr>
                <w:rFonts w:eastAsiaTheme="minorEastAsia"/>
                <w:spacing w:val="0"/>
              </w:rPr>
            </w:pPr>
            <w:r>
              <w:rPr>
                <w:rFonts w:hint="eastAsia" w:eastAsiaTheme="minorEastAsia"/>
                <w:spacing w:val="0"/>
              </w:rPr>
              <w:t>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710" w:type="dxa"/>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pacing w:val="0"/>
                <w:sz w:val="21"/>
                <w:szCs w:val="21"/>
              </w:rPr>
              <w:t>W</w:t>
            </w:r>
            <w:r>
              <w:rPr>
                <w:rFonts w:eastAsiaTheme="minorEastAsia"/>
                <w:b w:val="0"/>
                <w:spacing w:val="0"/>
                <w:sz w:val="21"/>
                <w:szCs w:val="21"/>
                <w:vertAlign w:val="subscript"/>
              </w:rPr>
              <w:t>6</w:t>
            </w:r>
          </w:p>
        </w:tc>
        <w:tc>
          <w:tcPr>
            <w:tcW w:w="1185" w:type="dxa"/>
            <w:vAlign w:val="center"/>
          </w:tcPr>
          <w:p>
            <w:pPr>
              <w:pStyle w:val="53"/>
              <w:snapToGrid w:val="0"/>
              <w:spacing w:line="240" w:lineRule="auto"/>
              <w:jc w:val="left"/>
              <w:rPr>
                <w:rFonts w:eastAsiaTheme="minorEastAsia"/>
                <w:b w:val="0"/>
                <w:snapToGrid w:val="0"/>
                <w:spacing w:val="0"/>
                <w:kern w:val="0"/>
                <w:sz w:val="21"/>
                <w:szCs w:val="21"/>
              </w:rPr>
            </w:pPr>
            <w:r>
              <w:rPr>
                <w:rFonts w:eastAsiaTheme="minorEastAsia"/>
                <w:b w:val="0"/>
                <w:snapToGrid w:val="0"/>
                <w:spacing w:val="0"/>
                <w:kern w:val="0"/>
                <w:sz w:val="21"/>
                <w:szCs w:val="21"/>
              </w:rPr>
              <w:t>脱盐水站排水</w:t>
            </w:r>
          </w:p>
        </w:tc>
        <w:tc>
          <w:tcPr>
            <w:tcW w:w="1112" w:type="dxa"/>
            <w:vAlign w:val="center"/>
          </w:tcPr>
          <w:p>
            <w:pPr>
              <w:pStyle w:val="55"/>
              <w:spacing w:line="240" w:lineRule="auto"/>
              <w:rPr>
                <w:rFonts w:eastAsiaTheme="minorEastAsia"/>
                <w:spacing w:val="0"/>
              </w:rPr>
            </w:pPr>
            <w:r>
              <w:rPr>
                <w:rFonts w:eastAsiaTheme="minorEastAsia"/>
                <w:spacing w:val="0"/>
              </w:rPr>
              <w:t>0.24</w:t>
            </w:r>
          </w:p>
        </w:tc>
        <w:tc>
          <w:tcPr>
            <w:tcW w:w="116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 xml:space="preserve">COD </w:t>
            </w:r>
          </w:p>
          <w:p>
            <w:pPr>
              <w:autoSpaceDE w:val="0"/>
              <w:autoSpaceDN w:val="0"/>
              <w:jc w:val="center"/>
              <w:rPr>
                <w:rFonts w:ascii="Times New Roman" w:hAnsi="Times New Roman" w:eastAsiaTheme="minorEastAsia"/>
                <w:szCs w:val="21"/>
                <w:vertAlign w:val="subscript"/>
              </w:rPr>
            </w:pPr>
            <w:r>
              <w:rPr>
                <w:rFonts w:ascii="Times New Roman" w:hAnsi="Times New Roman" w:eastAsiaTheme="minorEastAsia"/>
                <w:szCs w:val="21"/>
              </w:rPr>
              <w:t>BOD</w:t>
            </w:r>
            <w:r>
              <w:rPr>
                <w:rFonts w:ascii="Times New Roman" w:hAnsi="Times New Roman" w:eastAsiaTheme="minorEastAsia"/>
                <w:szCs w:val="21"/>
                <w:vertAlign w:val="subscript"/>
              </w:rPr>
              <w:t>5</w:t>
            </w:r>
          </w:p>
          <w:p>
            <w:pPr>
              <w:autoSpaceDE w:val="0"/>
              <w:autoSpaceDN w:val="0"/>
              <w:jc w:val="center"/>
              <w:rPr>
                <w:rFonts w:ascii="Times New Roman" w:hAnsi="Times New Roman" w:eastAsiaTheme="minorEastAsia"/>
                <w:szCs w:val="21"/>
              </w:rPr>
            </w:pPr>
            <w:r>
              <w:rPr>
                <w:rFonts w:ascii="Times New Roman" w:hAnsi="Times New Roman" w:eastAsiaTheme="minorEastAsia"/>
                <w:szCs w:val="21"/>
              </w:rPr>
              <w:t>SS</w:t>
            </w:r>
          </w:p>
          <w:p>
            <w:pPr>
              <w:pStyle w:val="55"/>
              <w:spacing w:line="240" w:lineRule="auto"/>
              <w:rPr>
                <w:rFonts w:eastAsiaTheme="minorEastAsia"/>
                <w:spacing w:val="0"/>
              </w:rPr>
            </w:pPr>
            <w:r>
              <w:rPr>
                <w:rFonts w:eastAsiaTheme="minorEastAsia"/>
                <w:spacing w:val="0"/>
              </w:rPr>
              <w:t>NH</w:t>
            </w:r>
            <w:r>
              <w:rPr>
                <w:rFonts w:eastAsiaTheme="minorEastAsia"/>
                <w:spacing w:val="0"/>
                <w:vertAlign w:val="subscript"/>
              </w:rPr>
              <w:t>3</w:t>
            </w:r>
            <w:r>
              <w:rPr>
                <w:rFonts w:eastAsiaTheme="minorEastAsia"/>
                <w:spacing w:val="0"/>
              </w:rPr>
              <w:t>-N</w:t>
            </w:r>
          </w:p>
        </w:tc>
        <w:tc>
          <w:tcPr>
            <w:tcW w:w="1043" w:type="dxa"/>
            <w:vAlign w:val="center"/>
          </w:tcPr>
          <w:p>
            <w:pPr>
              <w:autoSpaceDE w:val="0"/>
              <w:autoSpaceDN w:val="0"/>
              <w:jc w:val="center"/>
              <w:rPr>
                <w:rFonts w:ascii="Times New Roman" w:hAnsi="Times New Roman" w:eastAsiaTheme="minorEastAsia"/>
                <w:szCs w:val="21"/>
              </w:rPr>
            </w:pPr>
            <w:r>
              <w:rPr>
                <w:rFonts w:ascii="Times New Roman" w:hAnsi="Times New Roman" w:eastAsiaTheme="minorEastAsia"/>
                <w:szCs w:val="21"/>
              </w:rPr>
              <w:t>45</w:t>
            </w:r>
          </w:p>
          <w:p>
            <w:pPr>
              <w:jc w:val="center"/>
              <w:rPr>
                <w:rFonts w:ascii="Times New Roman" w:hAnsi="Times New Roman" w:eastAsiaTheme="minorEastAsia"/>
                <w:szCs w:val="21"/>
              </w:rPr>
            </w:pPr>
            <w:r>
              <w:rPr>
                <w:rFonts w:hint="eastAsia" w:ascii="Times New Roman" w:hAnsi="Times New Roman" w:eastAsiaTheme="minorEastAsia"/>
                <w:szCs w:val="21"/>
              </w:rPr>
              <w:t>1</w:t>
            </w:r>
            <w:r>
              <w:rPr>
                <w:rFonts w:ascii="Times New Roman" w:hAnsi="Times New Roman" w:eastAsiaTheme="minorEastAsia"/>
                <w:szCs w:val="21"/>
              </w:rPr>
              <w:t>0</w:t>
            </w:r>
          </w:p>
          <w:p>
            <w:pPr>
              <w:jc w:val="center"/>
              <w:rPr>
                <w:rFonts w:ascii="Times New Roman" w:hAnsi="Times New Roman" w:eastAsiaTheme="minorEastAsia"/>
                <w:szCs w:val="21"/>
              </w:rPr>
            </w:pPr>
            <w:r>
              <w:rPr>
                <w:rFonts w:ascii="Times New Roman" w:hAnsi="Times New Roman" w:eastAsiaTheme="minorEastAsia"/>
                <w:szCs w:val="21"/>
              </w:rPr>
              <w:t>30</w:t>
            </w:r>
          </w:p>
          <w:p>
            <w:pPr>
              <w:pStyle w:val="55"/>
              <w:spacing w:line="240" w:lineRule="auto"/>
              <w:rPr>
                <w:rFonts w:eastAsiaTheme="minorEastAsia"/>
                <w:spacing w:val="0"/>
              </w:rPr>
            </w:pPr>
            <w:r>
              <w:rPr>
                <w:rFonts w:eastAsiaTheme="minorEastAsia"/>
                <w:spacing w:val="0"/>
              </w:rPr>
              <w:t>2</w:t>
            </w:r>
          </w:p>
        </w:tc>
        <w:tc>
          <w:tcPr>
            <w:tcW w:w="968" w:type="dxa"/>
            <w:vAlign w:val="center"/>
          </w:tcPr>
          <w:p>
            <w:pPr>
              <w:pStyle w:val="55"/>
              <w:spacing w:line="240" w:lineRule="auto"/>
              <w:rPr>
                <w:rFonts w:eastAsiaTheme="minorEastAsia"/>
                <w:spacing w:val="0"/>
              </w:rPr>
            </w:pPr>
            <w:r>
              <w:rPr>
                <w:rFonts w:eastAsiaTheme="minorEastAsia"/>
                <w:spacing w:val="0"/>
              </w:rPr>
              <w:t>常温</w:t>
            </w:r>
          </w:p>
        </w:tc>
        <w:tc>
          <w:tcPr>
            <w:tcW w:w="777" w:type="dxa"/>
            <w:vAlign w:val="center"/>
          </w:tcPr>
          <w:p>
            <w:pPr>
              <w:pStyle w:val="55"/>
              <w:spacing w:line="240" w:lineRule="auto"/>
              <w:rPr>
                <w:rFonts w:eastAsiaTheme="minorEastAsia"/>
                <w:spacing w:val="0"/>
              </w:rPr>
            </w:pPr>
            <w:r>
              <w:rPr>
                <w:rFonts w:eastAsiaTheme="minorEastAsia"/>
                <w:spacing w:val="0"/>
              </w:rPr>
              <w:t>连续</w:t>
            </w:r>
          </w:p>
        </w:tc>
        <w:tc>
          <w:tcPr>
            <w:tcW w:w="2057" w:type="dxa"/>
            <w:vMerge w:val="continue"/>
            <w:vAlign w:val="center"/>
          </w:tcPr>
          <w:p>
            <w:pPr>
              <w:pStyle w:val="55"/>
              <w:spacing w:line="240" w:lineRule="auto"/>
              <w:jc w:val="both"/>
              <w:rPr>
                <w:rFonts w:eastAsiaTheme="minorEastAsia"/>
                <w:spacing w:val="0"/>
              </w:rPr>
            </w:pPr>
          </w:p>
        </w:tc>
      </w:tr>
      <w:bookmarkEnd w:id="81"/>
      <w:bookmarkEnd w:id="82"/>
    </w:tbl>
    <w:p>
      <w:pPr>
        <w:pStyle w:val="27"/>
        <w:ind w:firstLine="560"/>
        <w:rPr>
          <w:szCs w:val="28"/>
        </w:rPr>
      </w:pPr>
      <w:bookmarkStart w:id="83" w:name="_Hlk27344856"/>
      <w:bookmarkStart w:id="84" w:name="_Toc439060552"/>
      <w:r>
        <w:rPr>
          <w:rFonts w:hint="eastAsia"/>
          <w:szCs w:val="28"/>
        </w:rPr>
        <w:t>项目废水处理依托</w:t>
      </w:r>
      <w:r>
        <w:rPr>
          <w:szCs w:val="28"/>
        </w:rPr>
        <w:t>中原大化污水处理站废水处理工艺</w:t>
      </w:r>
      <w:r>
        <w:rPr>
          <w:rFonts w:hint="eastAsia"/>
          <w:szCs w:val="28"/>
        </w:rPr>
        <w:t>采用</w:t>
      </w:r>
      <w:r>
        <w:rPr>
          <w:szCs w:val="28"/>
        </w:rPr>
        <w:t>“二级HBF+砂滤+超滤+反渗透”</w:t>
      </w:r>
      <w:r>
        <w:rPr>
          <w:rFonts w:hint="eastAsia"/>
          <w:szCs w:val="28"/>
        </w:rPr>
        <w:t>，设计处理</w:t>
      </w:r>
      <w:r>
        <w:rPr>
          <w:szCs w:val="28"/>
        </w:rPr>
        <w:t>规模为300m</w:t>
      </w:r>
      <w:r>
        <w:rPr>
          <w:szCs w:val="28"/>
          <w:vertAlign w:val="superscript"/>
        </w:rPr>
        <w:t>3</w:t>
      </w:r>
      <w:r>
        <w:rPr>
          <w:szCs w:val="28"/>
        </w:rPr>
        <w:t>/h，</w:t>
      </w:r>
      <w:r>
        <w:rPr>
          <w:rFonts w:hint="eastAsia"/>
          <w:szCs w:val="28"/>
        </w:rPr>
        <w:t>回用水率60%</w:t>
      </w:r>
      <w:r>
        <w:rPr>
          <w:szCs w:val="28"/>
        </w:rPr>
        <w:t>，处理达标后通过污水管网排至</w:t>
      </w:r>
      <w:r>
        <w:rPr>
          <w:rFonts w:hint="eastAsia"/>
          <w:szCs w:val="28"/>
        </w:rPr>
        <w:t>濮阳</w:t>
      </w:r>
      <w:r>
        <w:rPr>
          <w:szCs w:val="28"/>
        </w:rPr>
        <w:t>市第二污水处理厂。</w:t>
      </w:r>
    </w:p>
    <w:p>
      <w:pPr>
        <w:spacing w:line="520" w:lineRule="exact"/>
        <w:ind w:firstLine="560" w:firstLineChars="200"/>
        <w:rPr>
          <w:rFonts w:ascii="Times New Roman" w:hAnsi="Times New Roman"/>
          <w:sz w:val="28"/>
          <w:szCs w:val="28"/>
        </w:rPr>
      </w:pPr>
      <w:bookmarkStart w:id="85" w:name="_Hlk67067579"/>
      <w:r>
        <w:rPr>
          <w:rFonts w:ascii="Times New Roman" w:hAnsi="Times New Roman"/>
          <w:sz w:val="28"/>
          <w:szCs w:val="28"/>
        </w:rPr>
        <w:t>评价利用中原大化污水处理站</w:t>
      </w:r>
      <w:r>
        <w:rPr>
          <w:rFonts w:hint="eastAsia" w:ascii="Times New Roman" w:hAnsi="Times New Roman"/>
          <w:sz w:val="28"/>
          <w:szCs w:val="28"/>
        </w:rPr>
        <w:t>常规</w:t>
      </w:r>
      <w:r>
        <w:rPr>
          <w:rFonts w:ascii="Times New Roman" w:hAnsi="Times New Roman"/>
          <w:sz w:val="28"/>
          <w:szCs w:val="28"/>
        </w:rPr>
        <w:t>监测资料</w:t>
      </w:r>
      <w:r>
        <w:rPr>
          <w:rFonts w:hint="eastAsia" w:ascii="Times New Roman" w:hAnsi="Times New Roman"/>
          <w:sz w:val="28"/>
          <w:szCs w:val="28"/>
        </w:rPr>
        <w:t>（2</w:t>
      </w:r>
      <w:r>
        <w:rPr>
          <w:rFonts w:ascii="Times New Roman" w:hAnsi="Times New Roman"/>
          <w:sz w:val="28"/>
          <w:szCs w:val="28"/>
        </w:rPr>
        <w:t>021</w:t>
      </w:r>
      <w:r>
        <w:rPr>
          <w:rFonts w:hint="eastAsia" w:ascii="Times New Roman" w:hAnsi="Times New Roman"/>
          <w:sz w:val="28"/>
          <w:szCs w:val="28"/>
        </w:rPr>
        <w:t>年第四季度监测数据）</w:t>
      </w:r>
      <w:r>
        <w:rPr>
          <w:rFonts w:ascii="Times New Roman" w:hAnsi="Times New Roman"/>
          <w:sz w:val="28"/>
          <w:szCs w:val="28"/>
        </w:rPr>
        <w:t>并辅以该公司日常监测资料（2020.11~2020.12在线数据），对本项目污水进入污水处理站的处理效果进行分析，评价项目外排废水的可达标情况，具体内容详见表3.</w:t>
      </w:r>
      <w:r>
        <w:rPr>
          <w:rFonts w:hint="eastAsia" w:ascii="Times New Roman" w:hAnsi="Times New Roman"/>
          <w:sz w:val="28"/>
          <w:szCs w:val="28"/>
        </w:rPr>
        <w:t>5</w:t>
      </w:r>
      <w:r>
        <w:rPr>
          <w:rFonts w:ascii="Times New Roman" w:hAnsi="Times New Roman"/>
          <w:sz w:val="28"/>
          <w:szCs w:val="28"/>
        </w:rPr>
        <w:t>-5。</w:t>
      </w:r>
    </w:p>
    <w:p>
      <w:pPr>
        <w:tabs>
          <w:tab w:val="left" w:pos="425"/>
        </w:tabs>
        <w:spacing w:line="440" w:lineRule="exact"/>
        <w:ind w:left="425" w:firstLine="964" w:firstLineChars="400"/>
        <w:rPr>
          <w:rFonts w:ascii="Times New Roman" w:hAnsi="Times New Roman" w:eastAsia="黑体"/>
          <w:b/>
          <w:bCs/>
          <w:sz w:val="24"/>
        </w:rPr>
      </w:pPr>
      <w:r>
        <w:rPr>
          <w:rFonts w:ascii="Times New Roman" w:hAnsi="Times New Roman" w:eastAsia="黑体"/>
          <w:b/>
          <w:bCs/>
          <w:sz w:val="24"/>
        </w:rPr>
        <w:t>表3.5-5</w:t>
      </w:r>
      <w:r>
        <w:rPr>
          <w:rFonts w:ascii="Times New Roman" w:hAnsi="Times New Roman"/>
        </w:rPr>
        <w:t xml:space="preserve"> </w:t>
      </w:r>
      <w:r>
        <w:rPr>
          <w:rFonts w:ascii="Times New Roman" w:hAnsi="Times New Roman" w:eastAsia="黑体"/>
          <w:b/>
          <w:bCs/>
          <w:sz w:val="24"/>
        </w:rPr>
        <w:t xml:space="preserve">            废水排放情况一览表            单位：mg/L</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2339"/>
        <w:gridCol w:w="1418"/>
        <w:gridCol w:w="992"/>
        <w:gridCol w:w="1134"/>
        <w:gridCol w:w="992"/>
        <w:gridCol w:w="112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单元</w:t>
            </w:r>
          </w:p>
        </w:tc>
        <w:tc>
          <w:tcPr>
            <w:tcW w:w="1418" w:type="dxa"/>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水量（m</w:t>
            </w:r>
            <w:r>
              <w:rPr>
                <w:rFonts w:ascii="Times New Roman" w:hAnsi="Times New Roman"/>
                <w:b/>
                <w:bCs/>
                <w:kern w:val="0"/>
                <w:szCs w:val="21"/>
                <w:vertAlign w:val="superscript"/>
              </w:rPr>
              <w:t>3</w:t>
            </w:r>
            <w:r>
              <w:rPr>
                <w:rFonts w:ascii="Times New Roman" w:hAnsi="Times New Roman"/>
                <w:b/>
                <w:bCs/>
                <w:kern w:val="0"/>
                <w:szCs w:val="21"/>
              </w:rPr>
              <w:t>/h）</w:t>
            </w:r>
          </w:p>
        </w:tc>
        <w:tc>
          <w:tcPr>
            <w:tcW w:w="992" w:type="dxa"/>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COD</w:t>
            </w:r>
          </w:p>
        </w:tc>
        <w:tc>
          <w:tcPr>
            <w:tcW w:w="1134" w:type="dxa"/>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氨氮</w:t>
            </w:r>
          </w:p>
        </w:tc>
        <w:tc>
          <w:tcPr>
            <w:tcW w:w="992" w:type="dxa"/>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BOD</w:t>
            </w:r>
            <w:r>
              <w:rPr>
                <w:rFonts w:ascii="Times New Roman" w:hAnsi="Times New Roman"/>
                <w:b/>
                <w:bCs/>
                <w:kern w:val="0"/>
                <w:szCs w:val="21"/>
                <w:vertAlign w:val="subscript"/>
              </w:rPr>
              <w:t>5</w:t>
            </w:r>
          </w:p>
        </w:tc>
        <w:tc>
          <w:tcPr>
            <w:tcW w:w="1129" w:type="dxa"/>
            <w:shd w:val="clear" w:color="auto" w:fill="auto"/>
            <w:vAlign w:val="center"/>
          </w:tcPr>
          <w:p>
            <w:pPr>
              <w:widowControl/>
              <w:jc w:val="center"/>
              <w:rPr>
                <w:rFonts w:ascii="Times New Roman" w:hAnsi="Times New Roman"/>
                <w:b/>
                <w:bCs/>
                <w:kern w:val="0"/>
                <w:szCs w:val="21"/>
              </w:rPr>
            </w:pPr>
            <w:r>
              <w:rPr>
                <w:rFonts w:ascii="Times New Roman" w:hAnsi="Times New Roman"/>
                <w:b/>
                <w:bCs/>
                <w:kern w:val="0"/>
                <w:szCs w:val="21"/>
              </w:rPr>
              <w:t>SS</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厂区现有总排口水质（含清净下水）</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303.01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57.0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0.4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20</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71" w:type="dxa"/>
            <w:vMerge w:val="restar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项目</w:t>
            </w:r>
          </w:p>
          <w:p>
            <w:pPr>
              <w:widowControl/>
              <w:jc w:val="center"/>
              <w:rPr>
                <w:rFonts w:ascii="Times New Roman" w:hAnsi="Times New Roman"/>
                <w:kern w:val="0"/>
                <w:szCs w:val="21"/>
              </w:rPr>
            </w:pPr>
            <w:r>
              <w:rPr>
                <w:rFonts w:ascii="Times New Roman" w:hAnsi="Times New Roman"/>
                <w:kern w:val="0"/>
                <w:szCs w:val="21"/>
              </w:rPr>
              <w:t>新增排水</w:t>
            </w:r>
          </w:p>
        </w:tc>
        <w:tc>
          <w:tcPr>
            <w:tcW w:w="233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项目需处理废水</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1.22</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6385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5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2898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160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71" w:type="dxa"/>
            <w:vMerge w:val="continue"/>
            <w:shd w:val="clear" w:color="auto" w:fill="auto"/>
            <w:vAlign w:val="center"/>
          </w:tcPr>
          <w:p>
            <w:pPr>
              <w:jc w:val="left"/>
              <w:rPr>
                <w:rFonts w:ascii="Times New Roman" w:hAnsi="Times New Roman"/>
                <w:kern w:val="0"/>
                <w:szCs w:val="21"/>
              </w:rPr>
            </w:pPr>
          </w:p>
        </w:tc>
        <w:tc>
          <w:tcPr>
            <w:tcW w:w="233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处理效率</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97%</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97.50%</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95%</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71" w:type="dxa"/>
            <w:vMerge w:val="continue"/>
            <w:shd w:val="clear" w:color="auto" w:fill="auto"/>
            <w:vAlign w:val="center"/>
          </w:tcPr>
          <w:p>
            <w:pPr>
              <w:jc w:val="left"/>
              <w:rPr>
                <w:rFonts w:ascii="Times New Roman" w:hAnsi="Times New Roman"/>
                <w:kern w:val="0"/>
                <w:szCs w:val="21"/>
              </w:rPr>
            </w:pPr>
          </w:p>
        </w:tc>
        <w:tc>
          <w:tcPr>
            <w:tcW w:w="233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处理站新增排水</w:t>
            </w:r>
          </w:p>
          <w:p>
            <w:pPr>
              <w:widowControl/>
              <w:jc w:val="center"/>
              <w:rPr>
                <w:rFonts w:ascii="Times New Roman" w:hAnsi="Times New Roman"/>
                <w:kern w:val="0"/>
                <w:szCs w:val="21"/>
              </w:rPr>
            </w:pPr>
            <w:r>
              <w:rPr>
                <w:rFonts w:ascii="Times New Roman" w:hAnsi="Times New Roman"/>
                <w:kern w:val="0"/>
                <w:szCs w:val="21"/>
              </w:rPr>
              <w:t>（60%回用，40%排放）</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0.48</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191.6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0.13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144.9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8.0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71" w:type="dxa"/>
            <w:vMerge w:val="continue"/>
            <w:shd w:val="clear" w:color="auto" w:fill="auto"/>
            <w:vAlign w:val="center"/>
          </w:tcPr>
          <w:p>
            <w:pPr>
              <w:jc w:val="left"/>
              <w:rPr>
                <w:rFonts w:ascii="Times New Roman" w:hAnsi="Times New Roman"/>
                <w:kern w:val="0"/>
                <w:szCs w:val="21"/>
              </w:rPr>
            </w:pPr>
          </w:p>
        </w:tc>
        <w:tc>
          <w:tcPr>
            <w:tcW w:w="233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清净废水水质</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1.54</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45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2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10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47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71" w:type="dxa"/>
            <w:vMerge w:val="continue"/>
            <w:shd w:val="clear" w:color="auto" w:fill="auto"/>
            <w:vAlign w:val="center"/>
          </w:tcPr>
          <w:p>
            <w:pPr>
              <w:widowControl/>
              <w:jc w:val="left"/>
              <w:rPr>
                <w:rFonts w:ascii="Times New Roman" w:hAnsi="Times New Roman"/>
                <w:kern w:val="0"/>
                <w:szCs w:val="21"/>
              </w:rPr>
            </w:pPr>
          </w:p>
        </w:tc>
        <w:tc>
          <w:tcPr>
            <w:tcW w:w="233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总排水水质</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2.02</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79.8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1.6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42.0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37.6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项目完成后总排口水质</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305.03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57.2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0.4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20.1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11.2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GB8978-1996《污水综合排放标准》表4二级标准</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150</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25</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30</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本项目排污总量（t/a）</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16160</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0.92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0.01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0.33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 xml:space="preserve">0.18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项目完成后总排口排污总量（t/a）</w:t>
            </w:r>
          </w:p>
        </w:tc>
        <w:tc>
          <w:tcPr>
            <w:tcW w:w="1418"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2440256</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139.46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0.96 </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49.16 </w:t>
            </w:r>
          </w:p>
        </w:tc>
        <w:tc>
          <w:tcPr>
            <w:tcW w:w="1129"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27.27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510" w:type="dxa"/>
            <w:gridSpan w:val="2"/>
            <w:shd w:val="clear" w:color="auto" w:fill="auto"/>
            <w:vAlign w:val="center"/>
          </w:tcPr>
          <w:p>
            <w:pPr>
              <w:widowControl/>
              <w:jc w:val="center"/>
              <w:rPr>
                <w:rFonts w:ascii="Times New Roman" w:hAnsi="Times New Roman"/>
                <w:kern w:val="0"/>
                <w:szCs w:val="21"/>
              </w:rPr>
            </w:pPr>
            <w:r>
              <w:rPr>
                <w:rFonts w:hint="eastAsia" w:ascii="Times New Roman" w:hAnsi="Times New Roman"/>
                <w:kern w:val="0"/>
                <w:szCs w:val="21"/>
              </w:rPr>
              <w:t>排污许可总量</w:t>
            </w:r>
            <w:r>
              <w:rPr>
                <w:rFonts w:ascii="Times New Roman" w:hAnsi="Times New Roman"/>
                <w:kern w:val="0"/>
                <w:szCs w:val="21"/>
              </w:rPr>
              <w:t>（t/a）</w:t>
            </w:r>
          </w:p>
        </w:tc>
        <w:tc>
          <w:tcPr>
            <w:tcW w:w="1418" w:type="dxa"/>
            <w:shd w:val="clear" w:color="auto" w:fill="auto"/>
            <w:vAlign w:val="bottom"/>
          </w:tcPr>
          <w:p>
            <w:pPr>
              <w:widowControl/>
              <w:jc w:val="center"/>
              <w:rPr>
                <w:rFonts w:ascii="Times New Roman" w:hAnsi="Times New Roman"/>
                <w:kern w:val="0"/>
                <w:szCs w:val="21"/>
              </w:rPr>
            </w:pPr>
            <w:r>
              <w:rPr>
                <w:rFonts w:hint="eastAsia" w:ascii="Times New Roman" w:hAnsi="Times New Roman"/>
                <w:kern w:val="0"/>
                <w:szCs w:val="21"/>
              </w:rPr>
              <w:t>/</w:t>
            </w:r>
          </w:p>
        </w:tc>
        <w:tc>
          <w:tcPr>
            <w:tcW w:w="992"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143.50 </w:t>
            </w:r>
          </w:p>
        </w:tc>
        <w:tc>
          <w:tcPr>
            <w:tcW w:w="1134" w:type="dxa"/>
            <w:shd w:val="clear" w:color="auto" w:fill="auto"/>
            <w:vAlign w:val="center"/>
          </w:tcPr>
          <w:p>
            <w:pPr>
              <w:widowControl/>
              <w:jc w:val="center"/>
              <w:rPr>
                <w:rFonts w:ascii="Times New Roman" w:hAnsi="Times New Roman"/>
                <w:kern w:val="0"/>
                <w:szCs w:val="21"/>
              </w:rPr>
            </w:pPr>
            <w:r>
              <w:rPr>
                <w:rFonts w:ascii="Times New Roman" w:hAnsi="Times New Roman" w:eastAsia="等线"/>
                <w:szCs w:val="21"/>
              </w:rPr>
              <w:t xml:space="preserve">28.70 </w:t>
            </w:r>
          </w:p>
        </w:tc>
        <w:tc>
          <w:tcPr>
            <w:tcW w:w="992" w:type="dxa"/>
            <w:shd w:val="clear" w:color="auto" w:fill="auto"/>
            <w:vAlign w:val="bottom"/>
          </w:tcPr>
          <w:p>
            <w:pPr>
              <w:widowControl/>
              <w:jc w:val="center"/>
              <w:rPr>
                <w:rFonts w:ascii="Times New Roman" w:hAnsi="Times New Roman"/>
                <w:kern w:val="0"/>
                <w:szCs w:val="21"/>
              </w:rPr>
            </w:pPr>
            <w:r>
              <w:rPr>
                <w:rFonts w:hint="eastAsia" w:ascii="Times New Roman" w:hAnsi="Times New Roman"/>
                <w:kern w:val="0"/>
                <w:szCs w:val="21"/>
              </w:rPr>
              <w:t>/</w:t>
            </w:r>
          </w:p>
        </w:tc>
        <w:tc>
          <w:tcPr>
            <w:tcW w:w="1129" w:type="dxa"/>
            <w:shd w:val="clear" w:color="auto" w:fill="auto"/>
            <w:vAlign w:val="bottom"/>
          </w:tcPr>
          <w:p>
            <w:pPr>
              <w:widowControl/>
              <w:jc w:val="center"/>
              <w:rPr>
                <w:rFonts w:ascii="Times New Roman" w:hAnsi="Times New Roman"/>
                <w:kern w:val="0"/>
                <w:szCs w:val="21"/>
              </w:rPr>
            </w:pPr>
            <w:r>
              <w:rPr>
                <w:rFonts w:hint="eastAsia" w:ascii="Times New Roman" w:hAnsi="Times New Roman"/>
                <w:kern w:val="0"/>
                <w:szCs w:val="21"/>
              </w:rPr>
              <w:t>/</w:t>
            </w:r>
          </w:p>
        </w:tc>
      </w:tr>
      <w:bookmarkEnd w:id="85"/>
    </w:tbl>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由表3.</w:t>
      </w:r>
      <w:r>
        <w:rPr>
          <w:rFonts w:hint="eastAsia" w:ascii="Times New Roman" w:hAnsi="Times New Roman" w:eastAsiaTheme="minorEastAsia"/>
          <w:sz w:val="28"/>
          <w:szCs w:val="28"/>
        </w:rPr>
        <w:t>5</w:t>
      </w:r>
      <w:r>
        <w:rPr>
          <w:rFonts w:ascii="Times New Roman" w:hAnsi="Times New Roman" w:eastAsiaTheme="minorEastAsia"/>
          <w:sz w:val="28"/>
          <w:szCs w:val="28"/>
        </w:rPr>
        <w:t>-5可看出，项目废水对中原大化现有污水处理站出水现状贡献值很小，废水进入中原大化污水处理站处理后，</w:t>
      </w:r>
      <w:r>
        <w:rPr>
          <w:rFonts w:hint="eastAsia" w:ascii="Times New Roman" w:hAnsi="Times New Roman" w:eastAsiaTheme="minorEastAsia"/>
          <w:sz w:val="28"/>
          <w:szCs w:val="28"/>
        </w:rPr>
        <w:t>厂区总排口</w:t>
      </w:r>
      <w:r>
        <w:rPr>
          <w:rFonts w:ascii="Times New Roman" w:hAnsi="Times New Roman" w:eastAsiaTheme="minorEastAsia"/>
          <w:sz w:val="28"/>
          <w:szCs w:val="28"/>
        </w:rPr>
        <w:t>出水可满足GB8978-1996《污水综合排放标准》表4二级标准限值要求。</w:t>
      </w:r>
    </w:p>
    <w:bookmarkEnd w:id="83"/>
    <w:p>
      <w:pPr>
        <w:pStyle w:val="5"/>
        <w:spacing w:before="0" w:after="0" w:line="520" w:lineRule="exact"/>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.3  噪声产排分析</w:t>
      </w:r>
      <w:bookmarkEnd w:id="84"/>
    </w:p>
    <w:p>
      <w:pPr>
        <w:spacing w:line="520" w:lineRule="exact"/>
        <w:ind w:firstLine="560" w:firstLineChars="200"/>
        <w:rPr>
          <w:rFonts w:ascii="Times New Roman" w:hAnsi="Times New Roman" w:eastAsiaTheme="minorEastAsia"/>
          <w:kern w:val="0"/>
          <w:sz w:val="28"/>
          <w:szCs w:val="28"/>
        </w:rPr>
      </w:pPr>
      <w:r>
        <w:rPr>
          <w:rFonts w:ascii="Times New Roman" w:hAnsi="Times New Roman" w:eastAsiaTheme="minorEastAsia"/>
          <w:kern w:val="0"/>
          <w:sz w:val="28"/>
          <w:szCs w:val="28"/>
        </w:rPr>
        <w:t>项目的噪声污染来源主要为各类机泵、</w:t>
      </w:r>
      <w:r>
        <w:rPr>
          <w:rFonts w:hint="eastAsia" w:ascii="Times New Roman" w:hAnsi="Times New Roman" w:eastAsiaTheme="minorEastAsia"/>
          <w:kern w:val="0"/>
          <w:sz w:val="28"/>
          <w:szCs w:val="28"/>
        </w:rPr>
        <w:t>压缩机</w:t>
      </w:r>
      <w:r>
        <w:rPr>
          <w:rFonts w:ascii="Times New Roman" w:hAnsi="Times New Roman" w:eastAsiaTheme="minorEastAsia"/>
          <w:kern w:val="0"/>
          <w:sz w:val="28"/>
          <w:szCs w:val="28"/>
        </w:rPr>
        <w:t>等</w:t>
      </w:r>
      <w:r>
        <w:rPr>
          <w:rFonts w:hint="eastAsia" w:ascii="Times New Roman" w:hAnsi="Times New Roman" w:eastAsiaTheme="minorEastAsia"/>
          <w:kern w:val="0"/>
          <w:sz w:val="28"/>
          <w:szCs w:val="28"/>
        </w:rPr>
        <w:t>；</w:t>
      </w:r>
      <w:r>
        <w:rPr>
          <w:rFonts w:ascii="Times New Roman" w:hAnsi="Times New Roman" w:eastAsiaTheme="minorEastAsia"/>
          <w:kern w:val="0"/>
          <w:sz w:val="28"/>
          <w:szCs w:val="28"/>
        </w:rPr>
        <w:t>针对生产</w:t>
      </w:r>
      <w:r>
        <w:rPr>
          <w:rFonts w:hint="eastAsia" w:ascii="Times New Roman" w:hAnsi="Times New Roman" w:eastAsiaTheme="minorEastAsia"/>
          <w:kern w:val="0"/>
          <w:sz w:val="28"/>
          <w:szCs w:val="28"/>
        </w:rPr>
        <w:t>设备</w:t>
      </w:r>
      <w:r>
        <w:rPr>
          <w:rFonts w:ascii="Times New Roman" w:hAnsi="Times New Roman" w:eastAsiaTheme="minorEastAsia"/>
          <w:kern w:val="0"/>
          <w:sz w:val="28"/>
          <w:szCs w:val="28"/>
        </w:rPr>
        <w:t>噪声，主要通过对</w:t>
      </w:r>
      <w:r>
        <w:rPr>
          <w:rFonts w:hint="eastAsia" w:ascii="Times New Roman" w:hAnsi="Times New Roman" w:eastAsiaTheme="minorEastAsia"/>
          <w:kern w:val="0"/>
          <w:sz w:val="28"/>
          <w:szCs w:val="28"/>
        </w:rPr>
        <w:t>高噪声</w:t>
      </w:r>
      <w:r>
        <w:rPr>
          <w:rFonts w:ascii="Times New Roman" w:hAnsi="Times New Roman" w:eastAsiaTheme="minorEastAsia"/>
          <w:kern w:val="0"/>
          <w:sz w:val="28"/>
          <w:szCs w:val="28"/>
        </w:rPr>
        <w:t>设备采取隔声及减振等措施来降低噪声影响。</w:t>
      </w:r>
    </w:p>
    <w:p>
      <w:pPr>
        <w:pStyle w:val="27"/>
        <w:ind w:firstLine="560"/>
      </w:pPr>
      <w:r>
        <w:rPr>
          <w:rFonts w:hint="eastAsia"/>
        </w:rPr>
        <w:t>项目</w:t>
      </w:r>
      <w:r>
        <w:t>噪声源强及治理措施见表</w:t>
      </w:r>
      <w:r>
        <w:rPr>
          <w:rFonts w:hint="eastAsia"/>
        </w:rPr>
        <w:t>3</w:t>
      </w:r>
      <w:r>
        <w:t>.</w:t>
      </w:r>
      <w:r>
        <w:rPr>
          <w:rFonts w:hint="eastAsia"/>
        </w:rPr>
        <w:t>5</w:t>
      </w:r>
      <w:r>
        <w:t>-6。</w:t>
      </w:r>
    </w:p>
    <w:p>
      <w:pPr>
        <w:pStyle w:val="32"/>
        <w:ind w:left="851" w:firstLine="0" w:firstLineChars="0"/>
      </w:pPr>
      <w:r>
        <w:t>表</w:t>
      </w:r>
      <w:r>
        <w:rPr>
          <w:rFonts w:hint="eastAsia"/>
        </w:rPr>
        <w:t>3</w:t>
      </w:r>
      <w:r>
        <w:t>.</w:t>
      </w:r>
      <w:r>
        <w:rPr>
          <w:rFonts w:hint="eastAsia"/>
        </w:rPr>
        <w:t>5</w:t>
      </w:r>
      <w:r>
        <w:t>-6           主要噪声产污环节及措施一览表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87"/>
        <w:gridCol w:w="1648"/>
        <w:gridCol w:w="1277"/>
        <w:gridCol w:w="1418"/>
        <w:gridCol w:w="1420"/>
        <w:gridCol w:w="14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jc w:val="center"/>
              <w:rPr>
                <w:rFonts w:eastAsia="宋体"/>
                <w:b w:val="0"/>
                <w:snapToGrid w:val="0"/>
                <w:spacing w:val="0"/>
                <w:kern w:val="0"/>
                <w:sz w:val="21"/>
                <w:szCs w:val="21"/>
              </w:rPr>
            </w:pPr>
            <w:bookmarkStart w:id="86" w:name="_Hlk66377979"/>
            <w:r>
              <w:rPr>
                <w:rFonts w:eastAsia="宋体"/>
                <w:snapToGrid w:val="0"/>
                <w:spacing w:val="0"/>
                <w:kern w:val="0"/>
                <w:sz w:val="21"/>
                <w:szCs w:val="21"/>
              </w:rPr>
              <w:t>序号</w:t>
            </w:r>
          </w:p>
        </w:tc>
        <w:tc>
          <w:tcPr>
            <w:tcW w:w="647" w:type="pct"/>
            <w:vAlign w:val="center"/>
          </w:tcPr>
          <w:p>
            <w:pPr>
              <w:pStyle w:val="53"/>
              <w:snapToGrid w:val="0"/>
              <w:spacing w:line="240" w:lineRule="auto"/>
              <w:jc w:val="center"/>
              <w:rPr>
                <w:rFonts w:eastAsia="宋体"/>
                <w:b w:val="0"/>
                <w:spacing w:val="0"/>
                <w:kern w:val="0"/>
                <w:sz w:val="21"/>
                <w:szCs w:val="21"/>
              </w:rPr>
            </w:pPr>
            <w:r>
              <w:rPr>
                <w:rFonts w:eastAsia="宋体"/>
                <w:snapToGrid w:val="0"/>
                <w:spacing w:val="0"/>
                <w:kern w:val="0"/>
                <w:sz w:val="21"/>
                <w:szCs w:val="21"/>
              </w:rPr>
              <w:t>噪声设备</w:t>
            </w:r>
          </w:p>
        </w:tc>
        <w:tc>
          <w:tcPr>
            <w:tcW w:w="898"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区域</w:t>
            </w:r>
          </w:p>
        </w:tc>
        <w:tc>
          <w:tcPr>
            <w:tcW w:w="696"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数量</w:t>
            </w:r>
          </w:p>
        </w:tc>
        <w:tc>
          <w:tcPr>
            <w:tcW w:w="773" w:type="pct"/>
            <w:vAlign w:val="center"/>
          </w:tcPr>
          <w:p>
            <w:pPr>
              <w:pStyle w:val="53"/>
              <w:spacing w:line="240" w:lineRule="auto"/>
              <w:jc w:val="center"/>
              <w:rPr>
                <w:rFonts w:eastAsia="宋体"/>
                <w:snapToGrid w:val="0"/>
                <w:spacing w:val="0"/>
                <w:kern w:val="0"/>
                <w:sz w:val="21"/>
                <w:szCs w:val="21"/>
              </w:rPr>
            </w:pPr>
            <w:r>
              <w:rPr>
                <w:rFonts w:eastAsia="宋体"/>
                <w:snapToGrid w:val="0"/>
                <w:spacing w:val="0"/>
                <w:kern w:val="0"/>
                <w:sz w:val="21"/>
                <w:szCs w:val="21"/>
              </w:rPr>
              <w:t>源强/声压级</w:t>
            </w:r>
          </w:p>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dB（A）</w:t>
            </w:r>
          </w:p>
        </w:tc>
        <w:tc>
          <w:tcPr>
            <w:tcW w:w="774"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治理措施</w:t>
            </w:r>
          </w:p>
        </w:tc>
        <w:tc>
          <w:tcPr>
            <w:tcW w:w="767"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治理效果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1</w:t>
            </w:r>
          </w:p>
        </w:tc>
        <w:tc>
          <w:tcPr>
            <w:tcW w:w="647" w:type="pct"/>
            <w:vAlign w:val="center"/>
          </w:tcPr>
          <w:p>
            <w:pPr>
              <w:pStyle w:val="53"/>
              <w:snapToGrid w:val="0"/>
              <w:spacing w:line="240" w:lineRule="auto"/>
              <w:jc w:val="center"/>
              <w:rPr>
                <w:rFonts w:eastAsia="宋体"/>
                <w:b w:val="0"/>
                <w:spacing w:val="0"/>
                <w:kern w:val="0"/>
                <w:sz w:val="21"/>
                <w:szCs w:val="21"/>
              </w:rPr>
            </w:pPr>
            <w:r>
              <w:rPr>
                <w:rFonts w:eastAsia="宋体"/>
                <w:b w:val="0"/>
                <w:bCs/>
                <w:spacing w:val="0"/>
                <w:kern w:val="0"/>
                <w:sz w:val="21"/>
                <w:szCs w:val="21"/>
              </w:rPr>
              <w:t>压缩机</w:t>
            </w:r>
          </w:p>
        </w:tc>
        <w:tc>
          <w:tcPr>
            <w:tcW w:w="898"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1台</w:t>
            </w:r>
          </w:p>
        </w:tc>
        <w:tc>
          <w:tcPr>
            <w:tcW w:w="773"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90</w:t>
            </w:r>
          </w:p>
        </w:tc>
        <w:tc>
          <w:tcPr>
            <w:tcW w:w="774"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2</w:t>
            </w:r>
          </w:p>
        </w:tc>
        <w:tc>
          <w:tcPr>
            <w:tcW w:w="647" w:type="pct"/>
            <w:vMerge w:val="restar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泵类</w:t>
            </w:r>
          </w:p>
        </w:tc>
        <w:tc>
          <w:tcPr>
            <w:tcW w:w="898"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2</w:t>
            </w:r>
            <w:r>
              <w:rPr>
                <w:rFonts w:eastAsia="宋体"/>
                <w:b w:val="0"/>
                <w:bCs/>
                <w:snapToGrid w:val="0"/>
                <w:spacing w:val="0"/>
                <w:kern w:val="0"/>
                <w:sz w:val="21"/>
                <w:szCs w:val="21"/>
              </w:rPr>
              <w:t>台</w:t>
            </w:r>
          </w:p>
        </w:tc>
        <w:tc>
          <w:tcPr>
            <w:tcW w:w="773"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85</w:t>
            </w:r>
          </w:p>
        </w:tc>
        <w:tc>
          <w:tcPr>
            <w:tcW w:w="774"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647" w:type="pct"/>
            <w:vMerge w:val="continue"/>
            <w:vAlign w:val="center"/>
          </w:tcPr>
          <w:p>
            <w:pPr>
              <w:pStyle w:val="53"/>
              <w:snapToGrid w:val="0"/>
              <w:spacing w:line="240" w:lineRule="auto"/>
              <w:jc w:val="center"/>
              <w:rPr>
                <w:rFonts w:eastAsia="宋体"/>
                <w:b w:val="0"/>
                <w:bCs/>
                <w:spacing w:val="0"/>
                <w:kern w:val="0"/>
                <w:sz w:val="21"/>
                <w:szCs w:val="21"/>
              </w:rPr>
            </w:pPr>
          </w:p>
        </w:tc>
        <w:tc>
          <w:tcPr>
            <w:tcW w:w="898"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乙二醇精馏</w:t>
            </w:r>
          </w:p>
        </w:tc>
        <w:tc>
          <w:tcPr>
            <w:tcW w:w="696"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18</w:t>
            </w:r>
            <w:r>
              <w:rPr>
                <w:rFonts w:eastAsia="宋体"/>
                <w:b w:val="0"/>
                <w:bCs/>
                <w:snapToGrid w:val="0"/>
                <w:spacing w:val="0"/>
                <w:kern w:val="0"/>
                <w:sz w:val="21"/>
                <w:szCs w:val="21"/>
              </w:rPr>
              <w:t>台</w:t>
            </w:r>
          </w:p>
        </w:tc>
        <w:tc>
          <w:tcPr>
            <w:tcW w:w="773"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774"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767" w:type="pct"/>
            <w:vMerge w:val="continue"/>
            <w:vAlign w:val="center"/>
          </w:tcPr>
          <w:p>
            <w:pPr>
              <w:pStyle w:val="53"/>
              <w:snapToGrid w:val="0"/>
              <w:spacing w:line="240" w:lineRule="auto"/>
              <w:jc w:val="center"/>
              <w:rPr>
                <w:rFonts w:eastAsia="宋体"/>
                <w:b w:val="0"/>
                <w:snapToGrid w:val="0"/>
                <w:spacing w:val="0"/>
                <w:kern w:val="0"/>
                <w:sz w:val="21"/>
                <w:szCs w:val="21"/>
              </w:rPr>
            </w:pPr>
          </w:p>
        </w:tc>
      </w:tr>
      <w:bookmarkEnd w:id="86"/>
    </w:tbl>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.4  固体废弃物产排分析</w:t>
      </w:r>
    </w:p>
    <w:p>
      <w:pPr>
        <w:spacing w:line="54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项目运营过程中产生的固体废弃物主要为废催化剂</w:t>
      </w:r>
      <w:r>
        <w:rPr>
          <w:rFonts w:hint="eastAsia" w:ascii="Times New Roman" w:hAnsi="Times New Roman" w:eastAsiaTheme="minorEastAsia"/>
          <w:sz w:val="28"/>
          <w:szCs w:val="28"/>
        </w:rPr>
        <w:t>、废润滑油</w:t>
      </w:r>
      <w:r>
        <w:rPr>
          <w:rFonts w:ascii="Times New Roman" w:hAnsi="Times New Roman" w:eastAsiaTheme="minorEastAsia"/>
          <w:sz w:val="28"/>
          <w:szCs w:val="28"/>
        </w:rPr>
        <w:t>。</w:t>
      </w:r>
    </w:p>
    <w:p>
      <w:pPr>
        <w:pStyle w:val="27"/>
        <w:ind w:left="568" w:firstLine="0" w:firstLineChars="0"/>
        <w:rPr>
          <w:rFonts w:eastAsiaTheme="minorEastAsia"/>
          <w:kern w:val="0"/>
          <w:szCs w:val="28"/>
        </w:rPr>
      </w:pPr>
      <w:r>
        <w:rPr>
          <w:rFonts w:eastAsiaTheme="minorEastAsia"/>
          <w:kern w:val="0"/>
          <w:szCs w:val="28"/>
        </w:rPr>
        <w:t>（1）S</w:t>
      </w:r>
      <w:r>
        <w:rPr>
          <w:rFonts w:eastAsiaTheme="minorEastAsia"/>
          <w:kern w:val="0"/>
          <w:szCs w:val="28"/>
          <w:vertAlign w:val="subscript"/>
        </w:rPr>
        <w:t>1</w:t>
      </w:r>
      <w:r>
        <w:rPr>
          <w:rFonts w:hint="eastAsia" w:eastAsiaTheme="minorEastAsia"/>
          <w:kern w:val="0"/>
          <w:szCs w:val="28"/>
        </w:rPr>
        <w:t>合成废催化剂</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sz w:val="28"/>
          <w:szCs w:val="28"/>
          <w:highlight w:val="none"/>
        </w:rPr>
        <w:t>项目乙二醇合成采用</w:t>
      </w:r>
      <w:r>
        <w:rPr>
          <w:rFonts w:ascii="Times New Roman" w:hAnsi="Times New Roman"/>
          <w:kern w:val="0"/>
          <w:sz w:val="28"/>
          <w:szCs w:val="28"/>
          <w:highlight w:val="none"/>
        </w:rPr>
        <w:t>固相催化剂</w:t>
      </w:r>
      <w:r>
        <w:rPr>
          <w:rFonts w:hint="eastAsia" w:ascii="Times New Roman" w:hAnsi="Times New Roman"/>
          <w:kern w:val="0"/>
          <w:sz w:val="28"/>
          <w:szCs w:val="28"/>
          <w:highlight w:val="none"/>
        </w:rPr>
        <w:t>，</w:t>
      </w:r>
      <w:r>
        <w:rPr>
          <w:rFonts w:ascii="Times New Roman" w:hAnsi="Times New Roman"/>
          <w:sz w:val="28"/>
          <w:szCs w:val="28"/>
        </w:rPr>
        <w:t>这部分固废属于危险固废（</w:t>
      </w:r>
      <w:r>
        <w:rPr>
          <w:rFonts w:ascii="Times New Roman" w:hAnsi="Times New Roman"/>
          <w:kern w:val="0"/>
          <w:sz w:val="28"/>
          <w:szCs w:val="28"/>
        </w:rPr>
        <w:t>HW900-037-46</w:t>
      </w:r>
      <w:r>
        <w:rPr>
          <w:rFonts w:ascii="Times New Roman" w:hAnsi="Times New Roman"/>
          <w:sz w:val="28"/>
          <w:szCs w:val="28"/>
        </w:rPr>
        <w:t>），厂区集中收集后送有资质单位安全处置</w:t>
      </w:r>
      <w:r>
        <w:rPr>
          <w:rFonts w:ascii="Times New Roman" w:hAnsi="Times New Roman"/>
          <w:kern w:val="0"/>
          <w:sz w:val="28"/>
          <w:szCs w:val="28"/>
        </w:rPr>
        <w:t>。</w:t>
      </w:r>
    </w:p>
    <w:p>
      <w:pPr>
        <w:pStyle w:val="27"/>
        <w:ind w:left="568" w:firstLine="0" w:firstLineChars="0"/>
        <w:rPr>
          <w:rFonts w:eastAsiaTheme="minorEastAsia"/>
          <w:kern w:val="0"/>
          <w:szCs w:val="28"/>
        </w:rPr>
      </w:pPr>
      <w:r>
        <w:rPr>
          <w:rFonts w:eastAsiaTheme="minorEastAsia"/>
          <w:kern w:val="0"/>
          <w:szCs w:val="28"/>
        </w:rPr>
        <w:t>（2）S</w:t>
      </w:r>
      <w:r>
        <w:rPr>
          <w:rFonts w:eastAsiaTheme="minorEastAsia"/>
          <w:kern w:val="0"/>
          <w:szCs w:val="28"/>
          <w:vertAlign w:val="subscript"/>
        </w:rPr>
        <w:t>2</w:t>
      </w:r>
      <w:r>
        <w:rPr>
          <w:rFonts w:hint="eastAsia" w:eastAsiaTheme="minorEastAsia"/>
          <w:kern w:val="0"/>
          <w:szCs w:val="28"/>
        </w:rPr>
        <w:t>废活性炭</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sz w:val="28"/>
          <w:szCs w:val="28"/>
        </w:rPr>
        <w:t>项目真空泵尾气采用</w:t>
      </w:r>
      <w:r>
        <w:rPr>
          <w:rFonts w:ascii="Times New Roman" w:hAnsi="Times New Roman"/>
          <w:sz w:val="28"/>
          <w:szCs w:val="28"/>
        </w:rPr>
        <w:t>尾气洗涤塔</w:t>
      </w:r>
      <w:r>
        <w:rPr>
          <w:rFonts w:hint="eastAsia" w:ascii="Times New Roman" w:hAnsi="Times New Roman"/>
          <w:sz w:val="28"/>
          <w:szCs w:val="28"/>
        </w:rPr>
        <w:t>+活性炭吸附罐装置进行净化处理，届时会产生少量的废活性炭</w:t>
      </w:r>
      <w:r>
        <w:rPr>
          <w:rFonts w:hint="eastAsia" w:ascii="Times New Roman" w:hAnsi="Times New Roman"/>
          <w:kern w:val="0"/>
          <w:sz w:val="28"/>
          <w:szCs w:val="28"/>
        </w:rPr>
        <w:t>。</w:t>
      </w:r>
      <w:r>
        <w:rPr>
          <w:rFonts w:ascii="Times New Roman" w:hAnsi="Times New Roman"/>
          <w:kern w:val="0"/>
          <w:sz w:val="28"/>
          <w:szCs w:val="28"/>
        </w:rPr>
        <w:t>这部分固废属于危险固废（HW900-039-49），</w:t>
      </w:r>
      <w:r>
        <w:rPr>
          <w:rFonts w:ascii="Times New Roman" w:hAnsi="Times New Roman"/>
          <w:sz w:val="28"/>
          <w:szCs w:val="28"/>
        </w:rPr>
        <w:t>厂区集中收集后送有资质单位安全处置。</w:t>
      </w:r>
    </w:p>
    <w:p>
      <w:pPr>
        <w:pStyle w:val="27"/>
        <w:ind w:firstLine="560"/>
        <w:rPr>
          <w:kern w:val="0"/>
          <w:szCs w:val="28"/>
        </w:rPr>
      </w:pPr>
      <w:r>
        <w:rPr>
          <w:kern w:val="0"/>
          <w:szCs w:val="28"/>
        </w:rPr>
        <w:t>根据杨芬</w:t>
      </w:r>
      <w:r>
        <w:rPr>
          <w:rFonts w:hint="eastAsia"/>
          <w:kern w:val="0"/>
          <w:szCs w:val="28"/>
        </w:rPr>
        <w:t>、</w:t>
      </w:r>
      <w:r>
        <w:rPr>
          <w:kern w:val="0"/>
          <w:szCs w:val="28"/>
        </w:rPr>
        <w:t>刘品华《活性炭纤维在挥发性有机废气处理中应用》的试验结果表明，每公斤活性炭可吸附0.22-0.25kg的有机废气，本次环评取每公斤活性炭吸附量为0.25kg/kg，项目</w:t>
      </w:r>
      <w:r>
        <w:rPr>
          <w:rFonts w:hint="eastAsia"/>
          <w:kern w:val="0"/>
          <w:szCs w:val="28"/>
        </w:rPr>
        <w:t>吸附罐</w:t>
      </w:r>
      <w:r>
        <w:rPr>
          <w:kern w:val="0"/>
          <w:szCs w:val="28"/>
        </w:rPr>
        <w:t>有机废气的去除量</w:t>
      </w:r>
      <w:r>
        <w:rPr>
          <w:rFonts w:hint="eastAsia"/>
          <w:kern w:val="0"/>
          <w:szCs w:val="28"/>
        </w:rPr>
        <w:t>约</w:t>
      </w:r>
      <w:r>
        <w:rPr>
          <w:kern w:val="0"/>
          <w:szCs w:val="28"/>
        </w:rPr>
        <w:t>为0.02t/a，经</w:t>
      </w:r>
      <w:r>
        <w:rPr>
          <w:rFonts w:hint="eastAsia"/>
          <w:kern w:val="0"/>
          <w:szCs w:val="28"/>
        </w:rPr>
        <w:t>和核算约</w:t>
      </w:r>
      <w:r>
        <w:rPr>
          <w:kern w:val="0"/>
          <w:szCs w:val="28"/>
        </w:rPr>
        <w:t>需活性炭0.08t/a，则项目废活性炭产生量约为0.1t/a。项目活性炭每3个月更换一次，更换的废活性炭</w:t>
      </w:r>
      <w:r>
        <w:rPr>
          <w:szCs w:val="28"/>
        </w:rPr>
        <w:t>厂区集中收集后送有资质单位安全处置。</w:t>
      </w:r>
    </w:p>
    <w:p>
      <w:pPr>
        <w:pStyle w:val="27"/>
        <w:ind w:firstLine="560" w:firstLineChars="0"/>
        <w:rPr>
          <w:rFonts w:eastAsiaTheme="minorEastAsia"/>
          <w:kern w:val="0"/>
          <w:szCs w:val="28"/>
        </w:rPr>
      </w:pPr>
      <w:r>
        <w:rPr>
          <w:rFonts w:eastAsiaTheme="minorEastAsia"/>
          <w:szCs w:val="28"/>
        </w:rPr>
        <w:t>（3）</w:t>
      </w:r>
      <w:r>
        <w:rPr>
          <w:rFonts w:eastAsiaTheme="minorEastAsia"/>
          <w:kern w:val="0"/>
          <w:szCs w:val="28"/>
        </w:rPr>
        <w:t>S</w:t>
      </w:r>
      <w:r>
        <w:rPr>
          <w:rFonts w:eastAsiaTheme="minorEastAsia"/>
          <w:kern w:val="0"/>
          <w:szCs w:val="28"/>
          <w:vertAlign w:val="subscript"/>
        </w:rPr>
        <w:t>3</w:t>
      </w:r>
      <w:r>
        <w:rPr>
          <w:rFonts w:hint="eastAsia" w:eastAsiaTheme="minorEastAsia"/>
          <w:kern w:val="0"/>
          <w:szCs w:val="28"/>
        </w:rPr>
        <w:t>废润滑油</w:t>
      </w:r>
    </w:p>
    <w:p>
      <w:pPr>
        <w:pStyle w:val="27"/>
        <w:ind w:firstLine="560" w:firstLineChars="0"/>
        <w:rPr>
          <w:rFonts w:eastAsiaTheme="minorEastAsia"/>
          <w:kern w:val="0"/>
          <w:szCs w:val="28"/>
        </w:rPr>
      </w:pPr>
      <w:r>
        <w:rPr>
          <w:rFonts w:eastAsiaTheme="minorEastAsia"/>
          <w:snapToGrid w:val="0"/>
          <w:kern w:val="0"/>
          <w:szCs w:val="28"/>
        </w:rPr>
        <w:t>项目</w:t>
      </w:r>
      <w:r>
        <w:rPr>
          <w:rFonts w:hint="eastAsia"/>
          <w:szCs w:val="28"/>
        </w:rPr>
        <w:t>压缩机、风机等设备</w:t>
      </w:r>
      <w:r>
        <w:rPr>
          <w:rFonts w:eastAsiaTheme="minorEastAsia"/>
          <w:snapToGrid w:val="0"/>
          <w:kern w:val="0"/>
          <w:szCs w:val="28"/>
        </w:rPr>
        <w:t>运行过程中</w:t>
      </w:r>
      <w:r>
        <w:rPr>
          <w:rFonts w:hint="eastAsia" w:eastAsiaTheme="minorEastAsia"/>
          <w:snapToGrid w:val="0"/>
          <w:kern w:val="0"/>
          <w:szCs w:val="28"/>
        </w:rPr>
        <w:t>需使用</w:t>
      </w:r>
      <w:r>
        <w:rPr>
          <w:rFonts w:eastAsiaTheme="minorEastAsia"/>
          <w:snapToGrid w:val="0"/>
          <w:kern w:val="0"/>
          <w:szCs w:val="28"/>
        </w:rPr>
        <w:t>润滑油，</w:t>
      </w:r>
      <w:r>
        <w:rPr>
          <w:rFonts w:hint="eastAsia"/>
          <w:kern w:val="0"/>
          <w:szCs w:val="28"/>
        </w:rPr>
        <w:t>根据设计资料，项目装置区加油量约25L，半年更换一次，届时会产生一定量的废润滑油（</w:t>
      </w:r>
      <w:r>
        <w:rPr>
          <w:kern w:val="0"/>
          <w:szCs w:val="28"/>
        </w:rPr>
        <w:t>S</w:t>
      </w:r>
      <w:r>
        <w:rPr>
          <w:kern w:val="0"/>
          <w:szCs w:val="28"/>
          <w:vertAlign w:val="subscript"/>
        </w:rPr>
        <w:t>2</w:t>
      </w:r>
      <w:r>
        <w:rPr>
          <w:rFonts w:hint="eastAsia"/>
          <w:kern w:val="0"/>
          <w:szCs w:val="28"/>
        </w:rPr>
        <w:t>）</w:t>
      </w:r>
      <w:r>
        <w:rPr>
          <w:rFonts w:hint="eastAsia" w:eastAsiaTheme="minorEastAsia"/>
          <w:snapToGrid w:val="0"/>
          <w:kern w:val="0"/>
          <w:szCs w:val="28"/>
        </w:rPr>
        <w:t>；润滑油密度按9</w:t>
      </w:r>
      <w:r>
        <w:rPr>
          <w:rFonts w:eastAsiaTheme="minorEastAsia"/>
          <w:snapToGrid w:val="0"/>
          <w:kern w:val="0"/>
          <w:szCs w:val="28"/>
        </w:rPr>
        <w:t>20</w:t>
      </w:r>
      <w:r>
        <w:rPr>
          <w:rFonts w:hint="eastAsia" w:eastAsiaTheme="minorEastAsia"/>
          <w:snapToGrid w:val="0"/>
          <w:kern w:val="0"/>
          <w:szCs w:val="28"/>
        </w:rPr>
        <w:t>kg</w:t>
      </w:r>
      <w:r>
        <w:rPr>
          <w:rFonts w:eastAsiaTheme="minorEastAsia"/>
          <w:snapToGrid w:val="0"/>
          <w:kern w:val="0"/>
          <w:szCs w:val="28"/>
        </w:rPr>
        <w:t>/m</w:t>
      </w:r>
      <w:r>
        <w:rPr>
          <w:rFonts w:eastAsiaTheme="minorEastAsia"/>
          <w:snapToGrid w:val="0"/>
          <w:kern w:val="0"/>
          <w:szCs w:val="28"/>
          <w:vertAlign w:val="superscript"/>
        </w:rPr>
        <w:t>3</w:t>
      </w:r>
      <w:r>
        <w:rPr>
          <w:rFonts w:hint="eastAsia" w:eastAsiaTheme="minorEastAsia"/>
          <w:snapToGrid w:val="0"/>
          <w:kern w:val="0"/>
          <w:szCs w:val="28"/>
        </w:rPr>
        <w:t>折算，则项目废润滑油产生量约0</w:t>
      </w:r>
      <w:r>
        <w:rPr>
          <w:rFonts w:eastAsiaTheme="minorEastAsia"/>
          <w:snapToGrid w:val="0"/>
          <w:kern w:val="0"/>
          <w:szCs w:val="28"/>
        </w:rPr>
        <w:t>.05t/a</w:t>
      </w:r>
      <w:r>
        <w:rPr>
          <w:rFonts w:hint="eastAsia" w:eastAsiaTheme="minorEastAsia"/>
          <w:snapToGrid w:val="0"/>
          <w:kern w:val="0"/>
          <w:szCs w:val="28"/>
        </w:rPr>
        <w:t>；</w:t>
      </w:r>
      <w:r>
        <w:rPr>
          <w:rFonts w:eastAsiaTheme="minorEastAsia"/>
          <w:szCs w:val="28"/>
        </w:rPr>
        <w:t>这部分固废属于危险固废（HW900-217</w:t>
      </w:r>
      <w:r>
        <w:rPr>
          <w:rFonts w:hint="eastAsia" w:eastAsiaTheme="minorEastAsia"/>
          <w:szCs w:val="28"/>
        </w:rPr>
        <w:t>-</w:t>
      </w:r>
      <w:r>
        <w:rPr>
          <w:rFonts w:eastAsiaTheme="minorEastAsia"/>
          <w:szCs w:val="28"/>
        </w:rPr>
        <w:t>08），厂区集中收集后送有资质单位安全处置</w:t>
      </w:r>
      <w:r>
        <w:rPr>
          <w:rFonts w:eastAsiaTheme="minorEastAsia"/>
          <w:kern w:val="0"/>
          <w:szCs w:val="28"/>
        </w:rPr>
        <w:t>。</w:t>
      </w:r>
    </w:p>
    <w:p>
      <w:pPr>
        <w:spacing w:line="490" w:lineRule="exact"/>
        <w:ind w:firstLine="560" w:firstLineChars="200"/>
        <w:rPr>
          <w:rFonts w:ascii="Times New Roman" w:hAnsi="Times New Roman"/>
          <w:sz w:val="28"/>
          <w:szCs w:val="28"/>
        </w:rPr>
      </w:pPr>
      <w:r>
        <w:rPr>
          <w:rFonts w:hint="eastAsia" w:ascii="Times New Roman" w:hAnsi="Times New Roman"/>
          <w:sz w:val="28"/>
          <w:szCs w:val="28"/>
        </w:rPr>
        <w:t>项目</w:t>
      </w:r>
      <w:r>
        <w:rPr>
          <w:rFonts w:ascii="Times New Roman" w:hAnsi="Times New Roman"/>
          <w:sz w:val="28"/>
          <w:szCs w:val="28"/>
        </w:rPr>
        <w:t>所有生产过程产生的工业固体废物将全部妥善处置或综合利用，无工业固体废物排放，固体废物及综合利用情况见表</w:t>
      </w:r>
      <w:r>
        <w:rPr>
          <w:rFonts w:hint="eastAsia" w:ascii="Times New Roman" w:hAnsi="Times New Roman"/>
          <w:sz w:val="28"/>
          <w:szCs w:val="28"/>
        </w:rPr>
        <w:t>3</w:t>
      </w:r>
      <w:r>
        <w:rPr>
          <w:rFonts w:ascii="Times New Roman" w:hAnsi="Times New Roman"/>
          <w:sz w:val="28"/>
          <w:szCs w:val="28"/>
        </w:rPr>
        <w:t>.</w:t>
      </w:r>
      <w:r>
        <w:rPr>
          <w:rFonts w:hint="eastAsia" w:ascii="Times New Roman" w:hAnsi="Times New Roman"/>
          <w:sz w:val="28"/>
          <w:szCs w:val="28"/>
        </w:rPr>
        <w:t>5</w:t>
      </w:r>
      <w:r>
        <w:rPr>
          <w:rFonts w:ascii="Times New Roman" w:hAnsi="Times New Roman"/>
          <w:sz w:val="28"/>
          <w:szCs w:val="28"/>
        </w:rPr>
        <w:t>-7。</w:t>
      </w:r>
    </w:p>
    <w:p>
      <w:pPr>
        <w:pStyle w:val="32"/>
        <w:ind w:left="851" w:firstLine="0" w:firstLineChars="0"/>
      </w:pPr>
      <w:r>
        <w:t>表</w:t>
      </w:r>
      <w:r>
        <w:rPr>
          <w:rFonts w:hint="eastAsia"/>
        </w:rPr>
        <w:t>3</w:t>
      </w:r>
      <w:r>
        <w:t>.</w:t>
      </w:r>
      <w:r>
        <w:rPr>
          <w:rFonts w:hint="eastAsia"/>
        </w:rPr>
        <w:t>5</w:t>
      </w:r>
      <w:r>
        <w:t>-7           固体废物污染因素及环保治理措施</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73"/>
        <w:gridCol w:w="666"/>
        <w:gridCol w:w="846"/>
        <w:gridCol w:w="1196"/>
        <w:gridCol w:w="739"/>
        <w:gridCol w:w="1161"/>
        <w:gridCol w:w="703"/>
        <w:gridCol w:w="683"/>
        <w:gridCol w:w="683"/>
        <w:gridCol w:w="741"/>
        <w:gridCol w:w="555"/>
        <w:gridCol w:w="728"/>
      </w:tblGrid>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4" w:hRule="atLeast"/>
        </w:trPr>
        <w:tc>
          <w:tcPr>
            <w:tcW w:w="258" w:type="pct"/>
            <w:shd w:val="clear" w:color="auto" w:fill="auto"/>
            <w:vAlign w:val="center"/>
          </w:tcPr>
          <w:p>
            <w:pPr>
              <w:widowControl/>
              <w:jc w:val="center"/>
              <w:rPr>
                <w:rFonts w:ascii="Times New Roman" w:hAnsi="Times New Roman" w:eastAsiaTheme="minorEastAsia"/>
                <w:b/>
                <w:bCs/>
                <w:kern w:val="0"/>
                <w:szCs w:val="21"/>
              </w:rPr>
            </w:pPr>
            <w:bookmarkStart w:id="87" w:name="_Hlk67068085"/>
            <w:r>
              <w:rPr>
                <w:rFonts w:ascii="Times New Roman" w:hAnsi="Times New Roman" w:eastAsiaTheme="minorEastAsia"/>
                <w:b/>
                <w:bCs/>
                <w:kern w:val="0"/>
                <w:szCs w:val="21"/>
              </w:rPr>
              <w:t>序号</w:t>
            </w:r>
          </w:p>
        </w:tc>
        <w:tc>
          <w:tcPr>
            <w:tcW w:w="363" w:type="pct"/>
            <w:vAlign w:val="center"/>
          </w:tcPr>
          <w:p>
            <w:pPr>
              <w:widowControl/>
              <w:jc w:val="center"/>
              <w:rPr>
                <w:rFonts w:ascii="Times New Roman" w:hAnsi="Times New Roman" w:eastAsiaTheme="minorEastAsia"/>
                <w:b/>
                <w:bCs/>
                <w:kern w:val="0"/>
                <w:szCs w:val="21"/>
              </w:rPr>
            </w:pPr>
            <w:r>
              <w:rPr>
                <w:rFonts w:hint="eastAsia" w:ascii="Times New Roman" w:hAnsi="Times New Roman" w:eastAsiaTheme="minorEastAsia"/>
                <w:b/>
                <w:bCs/>
                <w:kern w:val="0"/>
                <w:szCs w:val="21"/>
              </w:rPr>
              <w:t>固废</w:t>
            </w:r>
          </w:p>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名称</w:t>
            </w:r>
          </w:p>
        </w:tc>
        <w:tc>
          <w:tcPr>
            <w:tcW w:w="461" w:type="pct"/>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固废类别</w:t>
            </w:r>
          </w:p>
        </w:tc>
        <w:tc>
          <w:tcPr>
            <w:tcW w:w="652" w:type="pct"/>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危险废物</w:t>
            </w:r>
          </w:p>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代码</w:t>
            </w:r>
          </w:p>
        </w:tc>
        <w:tc>
          <w:tcPr>
            <w:tcW w:w="403" w:type="pct"/>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产生量 t/a</w:t>
            </w:r>
          </w:p>
        </w:tc>
        <w:tc>
          <w:tcPr>
            <w:tcW w:w="633" w:type="pc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产生工序及装置</w:t>
            </w:r>
          </w:p>
        </w:tc>
        <w:tc>
          <w:tcPr>
            <w:tcW w:w="383" w:type="pc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形态</w:t>
            </w:r>
          </w:p>
        </w:tc>
        <w:tc>
          <w:tcPr>
            <w:tcW w:w="372" w:type="pct"/>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主要成分</w:t>
            </w:r>
          </w:p>
        </w:tc>
        <w:tc>
          <w:tcPr>
            <w:tcW w:w="372" w:type="pc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有害成分</w:t>
            </w:r>
          </w:p>
        </w:tc>
        <w:tc>
          <w:tcPr>
            <w:tcW w:w="404" w:type="pct"/>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产废周期</w:t>
            </w:r>
          </w:p>
        </w:tc>
        <w:tc>
          <w:tcPr>
            <w:tcW w:w="302" w:type="pc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危险特性</w:t>
            </w:r>
          </w:p>
        </w:tc>
        <w:tc>
          <w:tcPr>
            <w:tcW w:w="396" w:type="pct"/>
            <w:shd w:val="clear" w:color="auto" w:fill="auto"/>
            <w:vAlign w:val="center"/>
          </w:tcPr>
          <w:p>
            <w:pPr>
              <w:widowControl/>
              <w:jc w:val="center"/>
              <w:rPr>
                <w:rFonts w:ascii="Times New Roman" w:hAnsi="Times New Roman" w:eastAsiaTheme="minorEastAsia"/>
                <w:b/>
                <w:bCs/>
                <w:kern w:val="0"/>
                <w:szCs w:val="21"/>
              </w:rPr>
            </w:pPr>
            <w:r>
              <w:rPr>
                <w:rFonts w:ascii="Times New Roman" w:hAnsi="Times New Roman" w:eastAsiaTheme="minorEastAsia"/>
                <w:b/>
                <w:bCs/>
                <w:kern w:val="0"/>
                <w:szCs w:val="21"/>
              </w:rPr>
              <w:t>污染治理措施</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4" w:hRule="atLeast"/>
        </w:trPr>
        <w:tc>
          <w:tcPr>
            <w:tcW w:w="258" w:type="pct"/>
            <w:shd w:val="clear" w:color="auto" w:fill="auto"/>
            <w:vAlign w:val="center"/>
          </w:tcPr>
          <w:p>
            <w:pPr>
              <w:widowControl/>
              <w:jc w:val="center"/>
              <w:rPr>
                <w:rFonts w:ascii="Times New Roman" w:hAnsi="Times New Roman"/>
                <w:b/>
                <w:bCs/>
                <w:kern w:val="0"/>
                <w:szCs w:val="21"/>
              </w:rPr>
            </w:pPr>
            <w:r>
              <w:rPr>
                <w:rFonts w:ascii="Times New Roman" w:hAnsi="Times New Roman"/>
                <w:kern w:val="0"/>
                <w:szCs w:val="21"/>
              </w:rPr>
              <w:t>S</w:t>
            </w:r>
            <w:r>
              <w:rPr>
                <w:rFonts w:ascii="Times New Roman" w:hAnsi="Times New Roman"/>
                <w:kern w:val="0"/>
                <w:szCs w:val="21"/>
                <w:vertAlign w:val="subscript"/>
              </w:rPr>
              <w:t>1</w:t>
            </w:r>
          </w:p>
        </w:tc>
        <w:tc>
          <w:tcPr>
            <w:tcW w:w="363" w:type="pct"/>
            <w:vAlign w:val="center"/>
          </w:tcPr>
          <w:p>
            <w:pPr>
              <w:widowControl/>
              <w:jc w:val="center"/>
              <w:rPr>
                <w:rFonts w:ascii="Times New Roman" w:hAnsi="Times New Roman"/>
                <w:kern w:val="0"/>
                <w:szCs w:val="21"/>
              </w:rPr>
            </w:pPr>
            <w:r>
              <w:rPr>
                <w:rFonts w:ascii="Times New Roman" w:hAnsi="Times New Roman"/>
                <w:kern w:val="0"/>
                <w:szCs w:val="21"/>
              </w:rPr>
              <w:t>废催化剂</w:t>
            </w:r>
          </w:p>
        </w:tc>
        <w:tc>
          <w:tcPr>
            <w:tcW w:w="461" w:type="pct"/>
            <w:vAlign w:val="center"/>
          </w:tcPr>
          <w:p>
            <w:pPr>
              <w:widowControl/>
              <w:jc w:val="center"/>
              <w:rPr>
                <w:rFonts w:ascii="Times New Roman" w:hAnsi="Times New Roman"/>
                <w:kern w:val="0"/>
                <w:szCs w:val="21"/>
              </w:rPr>
            </w:pPr>
            <w:r>
              <w:rPr>
                <w:rFonts w:ascii="Times New Roman" w:hAnsi="Times New Roman"/>
                <w:kern w:val="0"/>
                <w:szCs w:val="21"/>
              </w:rPr>
              <w:t>HW46</w:t>
            </w:r>
          </w:p>
          <w:p>
            <w:pPr>
              <w:widowControl/>
              <w:jc w:val="center"/>
              <w:rPr>
                <w:rFonts w:ascii="Times New Roman" w:hAnsi="Times New Roman"/>
                <w:kern w:val="0"/>
                <w:szCs w:val="21"/>
              </w:rPr>
            </w:pPr>
            <w:r>
              <w:rPr>
                <w:rFonts w:ascii="Times New Roman" w:hAnsi="Times New Roman"/>
                <w:kern w:val="0"/>
                <w:szCs w:val="21"/>
              </w:rPr>
              <w:t>含镍废物</w:t>
            </w:r>
          </w:p>
        </w:tc>
        <w:tc>
          <w:tcPr>
            <w:tcW w:w="652" w:type="pct"/>
            <w:vAlign w:val="center"/>
          </w:tcPr>
          <w:p>
            <w:pPr>
              <w:widowControl/>
              <w:jc w:val="center"/>
              <w:rPr>
                <w:rFonts w:ascii="Times New Roman" w:hAnsi="Times New Roman"/>
                <w:kern w:val="0"/>
                <w:szCs w:val="21"/>
              </w:rPr>
            </w:pPr>
            <w:r>
              <w:rPr>
                <w:rFonts w:ascii="Times New Roman" w:hAnsi="Times New Roman"/>
                <w:kern w:val="0"/>
                <w:szCs w:val="21"/>
              </w:rPr>
              <w:t>HW</w:t>
            </w:r>
          </w:p>
          <w:p>
            <w:pPr>
              <w:widowControl/>
              <w:jc w:val="center"/>
              <w:rPr>
                <w:rFonts w:ascii="Times New Roman" w:hAnsi="Times New Roman"/>
                <w:kern w:val="0"/>
                <w:szCs w:val="21"/>
              </w:rPr>
            </w:pPr>
            <w:r>
              <w:rPr>
                <w:rFonts w:ascii="Times New Roman" w:hAnsi="Times New Roman"/>
                <w:kern w:val="0"/>
                <w:szCs w:val="21"/>
              </w:rPr>
              <w:t>900-037-46</w:t>
            </w:r>
          </w:p>
        </w:tc>
        <w:tc>
          <w:tcPr>
            <w:tcW w:w="403" w:type="pct"/>
            <w:vAlign w:val="center"/>
          </w:tcPr>
          <w:p>
            <w:pPr>
              <w:jc w:val="center"/>
              <w:rPr>
                <w:rFonts w:ascii="Times New Roman" w:hAnsi="Times New Roman"/>
                <w:szCs w:val="21"/>
              </w:rPr>
            </w:pPr>
            <w:r>
              <w:rPr>
                <w:rFonts w:ascii="Times New Roman" w:hAnsi="Times New Roman"/>
                <w:szCs w:val="21"/>
              </w:rPr>
              <w:t>2</w:t>
            </w:r>
          </w:p>
        </w:tc>
        <w:tc>
          <w:tcPr>
            <w:tcW w:w="633"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合成反应釜</w:t>
            </w:r>
          </w:p>
        </w:tc>
        <w:tc>
          <w:tcPr>
            <w:tcW w:w="383"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固态</w:t>
            </w:r>
          </w:p>
        </w:tc>
        <w:tc>
          <w:tcPr>
            <w:tcW w:w="372" w:type="pct"/>
            <w:vAlign w:val="center"/>
          </w:tcPr>
          <w:p>
            <w:pPr>
              <w:widowControl/>
              <w:jc w:val="center"/>
              <w:rPr>
                <w:rFonts w:ascii="Times New Roman" w:hAnsi="Times New Roman"/>
                <w:kern w:val="0"/>
                <w:szCs w:val="21"/>
              </w:rPr>
            </w:pPr>
            <w:r>
              <w:rPr>
                <w:rFonts w:ascii="Times New Roman" w:hAnsi="Times New Roman"/>
                <w:kern w:val="0"/>
                <w:szCs w:val="21"/>
              </w:rPr>
              <w:t>镍</w:t>
            </w:r>
          </w:p>
        </w:tc>
        <w:tc>
          <w:tcPr>
            <w:tcW w:w="372"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镍</w:t>
            </w:r>
          </w:p>
        </w:tc>
        <w:tc>
          <w:tcPr>
            <w:tcW w:w="404" w:type="pct"/>
            <w:vAlign w:val="center"/>
          </w:tcPr>
          <w:p>
            <w:pPr>
              <w:widowControl/>
              <w:jc w:val="center"/>
              <w:rPr>
                <w:rFonts w:ascii="Times New Roman" w:hAnsi="Times New Roman"/>
                <w:kern w:val="0"/>
                <w:szCs w:val="21"/>
              </w:rPr>
            </w:pPr>
            <w:r>
              <w:rPr>
                <w:rFonts w:ascii="Times New Roman" w:hAnsi="Times New Roman"/>
                <w:kern w:val="0"/>
                <w:szCs w:val="21"/>
              </w:rPr>
              <w:t>1a</w:t>
            </w:r>
          </w:p>
        </w:tc>
        <w:tc>
          <w:tcPr>
            <w:tcW w:w="302" w:type="pct"/>
            <w:shd w:val="clear" w:color="auto" w:fill="auto"/>
            <w:vAlign w:val="center"/>
          </w:tcPr>
          <w:p>
            <w:pPr>
              <w:widowControl/>
              <w:jc w:val="center"/>
              <w:rPr>
                <w:rFonts w:ascii="Times New Roman" w:hAnsi="Times New Roman"/>
                <w:kern w:val="0"/>
                <w:szCs w:val="21"/>
              </w:rPr>
            </w:pPr>
            <w:r>
              <w:rPr>
                <w:rFonts w:ascii="Times New Roman" w:hAnsi="Times New Roman"/>
                <w:szCs w:val="21"/>
              </w:rPr>
              <w:t>T，</w:t>
            </w:r>
            <w:r>
              <w:rPr>
                <w:rFonts w:ascii="Times New Roman" w:hAnsi="Times New Roman"/>
                <w:kern w:val="0"/>
                <w:szCs w:val="21"/>
              </w:rPr>
              <w:t>I</w:t>
            </w:r>
          </w:p>
        </w:tc>
        <w:tc>
          <w:tcPr>
            <w:tcW w:w="396"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4" w:hRule="atLeast"/>
        </w:trPr>
        <w:tc>
          <w:tcPr>
            <w:tcW w:w="258"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S</w:t>
            </w:r>
            <w:r>
              <w:rPr>
                <w:rFonts w:ascii="Times New Roman" w:hAnsi="Times New Roman"/>
                <w:kern w:val="0"/>
                <w:szCs w:val="21"/>
                <w:vertAlign w:val="subscript"/>
              </w:rPr>
              <w:t>2</w:t>
            </w:r>
          </w:p>
        </w:tc>
        <w:tc>
          <w:tcPr>
            <w:tcW w:w="363" w:type="pct"/>
            <w:vAlign w:val="center"/>
          </w:tcPr>
          <w:p>
            <w:pPr>
              <w:widowControl/>
              <w:jc w:val="center"/>
              <w:rPr>
                <w:rFonts w:ascii="Times New Roman" w:hAnsi="Times New Roman"/>
                <w:kern w:val="0"/>
                <w:szCs w:val="21"/>
              </w:rPr>
            </w:pPr>
            <w:r>
              <w:rPr>
                <w:rFonts w:hint="eastAsia" w:ascii="Times New Roman" w:hAnsi="Times New Roman"/>
                <w:kern w:val="0"/>
                <w:szCs w:val="21"/>
              </w:rPr>
              <w:t>废活性炭</w:t>
            </w:r>
          </w:p>
        </w:tc>
        <w:tc>
          <w:tcPr>
            <w:tcW w:w="461" w:type="pct"/>
            <w:vAlign w:val="center"/>
          </w:tcPr>
          <w:p>
            <w:pPr>
              <w:autoSpaceDE w:val="0"/>
              <w:autoSpaceDN w:val="0"/>
              <w:adjustRightInd w:val="0"/>
              <w:jc w:val="center"/>
              <w:rPr>
                <w:rFonts w:ascii="Times New Roman" w:hAnsi="Times New Roman"/>
                <w:kern w:val="0"/>
                <w:szCs w:val="21"/>
              </w:rPr>
            </w:pPr>
            <w:r>
              <w:rPr>
                <w:rFonts w:ascii="Times New Roman" w:hAnsi="Times New Roman"/>
                <w:kern w:val="0"/>
                <w:szCs w:val="21"/>
              </w:rPr>
              <w:t>HW49</w:t>
            </w:r>
          </w:p>
          <w:p>
            <w:pPr>
              <w:widowControl/>
              <w:jc w:val="center"/>
              <w:rPr>
                <w:rFonts w:ascii="Times New Roman" w:hAnsi="Times New Roman"/>
                <w:kern w:val="0"/>
                <w:szCs w:val="21"/>
              </w:rPr>
            </w:pPr>
            <w:r>
              <w:rPr>
                <w:rFonts w:ascii="Times New Roman" w:hAnsi="Times New Roman"/>
                <w:kern w:val="0"/>
                <w:szCs w:val="21"/>
              </w:rPr>
              <w:t>其他废物</w:t>
            </w:r>
          </w:p>
        </w:tc>
        <w:tc>
          <w:tcPr>
            <w:tcW w:w="652" w:type="pct"/>
            <w:vAlign w:val="center"/>
          </w:tcPr>
          <w:p>
            <w:pPr>
              <w:widowControl/>
              <w:jc w:val="center"/>
              <w:rPr>
                <w:rFonts w:ascii="Times New Roman" w:hAnsi="Times New Roman"/>
                <w:kern w:val="0"/>
                <w:szCs w:val="21"/>
              </w:rPr>
            </w:pPr>
            <w:r>
              <w:rPr>
                <w:rFonts w:ascii="Times New Roman" w:hAnsi="Times New Roman"/>
                <w:kern w:val="0"/>
                <w:szCs w:val="21"/>
              </w:rPr>
              <w:t>HW</w:t>
            </w:r>
          </w:p>
          <w:p>
            <w:pPr>
              <w:widowControl/>
              <w:jc w:val="center"/>
              <w:rPr>
                <w:rFonts w:ascii="Times New Roman" w:hAnsi="Times New Roman"/>
                <w:kern w:val="0"/>
                <w:szCs w:val="21"/>
              </w:rPr>
            </w:pPr>
            <w:r>
              <w:rPr>
                <w:rFonts w:ascii="Times New Roman" w:hAnsi="Times New Roman"/>
                <w:kern w:val="0"/>
                <w:szCs w:val="21"/>
              </w:rPr>
              <w:t>900-039-49</w:t>
            </w:r>
          </w:p>
        </w:tc>
        <w:tc>
          <w:tcPr>
            <w:tcW w:w="403" w:type="pct"/>
            <w:vAlign w:val="center"/>
          </w:tcPr>
          <w:p>
            <w:pPr>
              <w:jc w:val="center"/>
              <w:rPr>
                <w:rFonts w:ascii="Times New Roman" w:hAnsi="Times New Roman"/>
                <w:szCs w:val="21"/>
              </w:rPr>
            </w:pPr>
            <w:r>
              <w:rPr>
                <w:rFonts w:ascii="Times New Roman" w:hAnsi="Times New Roman"/>
                <w:szCs w:val="21"/>
              </w:rPr>
              <w:t>0.</w:t>
            </w:r>
            <w:r>
              <w:rPr>
                <w:rFonts w:hint="eastAsia" w:ascii="Times New Roman" w:hAnsi="Times New Roman"/>
                <w:szCs w:val="21"/>
              </w:rPr>
              <w:t>1</w:t>
            </w:r>
          </w:p>
        </w:tc>
        <w:tc>
          <w:tcPr>
            <w:tcW w:w="633" w:type="pct"/>
            <w:shd w:val="clear" w:color="auto" w:fill="auto"/>
            <w:vAlign w:val="center"/>
          </w:tcPr>
          <w:p>
            <w:pPr>
              <w:widowControl/>
              <w:jc w:val="center"/>
              <w:rPr>
                <w:rFonts w:ascii="Times New Roman" w:hAnsi="Times New Roman"/>
                <w:kern w:val="0"/>
                <w:szCs w:val="21"/>
              </w:rPr>
            </w:pPr>
            <w:r>
              <w:rPr>
                <w:rFonts w:hint="eastAsia" w:ascii="Times New Roman" w:hAnsi="Times New Roman"/>
                <w:kern w:val="0"/>
                <w:szCs w:val="21"/>
              </w:rPr>
              <w:t>活性炭吸附罐</w:t>
            </w:r>
          </w:p>
        </w:tc>
        <w:tc>
          <w:tcPr>
            <w:tcW w:w="383"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固态</w:t>
            </w:r>
          </w:p>
        </w:tc>
        <w:tc>
          <w:tcPr>
            <w:tcW w:w="372" w:type="pct"/>
            <w:vAlign w:val="center"/>
          </w:tcPr>
          <w:p>
            <w:pPr>
              <w:widowControl/>
              <w:jc w:val="center"/>
              <w:rPr>
                <w:rFonts w:ascii="Times New Roman" w:hAnsi="Times New Roman"/>
                <w:kern w:val="0"/>
                <w:szCs w:val="21"/>
              </w:rPr>
            </w:pPr>
            <w:r>
              <w:rPr>
                <w:rFonts w:hint="eastAsia" w:ascii="Times New Roman" w:hAnsi="Times New Roman"/>
                <w:kern w:val="0"/>
                <w:szCs w:val="21"/>
              </w:rPr>
              <w:t>吸附剂</w:t>
            </w:r>
          </w:p>
        </w:tc>
        <w:tc>
          <w:tcPr>
            <w:tcW w:w="372" w:type="pct"/>
            <w:shd w:val="clear" w:color="auto" w:fill="auto"/>
            <w:vAlign w:val="center"/>
          </w:tcPr>
          <w:p>
            <w:pPr>
              <w:widowControl/>
              <w:jc w:val="center"/>
              <w:rPr>
                <w:rFonts w:ascii="Times New Roman" w:hAnsi="Times New Roman"/>
                <w:kern w:val="0"/>
                <w:szCs w:val="21"/>
              </w:rPr>
            </w:pPr>
            <w:r>
              <w:rPr>
                <w:rFonts w:hint="eastAsia" w:ascii="Times New Roman" w:hAnsi="Times New Roman"/>
                <w:kern w:val="0"/>
                <w:szCs w:val="21"/>
              </w:rPr>
              <w:t>有机物质</w:t>
            </w:r>
          </w:p>
        </w:tc>
        <w:tc>
          <w:tcPr>
            <w:tcW w:w="404" w:type="pct"/>
            <w:vAlign w:val="center"/>
          </w:tcPr>
          <w:p>
            <w:pPr>
              <w:widowControl/>
              <w:jc w:val="center"/>
              <w:rPr>
                <w:rFonts w:ascii="Times New Roman" w:hAnsi="Times New Roman"/>
                <w:kern w:val="0"/>
                <w:szCs w:val="21"/>
              </w:rPr>
            </w:pPr>
            <w:r>
              <w:rPr>
                <w:rFonts w:hint="eastAsia" w:ascii="Times New Roman" w:hAnsi="Times New Roman"/>
                <w:kern w:val="0"/>
                <w:szCs w:val="21"/>
              </w:rPr>
              <w:t>0</w:t>
            </w:r>
            <w:r>
              <w:rPr>
                <w:rFonts w:ascii="Times New Roman" w:hAnsi="Times New Roman"/>
                <w:kern w:val="0"/>
                <w:szCs w:val="21"/>
              </w:rPr>
              <w:t>.25</w:t>
            </w:r>
            <w:r>
              <w:rPr>
                <w:rFonts w:hint="eastAsia" w:ascii="Times New Roman" w:hAnsi="Times New Roman"/>
                <w:kern w:val="0"/>
                <w:szCs w:val="21"/>
              </w:rPr>
              <w:t>a</w:t>
            </w:r>
          </w:p>
        </w:tc>
        <w:tc>
          <w:tcPr>
            <w:tcW w:w="302" w:type="pct"/>
            <w:shd w:val="clear" w:color="auto" w:fill="auto"/>
            <w:vAlign w:val="center"/>
          </w:tcPr>
          <w:p>
            <w:pPr>
              <w:widowControl/>
              <w:jc w:val="center"/>
              <w:rPr>
                <w:rFonts w:ascii="Times New Roman" w:hAnsi="Times New Roman"/>
                <w:szCs w:val="21"/>
              </w:rPr>
            </w:pPr>
            <w:r>
              <w:rPr>
                <w:rFonts w:ascii="Times New Roman" w:hAnsi="Times New Roman"/>
                <w:szCs w:val="21"/>
              </w:rPr>
              <w:t>T</w:t>
            </w:r>
          </w:p>
        </w:tc>
        <w:tc>
          <w:tcPr>
            <w:tcW w:w="396" w:type="pct"/>
            <w:shd w:val="clear" w:color="auto" w:fill="auto"/>
            <w:vAlign w:val="center"/>
          </w:tcPr>
          <w:p>
            <w:pPr>
              <w:widowControl/>
              <w:jc w:val="center"/>
              <w:rPr>
                <w:rFonts w:ascii="Times New Roman" w:hAnsi="Times New Roman"/>
                <w:kern w:val="0"/>
                <w:szCs w:val="21"/>
              </w:rPr>
            </w:pPr>
            <w:r>
              <w:rPr>
                <w:rFonts w:ascii="Times New Roman" w:hAnsi="Times New Roman"/>
                <w:kern w:val="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4" w:hRule="atLeast"/>
        </w:trPr>
        <w:tc>
          <w:tcPr>
            <w:tcW w:w="258" w:type="pct"/>
            <w:shd w:val="clear" w:color="auto" w:fill="auto"/>
            <w:vAlign w:val="center"/>
          </w:tcPr>
          <w:p>
            <w:pPr>
              <w:widowControl/>
              <w:jc w:val="center"/>
              <w:rPr>
                <w:rFonts w:ascii="Times New Roman" w:hAnsi="Times New Roman" w:eastAsiaTheme="minorEastAsia"/>
                <w:kern w:val="0"/>
                <w:szCs w:val="21"/>
              </w:rPr>
            </w:pPr>
            <w:r>
              <w:rPr>
                <w:rFonts w:ascii="Times New Roman" w:hAnsi="Times New Roman" w:eastAsiaTheme="minorEastAsia"/>
                <w:kern w:val="0"/>
                <w:szCs w:val="21"/>
              </w:rPr>
              <w:t>S</w:t>
            </w:r>
            <w:r>
              <w:rPr>
                <w:rFonts w:ascii="Times New Roman" w:hAnsi="Times New Roman" w:eastAsiaTheme="minorEastAsia"/>
                <w:kern w:val="0"/>
                <w:szCs w:val="21"/>
                <w:vertAlign w:val="subscript"/>
              </w:rPr>
              <w:t>3</w:t>
            </w:r>
          </w:p>
        </w:tc>
        <w:tc>
          <w:tcPr>
            <w:tcW w:w="363" w:type="pct"/>
            <w:vAlign w:val="center"/>
          </w:tcPr>
          <w:p>
            <w:pPr>
              <w:widowControl/>
              <w:jc w:val="center"/>
              <w:rPr>
                <w:rFonts w:ascii="Times New Roman" w:hAnsi="Times New Roman" w:eastAsiaTheme="minorEastAsia"/>
                <w:bCs/>
                <w:kern w:val="0"/>
                <w:szCs w:val="21"/>
              </w:rPr>
            </w:pPr>
            <w:r>
              <w:rPr>
                <w:rFonts w:hint="eastAsia" w:ascii="Times New Roman" w:hAnsi="Times New Roman" w:eastAsiaTheme="minorEastAsia"/>
                <w:bCs/>
                <w:kern w:val="0"/>
                <w:szCs w:val="21"/>
              </w:rPr>
              <w:t>废润滑油</w:t>
            </w:r>
          </w:p>
        </w:tc>
        <w:tc>
          <w:tcPr>
            <w:tcW w:w="461" w:type="pct"/>
            <w:vAlign w:val="center"/>
          </w:tcPr>
          <w:p>
            <w:pPr>
              <w:widowControl/>
              <w:jc w:val="center"/>
              <w:rPr>
                <w:rFonts w:ascii="Times New Roman" w:hAnsi="Times New Roman" w:eastAsiaTheme="minorEastAsia"/>
                <w:kern w:val="0"/>
                <w:szCs w:val="21"/>
              </w:rPr>
            </w:pPr>
            <w:r>
              <w:rPr>
                <w:rFonts w:ascii="Times New Roman" w:hAnsi="Times New Roman" w:eastAsiaTheme="minorEastAsia"/>
                <w:kern w:val="0"/>
                <w:szCs w:val="21"/>
              </w:rPr>
              <w:t>HW08废矿物油</w:t>
            </w:r>
          </w:p>
        </w:tc>
        <w:tc>
          <w:tcPr>
            <w:tcW w:w="652" w:type="pct"/>
            <w:vAlign w:val="center"/>
          </w:tcPr>
          <w:p>
            <w:pPr>
              <w:widowControl/>
              <w:jc w:val="center"/>
              <w:rPr>
                <w:rFonts w:ascii="Times New Roman" w:hAnsi="Times New Roman" w:eastAsiaTheme="minorEastAsia"/>
                <w:bCs/>
                <w:szCs w:val="21"/>
              </w:rPr>
            </w:pPr>
            <w:r>
              <w:rPr>
                <w:rFonts w:ascii="Times New Roman" w:hAnsi="Times New Roman" w:eastAsiaTheme="minorEastAsia"/>
                <w:bCs/>
                <w:szCs w:val="21"/>
              </w:rPr>
              <w:t>HW 900-217-08</w:t>
            </w:r>
          </w:p>
        </w:tc>
        <w:tc>
          <w:tcPr>
            <w:tcW w:w="403" w:type="pct"/>
            <w:vAlign w:val="center"/>
          </w:tcPr>
          <w:p>
            <w:pPr>
              <w:jc w:val="center"/>
              <w:rPr>
                <w:rFonts w:ascii="Times New Roman" w:hAnsi="Times New Roman" w:eastAsiaTheme="minorEastAsia"/>
                <w:szCs w:val="21"/>
              </w:rPr>
            </w:pPr>
            <w:r>
              <w:rPr>
                <w:rFonts w:ascii="Times New Roman" w:hAnsi="Times New Roman" w:eastAsiaTheme="minorEastAsia"/>
                <w:szCs w:val="21"/>
              </w:rPr>
              <w:t>0.05</w:t>
            </w:r>
          </w:p>
        </w:tc>
        <w:tc>
          <w:tcPr>
            <w:tcW w:w="633" w:type="pct"/>
            <w:shd w:val="clear" w:color="auto" w:fill="auto"/>
            <w:vAlign w:val="center"/>
          </w:tcPr>
          <w:p>
            <w:pPr>
              <w:widowControl/>
              <w:jc w:val="center"/>
              <w:rPr>
                <w:rFonts w:ascii="Times New Roman" w:hAnsi="Times New Roman" w:eastAsiaTheme="minorEastAsia"/>
                <w:bCs/>
                <w:kern w:val="0"/>
                <w:szCs w:val="21"/>
              </w:rPr>
            </w:pPr>
            <w:r>
              <w:rPr>
                <w:rFonts w:hint="eastAsia" w:ascii="Times New Roman" w:hAnsi="Times New Roman" w:eastAsiaTheme="minorEastAsia"/>
                <w:bCs/>
                <w:kern w:val="0"/>
                <w:szCs w:val="21"/>
              </w:rPr>
              <w:t>压缩机、风机等</w:t>
            </w:r>
          </w:p>
        </w:tc>
        <w:tc>
          <w:tcPr>
            <w:tcW w:w="383" w:type="pct"/>
            <w:shd w:val="clear" w:color="auto" w:fill="auto"/>
            <w:vAlign w:val="center"/>
          </w:tcPr>
          <w:p>
            <w:pPr>
              <w:widowControl/>
              <w:jc w:val="center"/>
              <w:rPr>
                <w:rFonts w:ascii="Times New Roman" w:hAnsi="Times New Roman" w:eastAsiaTheme="minorEastAsia"/>
                <w:kern w:val="0"/>
                <w:szCs w:val="21"/>
              </w:rPr>
            </w:pPr>
            <w:r>
              <w:rPr>
                <w:rFonts w:hint="eastAsia" w:ascii="Times New Roman" w:hAnsi="Times New Roman" w:eastAsiaTheme="minorEastAsia"/>
                <w:kern w:val="0"/>
                <w:szCs w:val="21"/>
              </w:rPr>
              <w:t>液态</w:t>
            </w:r>
          </w:p>
        </w:tc>
        <w:tc>
          <w:tcPr>
            <w:tcW w:w="372" w:type="pct"/>
            <w:vAlign w:val="center"/>
          </w:tcPr>
          <w:p>
            <w:pPr>
              <w:widowControl/>
              <w:jc w:val="center"/>
              <w:rPr>
                <w:rFonts w:ascii="Times New Roman" w:hAnsi="Times New Roman" w:eastAsiaTheme="minorEastAsia"/>
                <w:kern w:val="0"/>
                <w:szCs w:val="21"/>
              </w:rPr>
            </w:pPr>
            <w:r>
              <w:rPr>
                <w:rFonts w:hint="eastAsia" w:ascii="Times New Roman" w:hAnsi="Times New Roman" w:eastAsiaTheme="minorEastAsia"/>
                <w:kern w:val="0"/>
                <w:szCs w:val="21"/>
              </w:rPr>
              <w:t>矿物油</w:t>
            </w:r>
          </w:p>
        </w:tc>
        <w:tc>
          <w:tcPr>
            <w:tcW w:w="372" w:type="pct"/>
            <w:shd w:val="clear" w:color="auto" w:fill="auto"/>
            <w:vAlign w:val="center"/>
          </w:tcPr>
          <w:p>
            <w:pPr>
              <w:widowControl/>
              <w:jc w:val="center"/>
              <w:rPr>
                <w:rFonts w:ascii="Times New Roman" w:hAnsi="Times New Roman" w:eastAsiaTheme="minorEastAsia"/>
                <w:kern w:val="0"/>
                <w:szCs w:val="21"/>
              </w:rPr>
            </w:pPr>
            <w:r>
              <w:rPr>
                <w:rFonts w:hint="eastAsia"/>
                <w:szCs w:val="21"/>
              </w:rPr>
              <w:t>废油</w:t>
            </w:r>
          </w:p>
        </w:tc>
        <w:tc>
          <w:tcPr>
            <w:tcW w:w="404" w:type="pct"/>
            <w:vAlign w:val="center"/>
          </w:tcPr>
          <w:p>
            <w:pPr>
              <w:jc w:val="center"/>
              <w:rPr>
                <w:rFonts w:ascii="Times New Roman" w:hAnsi="Times New Roman" w:eastAsiaTheme="minorEastAsia"/>
                <w:szCs w:val="21"/>
              </w:rPr>
            </w:pPr>
            <w:r>
              <w:rPr>
                <w:rFonts w:hint="eastAsia" w:ascii="Times New Roman" w:hAnsi="Times New Roman" w:eastAsiaTheme="minorEastAsia"/>
                <w:szCs w:val="21"/>
              </w:rPr>
              <w:t>1a</w:t>
            </w:r>
          </w:p>
        </w:tc>
        <w:tc>
          <w:tcPr>
            <w:tcW w:w="302" w:type="pct"/>
            <w:shd w:val="clear" w:color="auto" w:fill="auto"/>
            <w:vAlign w:val="center"/>
          </w:tcPr>
          <w:p>
            <w:pPr>
              <w:jc w:val="center"/>
              <w:rPr>
                <w:rFonts w:ascii="Times New Roman" w:hAnsi="Times New Roman" w:eastAsiaTheme="minorEastAsia"/>
                <w:szCs w:val="21"/>
              </w:rPr>
            </w:pPr>
            <w:r>
              <w:rPr>
                <w:rFonts w:ascii="Times New Roman" w:hAnsi="Times New Roman" w:eastAsiaTheme="minorEastAsia"/>
                <w:szCs w:val="21"/>
              </w:rPr>
              <w:t>T</w:t>
            </w:r>
            <w:r>
              <w:rPr>
                <w:rFonts w:hint="eastAsia" w:ascii="Times New Roman" w:hAnsi="Times New Roman" w:eastAsiaTheme="minorEastAsia"/>
                <w:szCs w:val="21"/>
              </w:rPr>
              <w:t>，</w:t>
            </w:r>
            <w:r>
              <w:rPr>
                <w:rFonts w:hint="eastAsia" w:asciiTheme="minorEastAsia" w:hAnsiTheme="minorEastAsia" w:eastAsiaTheme="minorEastAsia"/>
                <w:szCs w:val="21"/>
              </w:rPr>
              <w:t>Ⅰ</w:t>
            </w:r>
          </w:p>
        </w:tc>
        <w:tc>
          <w:tcPr>
            <w:tcW w:w="396" w:type="pct"/>
            <w:shd w:val="clear" w:color="auto" w:fill="auto"/>
            <w:vAlign w:val="center"/>
          </w:tcPr>
          <w:p>
            <w:pPr>
              <w:widowControl/>
              <w:jc w:val="center"/>
              <w:rPr>
                <w:rFonts w:ascii="Times New Roman" w:hAnsi="Times New Roman" w:eastAsiaTheme="minorEastAsia"/>
                <w:kern w:val="0"/>
                <w:szCs w:val="21"/>
              </w:rPr>
            </w:pPr>
            <w:r>
              <w:rPr>
                <w:rFonts w:ascii="Times New Roman" w:hAnsi="Times New Roman" w:eastAsiaTheme="minorEastAsia"/>
                <w:kern w:val="0"/>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284" w:hRule="atLeast"/>
        </w:trPr>
        <w:tc>
          <w:tcPr>
            <w:tcW w:w="621" w:type="pct"/>
            <w:gridSpan w:val="2"/>
            <w:vAlign w:val="center"/>
          </w:tcPr>
          <w:p>
            <w:pPr>
              <w:widowControl/>
              <w:jc w:val="center"/>
              <w:rPr>
                <w:rFonts w:ascii="Times New Roman" w:hAnsi="Times New Roman" w:eastAsiaTheme="minorEastAsia"/>
                <w:kern w:val="0"/>
                <w:szCs w:val="21"/>
              </w:rPr>
            </w:pPr>
            <w:r>
              <w:rPr>
                <w:rFonts w:ascii="Times New Roman" w:hAnsi="Times New Roman" w:eastAsiaTheme="minorEastAsia"/>
                <w:kern w:val="0"/>
                <w:szCs w:val="21"/>
              </w:rPr>
              <w:t>合计</w:t>
            </w:r>
          </w:p>
        </w:tc>
        <w:tc>
          <w:tcPr>
            <w:tcW w:w="4379" w:type="pct"/>
            <w:gridSpan w:val="10"/>
          </w:tcPr>
          <w:p>
            <w:pPr>
              <w:widowControl/>
              <w:jc w:val="center"/>
              <w:rPr>
                <w:rFonts w:ascii="Times New Roman" w:hAnsi="Times New Roman" w:eastAsiaTheme="minorEastAsia"/>
                <w:kern w:val="0"/>
                <w:szCs w:val="21"/>
              </w:rPr>
            </w:pPr>
            <w:r>
              <w:rPr>
                <w:rFonts w:ascii="Times New Roman" w:hAnsi="Times New Roman" w:eastAsiaTheme="minorEastAsia"/>
                <w:kern w:val="0"/>
                <w:szCs w:val="21"/>
              </w:rPr>
              <w:t>危险废物2.15t/a</w:t>
            </w:r>
          </w:p>
        </w:tc>
      </w:tr>
      <w:bookmarkEnd w:id="87"/>
    </w:tbl>
    <w:p>
      <w:pPr>
        <w:pStyle w:val="5"/>
        <w:spacing w:before="0" w:after="0" w:line="520" w:lineRule="exact"/>
        <w:rPr>
          <w:rFonts w:ascii="Times New Roman" w:hAnsi="Times New Roman" w:eastAsia="楷体_GB2312"/>
          <w:sz w:val="28"/>
          <w:szCs w:val="28"/>
          <w:lang w:val="en-US" w:eastAsia="zh-CN"/>
        </w:rPr>
      </w:pPr>
      <w:bookmarkStart w:id="88" w:name="_Toc2346"/>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5</w:t>
      </w:r>
      <w:r>
        <w:rPr>
          <w:rFonts w:ascii="Times New Roman" w:hAnsi="Times New Roman" w:eastAsia="楷体_GB2312"/>
          <w:sz w:val="28"/>
          <w:szCs w:val="28"/>
          <w:lang w:val="en-US" w:eastAsia="zh-CN"/>
        </w:rPr>
        <w:t>.5  非正常工况</w:t>
      </w:r>
      <w:bookmarkEnd w:id="88"/>
    </w:p>
    <w:p>
      <w:pPr>
        <w:spacing w:line="520" w:lineRule="exact"/>
        <w:ind w:firstLine="560" w:firstLineChars="200"/>
        <w:rPr>
          <w:rFonts w:ascii="Times New Roman" w:hAnsi="Times New Roman"/>
          <w:sz w:val="28"/>
          <w:szCs w:val="28"/>
        </w:rPr>
      </w:pPr>
      <w:r>
        <w:rPr>
          <w:rFonts w:ascii="Times New Roman" w:hAnsi="Times New Roman"/>
          <w:sz w:val="28"/>
          <w:szCs w:val="28"/>
        </w:rPr>
        <w:t>根据设计资料，本次中试项目主要目的是经过中试放大试验，打通秸秆糖制乙二醇工艺流程，确定工艺放大参数，解决放大效应，编制万吨级秸秆糖制乙二醇工艺包；中试项目实验条件相对固定，在温度、压力上会稍有改动，对产品的产量和质量影响不大。</w:t>
      </w:r>
    </w:p>
    <w:p>
      <w:pPr>
        <w:spacing w:line="520" w:lineRule="exact"/>
        <w:ind w:firstLine="560" w:firstLineChars="200"/>
        <w:rPr>
          <w:rFonts w:ascii="Times New Roman" w:hAnsi="Times New Roman"/>
          <w:sz w:val="28"/>
          <w:szCs w:val="28"/>
        </w:rPr>
      </w:pPr>
      <w:r>
        <w:rPr>
          <w:rFonts w:ascii="Times New Roman" w:hAnsi="Times New Roman"/>
          <w:sz w:val="28"/>
          <w:szCs w:val="28"/>
        </w:rPr>
        <w:t>中试实验过程不可避免的发生因物料不满足要求、反应过激、催化剂选择性偏差、设备或管路发生故障及突发停电、停水、停蒸汽等特殊情况导致的中试装置应急控制系统启动连锁控制，暂停或终止实验进行、紧急停车的情况。一旦上述特殊情况发生，中试装置停止进料，管道和装置内的气体可以通过安全阀或者气体驰放系统送界区外火炬焚烧，装置中的物料可继续保留在器内，不需要立刻驰放；待装置恢复正常后，可继续用于反应。</w:t>
      </w:r>
    </w:p>
    <w:p>
      <w:pPr>
        <w:spacing w:line="520" w:lineRule="exact"/>
        <w:ind w:firstLine="560" w:firstLineChars="200"/>
        <w:rPr>
          <w:rFonts w:ascii="Times New Roman" w:hAnsi="Times New Roman"/>
          <w:sz w:val="28"/>
          <w:szCs w:val="28"/>
        </w:rPr>
      </w:pPr>
      <w:r>
        <w:rPr>
          <w:rFonts w:ascii="Times New Roman" w:hAnsi="Times New Roman"/>
          <w:sz w:val="28"/>
          <w:szCs w:val="28"/>
        </w:rPr>
        <w:t>根据小试实验情况，中试过程中最有可能出现的两种非正常工况如下：</w:t>
      </w:r>
    </w:p>
    <w:p>
      <w:pPr>
        <w:spacing w:line="520" w:lineRule="exact"/>
        <w:ind w:firstLine="560" w:firstLineChars="200"/>
        <w:rPr>
          <w:rFonts w:ascii="Times New Roman" w:hAnsi="Times New Roman"/>
          <w:sz w:val="28"/>
          <w:szCs w:val="28"/>
        </w:rPr>
      </w:pPr>
      <w:r>
        <w:rPr>
          <w:rFonts w:ascii="Times New Roman" w:hAnsi="Times New Roman"/>
          <w:sz w:val="28"/>
          <w:szCs w:val="28"/>
        </w:rPr>
        <w:t>1）反应物料出现轻度结焦现象，产品品质下降。</w:t>
      </w:r>
    </w:p>
    <w:p>
      <w:pPr>
        <w:spacing w:line="520" w:lineRule="exact"/>
        <w:ind w:firstLine="560" w:firstLineChars="200"/>
        <w:rPr>
          <w:rFonts w:ascii="Times New Roman" w:hAnsi="Times New Roman"/>
          <w:sz w:val="28"/>
          <w:szCs w:val="28"/>
        </w:rPr>
      </w:pPr>
      <w:r>
        <w:rPr>
          <w:rFonts w:ascii="Times New Roman" w:hAnsi="Times New Roman"/>
          <w:sz w:val="28"/>
          <w:szCs w:val="28"/>
        </w:rPr>
        <w:t>处置方案：调节氢气压力、氢气驰放流速、提高反应温度，继续考察。如果仍未解决，则停车，检视装置的传热传质效果、糖原料品质等。然后卸出单独存放于吨桶中，作为三废处理。</w:t>
      </w:r>
    </w:p>
    <w:p>
      <w:pPr>
        <w:spacing w:line="520" w:lineRule="exact"/>
        <w:ind w:firstLine="560" w:firstLineChars="200"/>
        <w:rPr>
          <w:rFonts w:ascii="Times New Roman" w:hAnsi="Times New Roman"/>
          <w:sz w:val="28"/>
          <w:szCs w:val="28"/>
        </w:rPr>
      </w:pPr>
      <w:r>
        <w:rPr>
          <w:rFonts w:ascii="Times New Roman" w:hAnsi="Times New Roman"/>
          <w:sz w:val="28"/>
          <w:szCs w:val="28"/>
        </w:rPr>
        <w:t>2）设备运行故障：反应釜搅拌系统停止工作、氢气供应不足、加热系统停止工作、产物连续排放功能失效。</w:t>
      </w:r>
    </w:p>
    <w:p>
      <w:pPr>
        <w:spacing w:line="520" w:lineRule="exact"/>
        <w:ind w:firstLine="560" w:firstLineChars="200"/>
        <w:rPr>
          <w:rFonts w:ascii="Times New Roman" w:hAnsi="Times New Roman"/>
          <w:sz w:val="28"/>
          <w:szCs w:val="28"/>
        </w:rPr>
      </w:pPr>
      <w:r>
        <w:rPr>
          <w:rFonts w:ascii="Times New Roman" w:hAnsi="Times New Roman"/>
          <w:sz w:val="28"/>
          <w:szCs w:val="28"/>
        </w:rPr>
        <w:t>处置方案：立即停止反应物料进料，直到设备问题解决。</w:t>
      </w:r>
    </w:p>
    <w:p>
      <w:pPr>
        <w:spacing w:line="520" w:lineRule="exact"/>
        <w:ind w:firstLine="560" w:firstLineChars="200"/>
        <w:rPr>
          <w:rFonts w:ascii="Times New Roman" w:hAnsi="Times New Roman"/>
          <w:sz w:val="28"/>
          <w:szCs w:val="28"/>
        </w:rPr>
      </w:pPr>
      <w:r>
        <w:rPr>
          <w:rFonts w:ascii="Times New Roman" w:hAnsi="Times New Roman"/>
          <w:sz w:val="28"/>
          <w:szCs w:val="28"/>
        </w:rPr>
        <w:t>3）反应条件装置压力超过设定条件</w:t>
      </w:r>
    </w:p>
    <w:p>
      <w:pPr>
        <w:spacing w:line="520" w:lineRule="exact"/>
        <w:ind w:firstLine="560" w:firstLineChars="200"/>
        <w:rPr>
          <w:rFonts w:ascii="Times New Roman" w:hAnsi="Times New Roman"/>
          <w:sz w:val="28"/>
          <w:szCs w:val="28"/>
        </w:rPr>
      </w:pPr>
      <w:r>
        <w:rPr>
          <w:rFonts w:ascii="Times New Roman" w:hAnsi="Times New Roman"/>
          <w:sz w:val="28"/>
          <w:szCs w:val="28"/>
        </w:rPr>
        <w:t>处置方案：项目压力容器和设备均设置有安全阀，安全阀是启闭件，受外力作用下处于常闭状态，当设备内的</w:t>
      </w:r>
      <w:r>
        <w:fldChar w:fldCharType="begin"/>
      </w:r>
      <w:r>
        <w:instrText xml:space="preserve"> HYPERLINK "https://baike.baidu.com/item/%E4%BB%8B%E8%B4%A8/5419484" \t "_blank" </w:instrText>
      </w:r>
      <w:r>
        <w:fldChar w:fldCharType="separate"/>
      </w:r>
      <w:r>
        <w:rPr>
          <w:rFonts w:ascii="Times New Roman" w:hAnsi="Times New Roman"/>
          <w:sz w:val="28"/>
          <w:szCs w:val="28"/>
        </w:rPr>
        <w:t>介质</w:t>
      </w:r>
      <w:r>
        <w:rPr>
          <w:rFonts w:ascii="Times New Roman" w:hAnsi="Times New Roman"/>
          <w:sz w:val="28"/>
          <w:szCs w:val="28"/>
        </w:rPr>
        <w:fldChar w:fldCharType="end"/>
      </w:r>
      <w:r>
        <w:rPr>
          <w:rFonts w:ascii="Times New Roman" w:hAnsi="Times New Roman"/>
          <w:sz w:val="28"/>
          <w:szCs w:val="28"/>
        </w:rPr>
        <w:t>压力升高超过规定值时，通过向系统外排放介质来防止设备内介质压力超过规定数值。本中试紧急泄放依托厂区现有火炬设施，管道和装置内的气体可以通过安全阀或者气体驰放系统送界区外火炬焚烧。</w:t>
      </w:r>
    </w:p>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3.6  排污量统计</w:t>
      </w:r>
    </w:p>
    <w:p>
      <w:pPr>
        <w:pStyle w:val="10"/>
        <w:spacing w:line="520" w:lineRule="exact"/>
        <w:ind w:left="399" w:leftChars="190" w:firstLine="274" w:firstLineChars="98"/>
        <w:rPr>
          <w:rFonts w:ascii="Times New Roman" w:hAnsi="Times New Roman"/>
          <w:sz w:val="28"/>
          <w:szCs w:val="28"/>
        </w:rPr>
      </w:pPr>
      <w:r>
        <w:rPr>
          <w:rFonts w:ascii="Times New Roman" w:hAnsi="Times New Roman"/>
          <w:sz w:val="28"/>
          <w:szCs w:val="28"/>
        </w:rPr>
        <w:t>本项目建成后，各类污染物的排放量统计见表3.6-1。</w:t>
      </w:r>
    </w:p>
    <w:p>
      <w:pPr>
        <w:pStyle w:val="32"/>
        <w:ind w:left="851" w:firstLine="0" w:firstLineChars="0"/>
      </w:pPr>
      <w:r>
        <w:t>表3.6-1                  工程排污量统计</w:t>
      </w:r>
    </w:p>
    <w:tbl>
      <w:tblPr>
        <w:tblStyle w:val="21"/>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4"/>
        <w:gridCol w:w="2551"/>
        <w:gridCol w:w="1701"/>
        <w:gridCol w:w="1673"/>
        <w:gridCol w:w="146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Align w:val="center"/>
          </w:tcPr>
          <w:p>
            <w:pPr>
              <w:jc w:val="center"/>
              <w:rPr>
                <w:rFonts w:ascii="Times New Roman" w:hAnsi="Times New Roman" w:eastAsiaTheme="minorEastAsia"/>
                <w:b/>
                <w:bCs/>
                <w:szCs w:val="21"/>
              </w:rPr>
            </w:pPr>
            <w:r>
              <w:rPr>
                <w:rFonts w:ascii="Times New Roman" w:hAnsi="Times New Roman" w:eastAsiaTheme="minorEastAsia"/>
                <w:b/>
                <w:bCs/>
                <w:szCs w:val="21"/>
              </w:rPr>
              <w:t>项目</w:t>
            </w:r>
          </w:p>
        </w:tc>
        <w:tc>
          <w:tcPr>
            <w:tcW w:w="2551" w:type="dxa"/>
            <w:vAlign w:val="center"/>
          </w:tcPr>
          <w:p>
            <w:pPr>
              <w:jc w:val="center"/>
              <w:rPr>
                <w:rFonts w:ascii="Times New Roman" w:hAnsi="Times New Roman" w:eastAsiaTheme="minorEastAsia"/>
                <w:b/>
                <w:bCs/>
                <w:szCs w:val="21"/>
              </w:rPr>
            </w:pPr>
            <w:r>
              <w:rPr>
                <w:rFonts w:ascii="Times New Roman" w:hAnsi="Times New Roman" w:eastAsiaTheme="minorEastAsia"/>
                <w:b/>
                <w:bCs/>
                <w:szCs w:val="21"/>
              </w:rPr>
              <w:t>指标名称</w:t>
            </w:r>
          </w:p>
        </w:tc>
        <w:tc>
          <w:tcPr>
            <w:tcW w:w="1701" w:type="dxa"/>
            <w:vAlign w:val="center"/>
          </w:tcPr>
          <w:p>
            <w:pPr>
              <w:jc w:val="center"/>
              <w:rPr>
                <w:rFonts w:ascii="Times New Roman" w:hAnsi="Times New Roman" w:eastAsiaTheme="minorEastAsia"/>
                <w:b/>
                <w:bCs/>
                <w:szCs w:val="21"/>
              </w:rPr>
            </w:pPr>
            <w:r>
              <w:rPr>
                <w:rFonts w:ascii="Times New Roman" w:hAnsi="Times New Roman" w:eastAsiaTheme="minorEastAsia"/>
                <w:b/>
                <w:bCs/>
                <w:szCs w:val="21"/>
              </w:rPr>
              <w:t>产生量（t/a）</w:t>
            </w:r>
          </w:p>
        </w:tc>
        <w:tc>
          <w:tcPr>
            <w:tcW w:w="1673" w:type="dxa"/>
            <w:vAlign w:val="center"/>
          </w:tcPr>
          <w:p>
            <w:pPr>
              <w:jc w:val="center"/>
              <w:rPr>
                <w:rFonts w:ascii="Times New Roman" w:hAnsi="Times New Roman" w:eastAsiaTheme="minorEastAsia"/>
                <w:b/>
                <w:bCs/>
                <w:szCs w:val="21"/>
              </w:rPr>
            </w:pPr>
            <w:r>
              <w:rPr>
                <w:rFonts w:ascii="Times New Roman" w:hAnsi="Times New Roman" w:eastAsiaTheme="minorEastAsia"/>
                <w:b/>
                <w:bCs/>
                <w:szCs w:val="21"/>
              </w:rPr>
              <w:t>削减量（t/a）</w:t>
            </w:r>
          </w:p>
        </w:tc>
        <w:tc>
          <w:tcPr>
            <w:tcW w:w="1467" w:type="dxa"/>
            <w:vAlign w:val="center"/>
          </w:tcPr>
          <w:p>
            <w:pPr>
              <w:jc w:val="center"/>
              <w:rPr>
                <w:rFonts w:ascii="Times New Roman" w:hAnsi="Times New Roman" w:eastAsiaTheme="minorEastAsia"/>
                <w:b/>
                <w:bCs/>
                <w:szCs w:val="21"/>
              </w:rPr>
            </w:pPr>
            <w:r>
              <w:rPr>
                <w:rFonts w:ascii="Times New Roman" w:hAnsi="Times New Roman" w:eastAsiaTheme="minorEastAsia"/>
                <w:b/>
                <w:bCs/>
                <w:szCs w:val="21"/>
              </w:rPr>
              <w:t>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554" w:type="dxa"/>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废气</w:t>
            </w:r>
          </w:p>
        </w:tc>
        <w:tc>
          <w:tcPr>
            <w:tcW w:w="2551" w:type="dxa"/>
            <w:vAlign w:val="center"/>
          </w:tcPr>
          <w:p>
            <w:pPr>
              <w:pStyle w:val="34"/>
              <w:rPr>
                <w:rFonts w:eastAsiaTheme="minorEastAsia"/>
                <w:b w:val="0"/>
                <w:bCs/>
                <w:szCs w:val="21"/>
              </w:rPr>
            </w:pPr>
            <w:r>
              <w:rPr>
                <w:rFonts w:hint="eastAsia"/>
                <w:b w:val="0"/>
                <w:bCs/>
                <w:szCs w:val="21"/>
              </w:rPr>
              <w:t>乙二醇</w:t>
            </w:r>
          </w:p>
        </w:tc>
        <w:tc>
          <w:tcPr>
            <w:tcW w:w="1701"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0</w:t>
            </w:r>
            <w:r>
              <w:rPr>
                <w:rFonts w:ascii="Times New Roman" w:hAnsi="Times New Roman" w:eastAsiaTheme="minorEastAsia"/>
                <w:szCs w:val="21"/>
              </w:rPr>
              <w:t>.574</w:t>
            </w:r>
          </w:p>
        </w:tc>
        <w:tc>
          <w:tcPr>
            <w:tcW w:w="1673"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0</w:t>
            </w:r>
            <w:r>
              <w:rPr>
                <w:rFonts w:ascii="Times New Roman" w:hAnsi="Times New Roman" w:eastAsiaTheme="minorEastAsia"/>
                <w:szCs w:val="21"/>
              </w:rPr>
              <w:t>.216</w:t>
            </w:r>
          </w:p>
        </w:tc>
        <w:tc>
          <w:tcPr>
            <w:tcW w:w="1467" w:type="dxa"/>
            <w:vAlign w:val="center"/>
          </w:tcPr>
          <w:p>
            <w:pPr>
              <w:jc w:val="center"/>
              <w:rPr>
                <w:rFonts w:ascii="Times New Roman" w:hAnsi="Times New Roman" w:eastAsiaTheme="minorEastAsia"/>
                <w:szCs w:val="21"/>
              </w:rPr>
            </w:pPr>
            <w:r>
              <w:rPr>
                <w:rFonts w:ascii="Times New Roman" w:hAnsi="Times New Roman"/>
                <w:szCs w:val="21"/>
              </w:rPr>
              <w:t>0.358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Merge w:val="continue"/>
            <w:vAlign w:val="center"/>
          </w:tcPr>
          <w:p>
            <w:pPr>
              <w:jc w:val="center"/>
              <w:rPr>
                <w:rFonts w:ascii="Times New Roman" w:hAnsi="Times New Roman" w:eastAsiaTheme="minorEastAsia"/>
                <w:szCs w:val="21"/>
              </w:rPr>
            </w:pPr>
          </w:p>
        </w:tc>
        <w:tc>
          <w:tcPr>
            <w:tcW w:w="2551" w:type="dxa"/>
            <w:vAlign w:val="center"/>
          </w:tcPr>
          <w:p>
            <w:pPr>
              <w:pStyle w:val="34"/>
              <w:rPr>
                <w:rFonts w:eastAsiaTheme="minorEastAsia"/>
                <w:b w:val="0"/>
                <w:bCs/>
                <w:szCs w:val="21"/>
              </w:rPr>
            </w:pPr>
            <w:r>
              <w:rPr>
                <w:rFonts w:hint="eastAsia"/>
                <w:b w:val="0"/>
                <w:bCs/>
                <w:szCs w:val="21"/>
              </w:rPr>
              <w:t>丙二醇</w:t>
            </w:r>
          </w:p>
        </w:tc>
        <w:tc>
          <w:tcPr>
            <w:tcW w:w="1701"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0</w:t>
            </w:r>
            <w:r>
              <w:rPr>
                <w:rFonts w:ascii="Times New Roman" w:hAnsi="Times New Roman" w:eastAsiaTheme="minorEastAsia"/>
                <w:szCs w:val="21"/>
              </w:rPr>
              <w:t>.146</w:t>
            </w:r>
          </w:p>
        </w:tc>
        <w:tc>
          <w:tcPr>
            <w:tcW w:w="1673" w:type="dxa"/>
            <w:vAlign w:val="center"/>
          </w:tcPr>
          <w:p>
            <w:pPr>
              <w:jc w:val="center"/>
              <w:rPr>
                <w:rFonts w:ascii="Times New Roman" w:hAnsi="Times New Roman" w:eastAsiaTheme="minorEastAsia"/>
                <w:szCs w:val="21"/>
              </w:rPr>
            </w:pPr>
            <w:r>
              <w:rPr>
                <w:rFonts w:ascii="Times New Roman" w:hAnsi="Times New Roman" w:eastAsiaTheme="minorEastAsia"/>
                <w:szCs w:val="21"/>
              </w:rPr>
              <w:t>0</w:t>
            </w:r>
            <w:r>
              <w:rPr>
                <w:rFonts w:hint="eastAsia" w:ascii="Times New Roman" w:hAnsi="Times New Roman" w:eastAsiaTheme="minorEastAsia"/>
                <w:szCs w:val="21"/>
              </w:rPr>
              <w:t>.</w:t>
            </w:r>
            <w:r>
              <w:rPr>
                <w:rFonts w:ascii="Times New Roman" w:hAnsi="Times New Roman" w:eastAsiaTheme="minorEastAsia"/>
                <w:szCs w:val="21"/>
              </w:rPr>
              <w:t>056</w:t>
            </w:r>
          </w:p>
        </w:tc>
        <w:tc>
          <w:tcPr>
            <w:tcW w:w="1467" w:type="dxa"/>
            <w:vAlign w:val="center"/>
          </w:tcPr>
          <w:p>
            <w:pPr>
              <w:jc w:val="center"/>
              <w:rPr>
                <w:rFonts w:ascii="Times New Roman" w:hAnsi="Times New Roman" w:eastAsiaTheme="minorEastAsia"/>
                <w:szCs w:val="21"/>
              </w:rPr>
            </w:pPr>
            <w:r>
              <w:rPr>
                <w:rFonts w:hint="eastAsia" w:ascii="Times New Roman" w:hAnsi="Times New Roman"/>
                <w:szCs w:val="21"/>
              </w:rPr>
              <w:t>0</w:t>
            </w:r>
            <w:r>
              <w:rPr>
                <w:rFonts w:ascii="Times New Roman" w:hAnsi="Times New Roman"/>
                <w:szCs w:val="21"/>
              </w:rPr>
              <w:t>.09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Merge w:val="continue"/>
            <w:vAlign w:val="center"/>
          </w:tcPr>
          <w:p>
            <w:pPr>
              <w:jc w:val="center"/>
              <w:rPr>
                <w:rFonts w:ascii="Times New Roman" w:hAnsi="Times New Roman" w:eastAsiaTheme="minorEastAsia"/>
                <w:szCs w:val="21"/>
              </w:rPr>
            </w:pPr>
          </w:p>
        </w:tc>
        <w:tc>
          <w:tcPr>
            <w:tcW w:w="2551" w:type="dxa"/>
            <w:vAlign w:val="center"/>
          </w:tcPr>
          <w:p>
            <w:pPr>
              <w:pStyle w:val="34"/>
              <w:rPr>
                <w:rFonts w:eastAsiaTheme="minorEastAsia"/>
                <w:b w:val="0"/>
                <w:bCs/>
                <w:szCs w:val="21"/>
              </w:rPr>
            </w:pPr>
            <w:r>
              <w:rPr>
                <w:b w:val="0"/>
                <w:bCs/>
                <w:szCs w:val="21"/>
              </w:rPr>
              <w:t>VOC</w:t>
            </w:r>
            <w:r>
              <w:rPr>
                <w:b w:val="0"/>
                <w:bCs/>
                <w:szCs w:val="21"/>
                <w:vertAlign w:val="subscript"/>
              </w:rPr>
              <w:t>S</w:t>
            </w:r>
          </w:p>
        </w:tc>
        <w:tc>
          <w:tcPr>
            <w:tcW w:w="1701"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0</w:t>
            </w:r>
            <w:r>
              <w:rPr>
                <w:rFonts w:ascii="Times New Roman" w:hAnsi="Times New Roman" w:eastAsiaTheme="minorEastAsia"/>
                <w:szCs w:val="21"/>
              </w:rPr>
              <w:t>.72</w:t>
            </w:r>
          </w:p>
        </w:tc>
        <w:tc>
          <w:tcPr>
            <w:tcW w:w="1673" w:type="dxa"/>
            <w:vAlign w:val="center"/>
          </w:tcPr>
          <w:p>
            <w:pPr>
              <w:jc w:val="center"/>
              <w:rPr>
                <w:rFonts w:ascii="Times New Roman" w:hAnsi="Times New Roman" w:eastAsiaTheme="minorEastAsia"/>
                <w:szCs w:val="21"/>
              </w:rPr>
            </w:pPr>
            <w:r>
              <w:rPr>
                <w:rFonts w:hint="eastAsia" w:ascii="Times New Roman" w:hAnsi="Times New Roman" w:eastAsiaTheme="minorEastAsia"/>
                <w:szCs w:val="21"/>
              </w:rPr>
              <w:t>0</w:t>
            </w:r>
            <w:r>
              <w:rPr>
                <w:rFonts w:ascii="Times New Roman" w:hAnsi="Times New Roman" w:eastAsiaTheme="minorEastAsia"/>
                <w:szCs w:val="21"/>
              </w:rPr>
              <w:t>.27</w:t>
            </w:r>
          </w:p>
        </w:tc>
        <w:tc>
          <w:tcPr>
            <w:tcW w:w="1467" w:type="dxa"/>
            <w:vAlign w:val="center"/>
          </w:tcPr>
          <w:p>
            <w:pPr>
              <w:jc w:val="center"/>
              <w:rPr>
                <w:rFonts w:ascii="Times New Roman" w:hAnsi="Times New Roman" w:eastAsiaTheme="minorEastAsia"/>
                <w:szCs w:val="21"/>
              </w:rPr>
            </w:pPr>
            <w:r>
              <w:rPr>
                <w:rFonts w:hint="eastAsia" w:ascii="Times New Roman" w:hAnsi="Times New Roman"/>
                <w:szCs w:val="21"/>
              </w:rPr>
              <w:t>0</w:t>
            </w:r>
            <w:r>
              <w:rPr>
                <w:rFonts w:ascii="Times New Roman" w:hAnsi="Times New Roman"/>
                <w:szCs w:val="21"/>
              </w:rPr>
              <w:t>.45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Merge w:val="restart"/>
            <w:vAlign w:val="center"/>
          </w:tcPr>
          <w:p>
            <w:pPr>
              <w:jc w:val="center"/>
              <w:rPr>
                <w:rFonts w:ascii="Times New Roman" w:hAnsi="Times New Roman" w:eastAsiaTheme="minorEastAsia"/>
                <w:szCs w:val="21"/>
              </w:rPr>
            </w:pPr>
            <w:r>
              <w:rPr>
                <w:rFonts w:ascii="Times New Roman" w:hAnsi="Times New Roman" w:eastAsiaTheme="minorEastAsia"/>
                <w:szCs w:val="21"/>
              </w:rPr>
              <w:t>废水</w:t>
            </w:r>
          </w:p>
        </w:tc>
        <w:tc>
          <w:tcPr>
            <w:tcW w:w="2551" w:type="dxa"/>
            <w:vAlign w:val="center"/>
          </w:tcPr>
          <w:p>
            <w:pPr>
              <w:jc w:val="center"/>
              <w:rPr>
                <w:rFonts w:ascii="Times New Roman" w:hAnsi="Times New Roman" w:eastAsiaTheme="minorEastAsia"/>
                <w:szCs w:val="21"/>
              </w:rPr>
            </w:pPr>
            <w:r>
              <w:rPr>
                <w:rFonts w:ascii="Times New Roman" w:hAnsi="Times New Roman" w:eastAsiaTheme="minorEastAsia"/>
                <w:szCs w:val="21"/>
              </w:rPr>
              <w:t>废水量（万m</w:t>
            </w:r>
            <w:r>
              <w:rPr>
                <w:rFonts w:ascii="Times New Roman" w:hAnsi="Times New Roman" w:eastAsiaTheme="minorEastAsia"/>
                <w:szCs w:val="21"/>
                <w:vertAlign w:val="superscript"/>
              </w:rPr>
              <w:t>3</w:t>
            </w:r>
            <w:r>
              <w:rPr>
                <w:rFonts w:ascii="Times New Roman" w:hAnsi="Times New Roman" w:eastAsiaTheme="minorEastAsia"/>
                <w:szCs w:val="21"/>
              </w:rPr>
              <w:t>/a）</w:t>
            </w:r>
          </w:p>
        </w:tc>
        <w:tc>
          <w:tcPr>
            <w:tcW w:w="1701" w:type="dxa"/>
            <w:vAlign w:val="center"/>
          </w:tcPr>
          <w:p>
            <w:pPr>
              <w:jc w:val="center"/>
              <w:rPr>
                <w:rFonts w:ascii="Times New Roman" w:hAnsi="Times New Roman" w:eastAsiaTheme="minorEastAsia"/>
                <w:szCs w:val="21"/>
              </w:rPr>
            </w:pPr>
            <w:r>
              <w:rPr>
                <w:rFonts w:ascii="Times New Roman" w:hAnsi="Times New Roman" w:eastAsia="等线"/>
                <w:szCs w:val="21"/>
              </w:rPr>
              <w:t>2.208</w:t>
            </w:r>
          </w:p>
        </w:tc>
        <w:tc>
          <w:tcPr>
            <w:tcW w:w="1673" w:type="dxa"/>
            <w:vAlign w:val="center"/>
          </w:tcPr>
          <w:p>
            <w:pPr>
              <w:jc w:val="center"/>
              <w:rPr>
                <w:rFonts w:ascii="Times New Roman" w:hAnsi="Times New Roman" w:eastAsiaTheme="minorEastAsia"/>
                <w:szCs w:val="21"/>
              </w:rPr>
            </w:pPr>
            <w:r>
              <w:rPr>
                <w:rFonts w:ascii="Times New Roman" w:hAnsi="Times New Roman" w:eastAsia="等线"/>
                <w:szCs w:val="21"/>
              </w:rPr>
              <w:t>0.592</w:t>
            </w:r>
          </w:p>
        </w:tc>
        <w:tc>
          <w:tcPr>
            <w:tcW w:w="1467" w:type="dxa"/>
            <w:vAlign w:val="center"/>
          </w:tcPr>
          <w:p>
            <w:pPr>
              <w:jc w:val="center"/>
              <w:rPr>
                <w:rFonts w:ascii="Times New Roman" w:hAnsi="Times New Roman" w:eastAsiaTheme="minorEastAsia"/>
                <w:szCs w:val="21"/>
              </w:rPr>
            </w:pPr>
            <w:r>
              <w:rPr>
                <w:rFonts w:ascii="Times New Roman" w:hAnsi="Times New Roman" w:eastAsia="等线"/>
                <w:szCs w:val="21"/>
              </w:rPr>
              <w:t>1.616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Merge w:val="continue"/>
            <w:vAlign w:val="center"/>
          </w:tcPr>
          <w:p>
            <w:pPr>
              <w:jc w:val="center"/>
              <w:rPr>
                <w:rFonts w:ascii="Times New Roman" w:hAnsi="Times New Roman" w:eastAsiaTheme="minorEastAsia"/>
                <w:szCs w:val="21"/>
              </w:rPr>
            </w:pPr>
          </w:p>
        </w:tc>
        <w:tc>
          <w:tcPr>
            <w:tcW w:w="2551" w:type="dxa"/>
            <w:vAlign w:val="center"/>
          </w:tcPr>
          <w:p>
            <w:pPr>
              <w:jc w:val="center"/>
              <w:rPr>
                <w:rFonts w:ascii="Times New Roman" w:hAnsi="Times New Roman" w:eastAsiaTheme="minorEastAsia"/>
                <w:szCs w:val="21"/>
              </w:rPr>
            </w:pPr>
            <w:r>
              <w:rPr>
                <w:rFonts w:ascii="Times New Roman" w:hAnsi="Times New Roman" w:eastAsiaTheme="minorEastAsia"/>
                <w:szCs w:val="21"/>
              </w:rPr>
              <w:t>COD（t/a）</w:t>
            </w:r>
          </w:p>
        </w:tc>
        <w:tc>
          <w:tcPr>
            <w:tcW w:w="1701" w:type="dxa"/>
            <w:vAlign w:val="center"/>
          </w:tcPr>
          <w:p>
            <w:pPr>
              <w:jc w:val="center"/>
              <w:rPr>
                <w:rFonts w:ascii="Times New Roman" w:hAnsi="Times New Roman" w:eastAsiaTheme="minorEastAsia"/>
                <w:szCs w:val="21"/>
              </w:rPr>
            </w:pPr>
            <w:r>
              <w:rPr>
                <w:rFonts w:ascii="Times New Roman" w:hAnsi="Times New Roman" w:eastAsia="等线"/>
                <w:szCs w:val="21"/>
              </w:rPr>
              <w:t xml:space="preserve">62.87 </w:t>
            </w:r>
          </w:p>
        </w:tc>
        <w:tc>
          <w:tcPr>
            <w:tcW w:w="1673" w:type="dxa"/>
            <w:vAlign w:val="center"/>
          </w:tcPr>
          <w:p>
            <w:pPr>
              <w:jc w:val="center"/>
              <w:rPr>
                <w:rFonts w:ascii="Times New Roman" w:hAnsi="Times New Roman" w:eastAsiaTheme="minorEastAsia"/>
                <w:szCs w:val="21"/>
              </w:rPr>
            </w:pPr>
            <w:r>
              <w:rPr>
                <w:rFonts w:ascii="Times New Roman" w:hAnsi="Times New Roman" w:eastAsia="等线"/>
                <w:szCs w:val="21"/>
              </w:rPr>
              <w:t xml:space="preserve">61.95 </w:t>
            </w:r>
          </w:p>
        </w:tc>
        <w:tc>
          <w:tcPr>
            <w:tcW w:w="1467" w:type="dxa"/>
            <w:vAlign w:val="center"/>
          </w:tcPr>
          <w:p>
            <w:pPr>
              <w:jc w:val="center"/>
              <w:rPr>
                <w:rFonts w:ascii="Times New Roman" w:hAnsi="Times New Roman" w:eastAsiaTheme="minorEastAsia"/>
                <w:szCs w:val="21"/>
              </w:rPr>
            </w:pPr>
            <w:r>
              <w:rPr>
                <w:rFonts w:ascii="Times New Roman" w:hAnsi="Times New Roman" w:eastAsia="等线"/>
                <w:szCs w:val="21"/>
              </w:rPr>
              <w:t xml:space="preserve">0.92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Merge w:val="continue"/>
            <w:vAlign w:val="center"/>
          </w:tcPr>
          <w:p>
            <w:pPr>
              <w:jc w:val="center"/>
              <w:rPr>
                <w:rFonts w:ascii="Times New Roman" w:hAnsi="Times New Roman" w:eastAsiaTheme="minorEastAsia"/>
                <w:szCs w:val="21"/>
              </w:rPr>
            </w:pPr>
          </w:p>
        </w:tc>
        <w:tc>
          <w:tcPr>
            <w:tcW w:w="2551" w:type="dxa"/>
            <w:vAlign w:val="center"/>
          </w:tcPr>
          <w:p>
            <w:pPr>
              <w:jc w:val="center"/>
              <w:rPr>
                <w:rFonts w:ascii="Times New Roman" w:hAnsi="Times New Roman" w:eastAsiaTheme="minorEastAsia"/>
                <w:szCs w:val="21"/>
              </w:rPr>
            </w:pPr>
            <w:r>
              <w:rPr>
                <w:rFonts w:ascii="Times New Roman" w:hAnsi="Times New Roman" w:eastAsiaTheme="minorEastAsia"/>
                <w:szCs w:val="21"/>
              </w:rPr>
              <w:t>NH</w:t>
            </w:r>
            <w:r>
              <w:rPr>
                <w:rFonts w:ascii="Times New Roman" w:hAnsi="Times New Roman" w:eastAsiaTheme="minorEastAsia"/>
                <w:szCs w:val="21"/>
                <w:vertAlign w:val="subscript"/>
              </w:rPr>
              <w:t>3</w:t>
            </w:r>
            <w:r>
              <w:rPr>
                <w:rFonts w:ascii="Times New Roman" w:hAnsi="Times New Roman" w:eastAsiaTheme="minorEastAsia"/>
                <w:szCs w:val="21"/>
              </w:rPr>
              <w:t>-N（t/a）</w:t>
            </w:r>
          </w:p>
        </w:tc>
        <w:tc>
          <w:tcPr>
            <w:tcW w:w="1701" w:type="dxa"/>
            <w:vAlign w:val="center"/>
          </w:tcPr>
          <w:p>
            <w:pPr>
              <w:jc w:val="center"/>
              <w:rPr>
                <w:rFonts w:ascii="Times New Roman" w:hAnsi="Times New Roman" w:eastAsiaTheme="minorEastAsia"/>
                <w:szCs w:val="21"/>
              </w:rPr>
            </w:pPr>
            <w:r>
              <w:rPr>
                <w:rFonts w:ascii="Times New Roman" w:hAnsi="Times New Roman" w:eastAsia="等线"/>
                <w:szCs w:val="21"/>
              </w:rPr>
              <w:t xml:space="preserve">0.07 </w:t>
            </w:r>
          </w:p>
        </w:tc>
        <w:tc>
          <w:tcPr>
            <w:tcW w:w="1673" w:type="dxa"/>
            <w:vAlign w:val="center"/>
          </w:tcPr>
          <w:p>
            <w:pPr>
              <w:jc w:val="center"/>
              <w:rPr>
                <w:rFonts w:ascii="Times New Roman" w:hAnsi="Times New Roman" w:eastAsiaTheme="minorEastAsia"/>
                <w:szCs w:val="21"/>
              </w:rPr>
            </w:pPr>
            <w:r>
              <w:rPr>
                <w:rFonts w:ascii="Times New Roman" w:hAnsi="Times New Roman" w:eastAsia="等线"/>
                <w:szCs w:val="21"/>
              </w:rPr>
              <w:t xml:space="preserve">0.07 </w:t>
            </w:r>
          </w:p>
        </w:tc>
        <w:tc>
          <w:tcPr>
            <w:tcW w:w="1467" w:type="dxa"/>
            <w:vAlign w:val="center"/>
          </w:tcPr>
          <w:p>
            <w:pPr>
              <w:jc w:val="center"/>
              <w:rPr>
                <w:rFonts w:ascii="Times New Roman" w:hAnsi="Times New Roman" w:eastAsiaTheme="minorEastAsia"/>
                <w:szCs w:val="21"/>
              </w:rPr>
            </w:pPr>
            <w:r>
              <w:rPr>
                <w:rFonts w:ascii="Times New Roman" w:hAnsi="Times New Roman" w:eastAsia="等线"/>
                <w:szCs w:val="21"/>
              </w:rPr>
              <w:t xml:space="preserve">0.01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54" w:type="dxa"/>
            <w:vAlign w:val="center"/>
          </w:tcPr>
          <w:p>
            <w:pPr>
              <w:jc w:val="center"/>
              <w:rPr>
                <w:rFonts w:ascii="Times New Roman" w:hAnsi="Times New Roman" w:eastAsiaTheme="minorEastAsia"/>
                <w:szCs w:val="21"/>
              </w:rPr>
            </w:pPr>
            <w:r>
              <w:rPr>
                <w:rFonts w:ascii="Times New Roman" w:hAnsi="Times New Roman" w:eastAsiaTheme="minorEastAsia"/>
                <w:szCs w:val="21"/>
              </w:rPr>
              <w:t>固体废弃物</w:t>
            </w:r>
          </w:p>
        </w:tc>
        <w:tc>
          <w:tcPr>
            <w:tcW w:w="2551" w:type="dxa"/>
            <w:vAlign w:val="center"/>
          </w:tcPr>
          <w:p>
            <w:pPr>
              <w:jc w:val="center"/>
              <w:rPr>
                <w:rFonts w:ascii="Times New Roman" w:hAnsi="Times New Roman" w:eastAsiaTheme="minorEastAsia"/>
                <w:szCs w:val="21"/>
              </w:rPr>
            </w:pPr>
            <w:r>
              <w:rPr>
                <w:rFonts w:ascii="Times New Roman" w:hAnsi="Times New Roman" w:eastAsiaTheme="minorEastAsia"/>
                <w:szCs w:val="21"/>
              </w:rPr>
              <w:t>危险固废（t/a）</w:t>
            </w:r>
          </w:p>
        </w:tc>
        <w:tc>
          <w:tcPr>
            <w:tcW w:w="1701" w:type="dxa"/>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pacing w:val="0"/>
                <w:kern w:val="0"/>
                <w:sz w:val="21"/>
                <w:szCs w:val="21"/>
              </w:rPr>
              <w:t>2.15</w:t>
            </w:r>
          </w:p>
        </w:tc>
        <w:tc>
          <w:tcPr>
            <w:tcW w:w="1673" w:type="dxa"/>
            <w:vAlign w:val="center"/>
          </w:tcPr>
          <w:p>
            <w:pPr>
              <w:pStyle w:val="53"/>
              <w:snapToGrid w:val="0"/>
              <w:spacing w:line="240" w:lineRule="auto"/>
              <w:jc w:val="center"/>
              <w:rPr>
                <w:rFonts w:eastAsiaTheme="minorEastAsia"/>
                <w:b w:val="0"/>
                <w:snapToGrid w:val="0"/>
                <w:spacing w:val="0"/>
                <w:kern w:val="0"/>
                <w:sz w:val="21"/>
                <w:szCs w:val="21"/>
              </w:rPr>
            </w:pPr>
            <w:r>
              <w:rPr>
                <w:rFonts w:eastAsiaTheme="minorEastAsia"/>
                <w:b w:val="0"/>
                <w:spacing w:val="0"/>
                <w:kern w:val="0"/>
                <w:sz w:val="21"/>
                <w:szCs w:val="21"/>
              </w:rPr>
              <w:t>2.15</w:t>
            </w:r>
          </w:p>
        </w:tc>
        <w:tc>
          <w:tcPr>
            <w:tcW w:w="1467" w:type="dxa"/>
            <w:vAlign w:val="center"/>
          </w:tcPr>
          <w:p>
            <w:pPr>
              <w:jc w:val="center"/>
              <w:rPr>
                <w:rFonts w:ascii="Times New Roman" w:hAnsi="Times New Roman" w:eastAsiaTheme="minorEastAsia"/>
                <w:szCs w:val="21"/>
              </w:rPr>
            </w:pPr>
            <w:r>
              <w:rPr>
                <w:rFonts w:ascii="Times New Roman" w:hAnsi="Times New Roman" w:eastAsiaTheme="minorEastAsia"/>
                <w:szCs w:val="21"/>
              </w:rPr>
              <w:t>0</w:t>
            </w:r>
          </w:p>
        </w:tc>
      </w:tr>
    </w:tbl>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3.7  项目清洁生产分析</w:t>
      </w:r>
    </w:p>
    <w:p>
      <w:pPr>
        <w:pStyle w:val="56"/>
      </w:pPr>
      <w:r>
        <w:t>清洁生产是指不断采取改进设计、使用清洁的能源和原料、采用先进的工艺技术与设备、改善管理、综合利用等措施，从源头削减污染，提高资源利用效率，减少或避免生产、服务和产品使用过程中污染物的产生和排放，以减轻或消除对人类健康和环境的危害。</w:t>
      </w:r>
    </w:p>
    <w:p>
      <w:pPr>
        <w:pStyle w:val="56"/>
      </w:pPr>
      <w:r>
        <w:t>根据工程特点，本章将重点从原料和产品、生产工艺及装备水平、过程控制、污染物减排措施、环境管理等方面分析本工程的清洁生产水平。</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.1  原料、产品</w:t>
      </w:r>
    </w:p>
    <w:p>
      <w:pPr>
        <w:pStyle w:val="45"/>
        <w:ind w:firstLine="560"/>
        <w:rPr>
          <w:szCs w:val="28"/>
        </w:rPr>
      </w:pPr>
      <w:r>
        <w:t>项目主要原料是</w:t>
      </w:r>
      <w:r>
        <w:rPr>
          <w:rFonts w:hint="eastAsia"/>
        </w:rPr>
        <w:t>秸秆糖水溶液</w:t>
      </w:r>
      <w:r>
        <w:t>、H</w:t>
      </w:r>
      <w:r>
        <w:rPr>
          <w:vertAlign w:val="subscript"/>
        </w:rPr>
        <w:t>2</w:t>
      </w:r>
      <w:r>
        <w:t>，</w:t>
      </w:r>
      <w:r>
        <w:rPr>
          <w:rFonts w:hint="eastAsia"/>
        </w:rPr>
        <w:t>通过乙二醇合成、乙二醇精馏反应生成乙二醇。</w:t>
      </w:r>
      <w:r>
        <w:t>项目H</w:t>
      </w:r>
      <w:r>
        <w:rPr>
          <w:vertAlign w:val="subscript"/>
        </w:rPr>
        <w:t>2</w:t>
      </w:r>
      <w:r>
        <w:t>来自中原大化公司</w:t>
      </w:r>
      <w:r>
        <w:rPr>
          <w:rFonts w:hint="eastAsia"/>
        </w:rPr>
        <w:t>现有工程</w:t>
      </w:r>
      <w:r>
        <w:t>，不需要储存，直接管道输送，</w:t>
      </w:r>
      <w:r>
        <w:rPr>
          <w:szCs w:val="28"/>
        </w:rPr>
        <w:t>减少了原料运输，符合清洁生产和循环经济的要求。</w:t>
      </w:r>
    </w:p>
    <w:p>
      <w:pPr>
        <w:pStyle w:val="45"/>
        <w:ind w:firstLine="560"/>
      </w:pPr>
      <w:r>
        <w:rPr>
          <w:rFonts w:hint="eastAsia"/>
        </w:rPr>
        <w:t>乙二醇是重要的有机化工原料，主要用于生产苯二甲酸乙二醇酯（</w:t>
      </w:r>
      <w:r>
        <w:t>PET</w:t>
      </w:r>
      <w:r>
        <w:rPr>
          <w:rFonts w:hint="eastAsia"/>
        </w:rPr>
        <w:t>）和防冻剂，还可用于生产不饱和聚酯树脂、润滑剂、增塑剂、表面活性剂、涂料、刹车液等，用途十分广泛。</w:t>
      </w:r>
    </w:p>
    <w:p>
      <w:pPr>
        <w:pStyle w:val="45"/>
        <w:ind w:firstLine="560"/>
        <w:rPr>
          <w:rFonts w:ascii="Arial" w:hAnsi="Arial" w:cs="Arial"/>
          <w:sz w:val="27"/>
          <w:szCs w:val="27"/>
          <w:shd w:val="clear" w:color="auto" w:fill="FFFFFF"/>
        </w:rPr>
      </w:pPr>
      <w:r>
        <w:rPr>
          <w:szCs w:val="28"/>
        </w:rPr>
        <w:t>项目以</w:t>
      </w:r>
      <w:r>
        <w:rPr>
          <w:rFonts w:hint="eastAsia"/>
        </w:rPr>
        <w:t>秸秆糖水溶液</w:t>
      </w:r>
      <w:r>
        <w:t>、H</w:t>
      </w:r>
      <w:r>
        <w:rPr>
          <w:vertAlign w:val="subscript"/>
        </w:rPr>
        <w:t>2</w:t>
      </w:r>
      <w:r>
        <w:rPr>
          <w:szCs w:val="28"/>
        </w:rPr>
        <w:t>为原料，</w:t>
      </w:r>
      <w:r>
        <w:rPr>
          <w:rFonts w:hint="eastAsia"/>
          <w:szCs w:val="28"/>
        </w:rPr>
        <w:t>采用生物质法中试生产</w:t>
      </w:r>
      <w:r>
        <w:rPr>
          <w:szCs w:val="28"/>
        </w:rPr>
        <w:t>乙二醇，</w:t>
      </w:r>
      <w:r>
        <w:rPr>
          <w:rFonts w:hint="eastAsia"/>
          <w:szCs w:val="28"/>
        </w:rPr>
        <w:t>为中原大化后期</w:t>
      </w:r>
      <w:r>
        <w:rPr>
          <w:szCs w:val="28"/>
        </w:rPr>
        <w:t>产业链条延伸</w:t>
      </w:r>
      <w:r>
        <w:rPr>
          <w:rFonts w:hint="eastAsia"/>
          <w:szCs w:val="28"/>
        </w:rPr>
        <w:t>提供技术支撑</w:t>
      </w:r>
      <w:r>
        <w:rPr>
          <w:szCs w:val="28"/>
        </w:rPr>
        <w:t>，符合清洁生产相关要求。</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.2  生产工艺及装备水平</w:t>
      </w:r>
    </w:p>
    <w:p>
      <w:pPr>
        <w:autoSpaceDE w:val="0"/>
        <w:autoSpaceDN w:val="0"/>
        <w:adjustRightInd w:val="0"/>
        <w:spacing w:line="520" w:lineRule="exact"/>
        <w:ind w:firstLine="560" w:firstLineChars="200"/>
        <w:jc w:val="left"/>
        <w:rPr>
          <w:rFonts w:ascii="FZSSJW--GB1-0" w:eastAsia="FZSSJW--GB1-0" w:cs="FZSSJW--GB1-0"/>
          <w:kern w:val="0"/>
          <w:szCs w:val="21"/>
        </w:rPr>
      </w:pPr>
      <w:r>
        <w:rPr>
          <w:rFonts w:ascii="Times New Roman" w:hAnsi="Times New Roman"/>
          <w:sz w:val="28"/>
          <w:szCs w:val="28"/>
        </w:rPr>
        <w:t>目前，我国乙二醇的工业生产方法主要有环氧乙烷直接水合法和煤化工法。</w:t>
      </w:r>
      <w:r>
        <w:rPr>
          <w:rFonts w:hint="eastAsia" w:ascii="Times New Roman" w:hAnsi="Times New Roman"/>
          <w:sz w:val="28"/>
          <w:szCs w:val="28"/>
        </w:rPr>
        <w:t>除此之外，我国还开发出许多合成乙二醇的新技术。</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（1）石油化工路线</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石油化工路线是指首先由石油生产乙烯，再使乙烯氧化生产环氧乙烷，最后由环氧乙烷进行水合反应生产乙二醇的方法，反应式如下：</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kern w:val="0"/>
          <w:sz w:val="28"/>
          <w:szCs w:val="28"/>
        </w:rPr>
        <w:t>H</w:t>
      </w:r>
      <w:r>
        <w:rPr>
          <w:rFonts w:ascii="Times New Roman" w:hAnsi="Times New Roman"/>
          <w:kern w:val="0"/>
          <w:sz w:val="28"/>
          <w:szCs w:val="28"/>
          <w:vertAlign w:val="subscript"/>
        </w:rPr>
        <w:t>2</w:t>
      </w:r>
      <w:r>
        <w:rPr>
          <w:rFonts w:ascii="Times New Roman" w:hAnsi="Times New Roman"/>
          <w:kern w:val="0"/>
          <w:sz w:val="28"/>
          <w:szCs w:val="28"/>
        </w:rPr>
        <w:t>COCH</w:t>
      </w:r>
      <w:r>
        <w:rPr>
          <w:rFonts w:ascii="Times New Roman" w:hAnsi="Times New Roman"/>
          <w:kern w:val="0"/>
          <w:sz w:val="28"/>
          <w:szCs w:val="28"/>
          <w:vertAlign w:val="subscript"/>
        </w:rPr>
        <w:t>2</w:t>
      </w:r>
      <w:r>
        <w:rPr>
          <w:rFonts w:ascii="Times New Roman" w:hAnsi="Times New Roman"/>
          <w:kern w:val="0"/>
          <w:sz w:val="28"/>
          <w:szCs w:val="28"/>
        </w:rPr>
        <w:t>+H</w:t>
      </w:r>
      <w:r>
        <w:rPr>
          <w:rFonts w:ascii="Times New Roman" w:hAnsi="Times New Roman"/>
          <w:kern w:val="0"/>
          <w:sz w:val="28"/>
          <w:szCs w:val="28"/>
          <w:vertAlign w:val="subscript"/>
        </w:rPr>
        <w:t>2</w:t>
      </w:r>
      <w:r>
        <w:rPr>
          <w:rFonts w:ascii="Times New Roman" w:hAnsi="Times New Roman"/>
          <w:kern w:val="0"/>
          <w:sz w:val="28"/>
          <w:szCs w:val="28"/>
        </w:rPr>
        <w:t>O=(CH</w:t>
      </w:r>
      <w:r>
        <w:rPr>
          <w:rFonts w:ascii="Times New Roman" w:hAnsi="Times New Roman"/>
          <w:kern w:val="0"/>
          <w:sz w:val="28"/>
          <w:szCs w:val="28"/>
          <w:vertAlign w:val="subscript"/>
        </w:rPr>
        <w:t>2</w:t>
      </w:r>
      <w:r>
        <w:rPr>
          <w:rFonts w:ascii="Times New Roman" w:hAnsi="Times New Roman"/>
          <w:kern w:val="0"/>
          <w:sz w:val="28"/>
          <w:szCs w:val="28"/>
        </w:rPr>
        <w:t>OH)</w:t>
      </w:r>
      <w:r>
        <w:rPr>
          <w:rFonts w:ascii="Times New Roman" w:hAnsi="Times New Roman"/>
          <w:kern w:val="0"/>
          <w:sz w:val="28"/>
          <w:szCs w:val="28"/>
          <w:vertAlign w:val="subscript"/>
        </w:rPr>
        <w:t>2</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按照环氧乙烷水合反应是否存在催化剂又可以分为环氧乙烷直接水合法和环氧乙烷催化水合法两种。环氧乙烷</w:t>
      </w:r>
      <w:r>
        <w:rPr>
          <w:rFonts w:ascii="Times New Roman" w:hAnsi="Times New Roman"/>
          <w:kern w:val="0"/>
          <w:sz w:val="28"/>
          <w:szCs w:val="28"/>
        </w:rPr>
        <w:t>直接水合法中不使用催化剂，工艺成熟，存在杂质少、乙二醇质量高、无需催化剂分离等优点；但是存在水烷比大，工艺流程长，能耗高，导致生产成本高等缺点。</w:t>
      </w:r>
      <w:r>
        <w:rPr>
          <w:rFonts w:ascii="Times New Roman" w:hAnsi="Times New Roman"/>
          <w:sz w:val="28"/>
          <w:szCs w:val="28"/>
        </w:rPr>
        <w:t>环氧乙烷</w:t>
      </w:r>
      <w:r>
        <w:rPr>
          <w:rFonts w:ascii="Times New Roman" w:hAnsi="Times New Roman"/>
          <w:kern w:val="0"/>
          <w:sz w:val="28"/>
          <w:szCs w:val="28"/>
        </w:rPr>
        <w:t>催化水合工艺大大降低了水烷比，提高了</w:t>
      </w:r>
      <w:r>
        <w:rPr>
          <w:rFonts w:ascii="Times New Roman" w:hAnsi="Times New Roman"/>
          <w:sz w:val="28"/>
          <w:szCs w:val="28"/>
        </w:rPr>
        <w:t>环氧乙烷</w:t>
      </w:r>
      <w:r>
        <w:rPr>
          <w:rFonts w:ascii="Times New Roman" w:hAnsi="Times New Roman"/>
          <w:kern w:val="0"/>
          <w:sz w:val="28"/>
          <w:szCs w:val="28"/>
        </w:rPr>
        <w:t>的转化率和乙二醇的选择性；但在催化剂的制备、再生、寿命、稳定性及乙二醇产品质量等方面仍需改进，且催化剂的存在，增加了相应的设备来分离，使生产成本增加，导致</w:t>
      </w:r>
      <w:r>
        <w:rPr>
          <w:rFonts w:ascii="Times New Roman" w:hAnsi="Times New Roman"/>
          <w:sz w:val="28"/>
          <w:szCs w:val="28"/>
        </w:rPr>
        <w:t>环氧乙烷</w:t>
      </w:r>
      <w:r>
        <w:rPr>
          <w:rFonts w:ascii="Times New Roman" w:hAnsi="Times New Roman"/>
          <w:kern w:val="0"/>
          <w:sz w:val="28"/>
          <w:szCs w:val="28"/>
        </w:rPr>
        <w:t>催化水合法有待更深入研究，距离工业化生产仍有一定距离。</w:t>
      </w:r>
    </w:p>
    <w:p>
      <w:pPr>
        <w:autoSpaceDE w:val="0"/>
        <w:autoSpaceDN w:val="0"/>
        <w:adjustRightInd w:val="0"/>
        <w:spacing w:line="520" w:lineRule="exact"/>
        <w:ind w:firstLine="560" w:firstLineChars="200"/>
        <w:jc w:val="left"/>
        <w:rPr>
          <w:rFonts w:ascii="Times New Roman" w:hAnsi="Times New Roman"/>
          <w:sz w:val="28"/>
          <w:szCs w:val="28"/>
        </w:rPr>
      </w:pPr>
      <w:r>
        <w:rPr>
          <w:rFonts w:ascii="Times New Roman" w:hAnsi="Times New Roman"/>
          <w:sz w:val="28"/>
          <w:szCs w:val="28"/>
        </w:rPr>
        <w:t>（2）煤化工路线</w:t>
      </w:r>
    </w:p>
    <w:p>
      <w:pPr>
        <w:spacing w:line="520" w:lineRule="exact"/>
        <w:ind w:firstLine="560" w:firstLineChars="200"/>
        <w:rPr>
          <w:rFonts w:ascii="Times New Roman" w:hAnsi="Times New Roman"/>
          <w:sz w:val="28"/>
          <w:szCs w:val="28"/>
        </w:rPr>
      </w:pPr>
      <w:r>
        <w:rPr>
          <w:rFonts w:ascii="Times New Roman" w:hAnsi="Times New Roman"/>
          <w:kern w:val="0"/>
          <w:sz w:val="28"/>
          <w:szCs w:val="28"/>
        </w:rPr>
        <w:t>煤化工（合成气）路线首先由煤制合成气，再以合成气中CO和H</w:t>
      </w:r>
      <w:r>
        <w:rPr>
          <w:rFonts w:ascii="Times New Roman" w:hAnsi="Times New Roman"/>
          <w:kern w:val="0"/>
          <w:sz w:val="28"/>
          <w:szCs w:val="28"/>
          <w:vertAlign w:val="subscript"/>
        </w:rPr>
        <w:t>2</w:t>
      </w:r>
      <w:r>
        <w:rPr>
          <w:rFonts w:ascii="Times New Roman" w:hAnsi="Times New Roman"/>
          <w:kern w:val="0"/>
          <w:sz w:val="28"/>
          <w:szCs w:val="28"/>
        </w:rPr>
        <w:t>为原料生产乙二醇的方法，主要有直接合成法和间接合成法两种。</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直接合成法即在催化剂作用和高温高压条件下，CO和H</w:t>
      </w:r>
      <w:r>
        <w:rPr>
          <w:rFonts w:ascii="Times New Roman" w:hAnsi="Times New Roman"/>
          <w:kern w:val="0"/>
          <w:sz w:val="28"/>
          <w:szCs w:val="28"/>
          <w:vertAlign w:val="subscript"/>
        </w:rPr>
        <w:t>2</w:t>
      </w:r>
      <w:r>
        <w:rPr>
          <w:rFonts w:ascii="Times New Roman" w:hAnsi="Times New Roman"/>
          <w:kern w:val="0"/>
          <w:sz w:val="28"/>
          <w:szCs w:val="28"/>
        </w:rPr>
        <w:t>直接反应合成乙二醇的方法，反应式如下：</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2CO+3H</w:t>
      </w:r>
      <w:r>
        <w:rPr>
          <w:rFonts w:ascii="Times New Roman" w:hAnsi="Times New Roman"/>
          <w:kern w:val="0"/>
          <w:sz w:val="28"/>
          <w:szCs w:val="28"/>
          <w:vertAlign w:val="subscript"/>
        </w:rPr>
        <w:t>2</w:t>
      </w:r>
      <w:r>
        <w:rPr>
          <w:rFonts w:ascii="Times New Roman" w:hAnsi="Times New Roman"/>
          <w:kern w:val="0"/>
          <w:sz w:val="28"/>
          <w:szCs w:val="28"/>
        </w:rPr>
        <w:t>→(CH</w:t>
      </w:r>
      <w:r>
        <w:rPr>
          <w:rFonts w:ascii="Times New Roman" w:hAnsi="Times New Roman"/>
          <w:kern w:val="0"/>
          <w:sz w:val="28"/>
          <w:szCs w:val="28"/>
          <w:vertAlign w:val="subscript"/>
        </w:rPr>
        <w:t>2</w:t>
      </w:r>
      <w:r>
        <w:rPr>
          <w:rFonts w:ascii="Times New Roman" w:hAnsi="Times New Roman"/>
          <w:kern w:val="0"/>
          <w:sz w:val="28"/>
          <w:szCs w:val="28"/>
        </w:rPr>
        <w:t>OH)</w:t>
      </w:r>
      <w:r>
        <w:rPr>
          <w:rFonts w:ascii="Times New Roman" w:hAnsi="Times New Roman"/>
          <w:kern w:val="0"/>
          <w:sz w:val="28"/>
          <w:szCs w:val="28"/>
          <w:vertAlign w:val="subscript"/>
        </w:rPr>
        <w:t>2</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直接合成法具有较高的原子利用率，反应过程简单等优点；但存在工艺的反应条件苛刻，对设备的稳定性和安全性要求较高，且催化剂稳定性差，分离困难等问题，离大规模工业化仍有一定距离。</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间接合成法是将合成气制备中间产物，再由中间产物进一步反应制备乙二醇的方法，根据中间产物的不同，可以分为甲醛羰化法、甲醛缩合法、甲醛氢甲酰化法、CO氧化偶联法</w:t>
      </w:r>
      <w:r>
        <w:rPr>
          <w:rFonts w:hint="eastAsia" w:ascii="Times New Roman" w:hAnsi="Times New Roman"/>
          <w:kern w:val="0"/>
          <w:sz w:val="28"/>
          <w:szCs w:val="28"/>
        </w:rPr>
        <w:t>（</w:t>
      </w:r>
      <w:r>
        <w:rPr>
          <w:rFonts w:ascii="Times New Roman" w:hAnsi="Times New Roman"/>
          <w:kern w:val="0"/>
          <w:sz w:val="28"/>
          <w:szCs w:val="28"/>
        </w:rPr>
        <w:t>草酸酯法</w:t>
      </w:r>
      <w:r>
        <w:rPr>
          <w:rFonts w:hint="eastAsia" w:ascii="Times New Roman" w:hAnsi="Times New Roman"/>
          <w:kern w:val="0"/>
          <w:sz w:val="28"/>
          <w:szCs w:val="28"/>
        </w:rPr>
        <w:t>）</w:t>
      </w:r>
      <w:r>
        <w:rPr>
          <w:rFonts w:ascii="Times New Roman" w:hAnsi="Times New Roman"/>
          <w:kern w:val="0"/>
          <w:sz w:val="28"/>
          <w:szCs w:val="28"/>
        </w:rPr>
        <w:t>等。在煤制乙二醇工艺中，一氧化碳氧化偶联工艺已工业化，且是目前关注最多的方法。CO氧化偶联法反应条件相对温和，但催化剂多为贵金属催化剂，成本高；且原料复杂，工艺流程长，工艺副产物较多；同时，反应过程中会生成副产物硝酸，腐蚀设备。</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（3）生物质资源法</w:t>
      </w:r>
    </w:p>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自然界中的碳水化合物，无论是淀粉基的多糖类作物（如玉米、小麦等），还是单糖或多糖类农作物（如甜高粱、菊芋等）均可以作为生物基乙二醇的原料。</w:t>
      </w:r>
      <w:r>
        <w:rPr>
          <w:rFonts w:hint="eastAsia" w:ascii="Times New Roman" w:hAnsi="Times New Roman"/>
          <w:kern w:val="0"/>
          <w:sz w:val="28"/>
          <w:szCs w:val="28"/>
        </w:rPr>
        <w:t>利用生物质资源生产乙二醇，原料来源广泛，不需要消耗大量的氧气</w:t>
      </w:r>
      <w:r>
        <w:rPr>
          <w:rFonts w:hint="eastAsia" w:ascii="Times New Roman" w:hAnsi="Times New Roman"/>
          <w:sz w:val="28"/>
          <w:szCs w:val="28"/>
        </w:rPr>
        <w:t>，污染物排放量较少，属于环境友好技术。</w:t>
      </w:r>
    </w:p>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目前</w:t>
      </w:r>
      <w:r>
        <w:rPr>
          <w:rFonts w:hint="eastAsia" w:ascii="Times New Roman" w:hAnsi="Times New Roman"/>
          <w:kern w:val="0"/>
          <w:sz w:val="28"/>
          <w:szCs w:val="28"/>
        </w:rPr>
        <w:t>石油或天然气基乙烯路线具有水耗大、能耗高等缺点，国内乙烯基路线制乙二醇缺乏竞争力。煤基草酸酯加氢制乙二醇路线具有资源与成本优势，但是产品质量不稳定，不能充分满足下游聚酯企业用户的需求。</w:t>
      </w:r>
      <w:r>
        <w:rPr>
          <w:rFonts w:hint="eastAsia" w:ascii="Times New Roman" w:hAnsi="Times New Roman"/>
          <w:sz w:val="28"/>
          <w:szCs w:val="28"/>
        </w:rPr>
        <w:t>而采用葡萄糖、糖类和淀粉以及木质纤维素等生物质原料合成乙二醇的生化法具有工艺简洁、反应设备简单、操作简便、反应条件温和，同时使用的催化剂廉价易得，对环境污染小、原料可再生等优势越来越受到重视，是一条替代化石能源制备乙二醇的绿色途径。</w:t>
      </w:r>
    </w:p>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项目建设千吨级秸秆糖制乙二醇中试项目，采用秸秆糖水溶液为原料，通过加氢合成和乙二醇精制生产乙二醇，是乙二醇生产的绿色发展路线；且项目为中试实验装置，为后续工业化生产提供技术支撑。</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.3  能源与资源节约</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ascii="Times New Roman" w:hAnsi="Times New Roman" w:eastAsiaTheme="minorEastAsia"/>
          <w:kern w:val="0"/>
          <w:sz w:val="28"/>
          <w:szCs w:val="28"/>
        </w:rPr>
        <w:t>（1）工艺设备</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①</w:t>
      </w:r>
      <w:r>
        <w:rPr>
          <w:rFonts w:ascii="Times New Roman" w:hAnsi="Times New Roman" w:eastAsiaTheme="minorEastAsia"/>
          <w:kern w:val="0"/>
          <w:sz w:val="28"/>
          <w:szCs w:val="28"/>
        </w:rPr>
        <w:t>针对不同的用热设备釆用不同的压力等级的蒸汽。</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②</w:t>
      </w:r>
      <w:r>
        <w:rPr>
          <w:rFonts w:ascii="Times New Roman" w:hAnsi="Times New Roman" w:eastAsiaTheme="minorEastAsia"/>
          <w:kern w:val="0"/>
          <w:sz w:val="28"/>
          <w:szCs w:val="28"/>
        </w:rPr>
        <w:t>对蒸汽冷凝水集中回收后</w:t>
      </w:r>
      <w:r>
        <w:rPr>
          <w:rFonts w:hint="eastAsia" w:ascii="Times New Roman" w:hAnsi="Times New Roman" w:eastAsiaTheme="minorEastAsia"/>
          <w:kern w:val="0"/>
          <w:sz w:val="28"/>
          <w:szCs w:val="28"/>
        </w:rPr>
        <w:t>送现有蒸汽冷凝液系统</w:t>
      </w:r>
      <w:r>
        <w:rPr>
          <w:rFonts w:ascii="Times New Roman" w:hAnsi="Times New Roman" w:eastAsiaTheme="minorEastAsia"/>
          <w:kern w:val="0"/>
          <w:sz w:val="28"/>
          <w:szCs w:val="28"/>
        </w:rPr>
        <w:t>循环利用。</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③</w:t>
      </w:r>
      <w:r>
        <w:rPr>
          <w:rFonts w:ascii="Times New Roman" w:hAnsi="Times New Roman" w:eastAsiaTheme="minorEastAsia"/>
          <w:kern w:val="0"/>
          <w:sz w:val="28"/>
          <w:szCs w:val="28"/>
        </w:rPr>
        <w:t>工艺设备选择时，在满足工艺要求的情况下，考虑选用高效的换热设备、新型的泵与风机等辅助设备。</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ascii="Times New Roman" w:hAnsi="Times New Roman" w:eastAsiaTheme="minorEastAsia"/>
          <w:kern w:val="0"/>
          <w:sz w:val="28"/>
          <w:szCs w:val="28"/>
        </w:rPr>
        <w:t>（2）公辅工程</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①</w:t>
      </w:r>
      <w:r>
        <w:rPr>
          <w:rFonts w:ascii="Times New Roman" w:hAnsi="Times New Roman" w:eastAsiaTheme="minorEastAsia"/>
          <w:kern w:val="0"/>
          <w:sz w:val="28"/>
          <w:szCs w:val="28"/>
        </w:rPr>
        <w:t>按经济流速选择管径；设备及管道布置尽量紧凑合理，减少热散损失和压力损失。</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②</w:t>
      </w:r>
      <w:r>
        <w:rPr>
          <w:rFonts w:ascii="Times New Roman" w:hAnsi="Times New Roman" w:eastAsiaTheme="minorEastAsia"/>
          <w:kern w:val="0"/>
          <w:sz w:val="28"/>
          <w:szCs w:val="28"/>
        </w:rPr>
        <w:t>对供汽管道选择优良的保温绝热材料，并采用优良的保温施工技术</w:t>
      </w:r>
      <w:r>
        <w:rPr>
          <w:rFonts w:ascii="Times New Roman" w:hAnsi="Times New Roman"/>
          <w:b/>
          <w:bCs/>
          <w:sz w:val="28"/>
          <w:szCs w:val="28"/>
        </w:rPr>
        <w:t>，</w:t>
      </w:r>
      <w:r>
        <w:rPr>
          <w:rFonts w:ascii="Times New Roman" w:hAnsi="Times New Roman" w:eastAsiaTheme="minorEastAsia"/>
          <w:kern w:val="0"/>
          <w:sz w:val="28"/>
          <w:szCs w:val="28"/>
        </w:rPr>
        <w:t>以减少散热损失，提高系统热效率。</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hint="eastAsia" w:ascii="宋体" w:hAnsi="宋体" w:cs="宋体"/>
          <w:kern w:val="0"/>
          <w:sz w:val="28"/>
          <w:szCs w:val="28"/>
        </w:rPr>
        <w:t>③</w:t>
      </w:r>
      <w:r>
        <w:rPr>
          <w:rFonts w:ascii="Times New Roman" w:hAnsi="Times New Roman" w:eastAsiaTheme="minorEastAsia"/>
          <w:kern w:val="0"/>
          <w:sz w:val="28"/>
          <w:szCs w:val="28"/>
        </w:rPr>
        <w:t>生产设备的冷却水循环使用，提高循环水的重复利用率</w:t>
      </w:r>
      <w:r>
        <w:rPr>
          <w:rFonts w:ascii="Times New Roman" w:hAnsi="Times New Roman" w:eastAsiaTheme="minorEastAsia"/>
          <w:b/>
          <w:bCs/>
          <w:sz w:val="28"/>
          <w:szCs w:val="28"/>
        </w:rPr>
        <w:t>。</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（3）自动控制系统</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Times New Roman" w:hAnsi="Times New Roman"/>
          <w:kern w:val="0"/>
          <w:sz w:val="28"/>
          <w:szCs w:val="28"/>
        </w:rPr>
        <w:t>项目采用</w:t>
      </w:r>
      <w:r>
        <w:rPr>
          <w:rFonts w:ascii="Times New Roman" w:hAnsi="Times New Roman"/>
          <w:kern w:val="0"/>
          <w:sz w:val="28"/>
          <w:szCs w:val="28"/>
        </w:rPr>
        <w:t>分散型控制系统DCS作为全厂自动化系统的核心</w:t>
      </w:r>
      <w:r>
        <w:rPr>
          <w:rFonts w:hint="eastAsia" w:ascii="Times New Roman" w:hAnsi="Times New Roman"/>
          <w:kern w:val="0"/>
          <w:sz w:val="28"/>
          <w:szCs w:val="28"/>
        </w:rPr>
        <w:t>，</w:t>
      </w:r>
      <w:r>
        <w:rPr>
          <w:rFonts w:ascii="Times New Roman" w:hAnsi="Times New Roman"/>
          <w:kern w:val="0"/>
          <w:sz w:val="28"/>
          <w:szCs w:val="28"/>
        </w:rPr>
        <w:t>用于对全厂所有工艺装置、公用工程装置和辅助设施进行过程监控。全厂各装置的主要工艺数据和控制变量都在DCS上显示、调节、记录和报警，生产过程在DCS操作站上进行集中操作，DCS系统和相关的其它控制系统的实时数据集中在DCS系统中采集，并在数据库中存储。</w:t>
      </w:r>
      <w:r>
        <w:rPr>
          <w:rFonts w:hint="eastAsia" w:ascii="Times New Roman" w:hAnsi="Times New Roman"/>
          <w:kern w:val="0"/>
          <w:sz w:val="28"/>
          <w:szCs w:val="28"/>
        </w:rPr>
        <w:t>工艺操作参数超高、低限，报警联锁系统将按各设备的工艺要求设置，通过</w:t>
      </w:r>
      <w:r>
        <w:rPr>
          <w:rFonts w:ascii="Times New Roman" w:hAnsi="Times New Roman"/>
          <w:kern w:val="0"/>
          <w:sz w:val="28"/>
          <w:szCs w:val="28"/>
        </w:rPr>
        <w:t>DCS</w:t>
      </w:r>
      <w:r>
        <w:rPr>
          <w:rFonts w:hint="eastAsia" w:ascii="Times New Roman" w:hAnsi="Times New Roman"/>
          <w:kern w:val="0"/>
          <w:sz w:val="28"/>
          <w:szCs w:val="28"/>
        </w:rPr>
        <w:t>系统完成。</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ascii="Times New Roman" w:hAnsi="Times New Roman" w:eastAsiaTheme="minorEastAsia"/>
          <w:kern w:val="0"/>
          <w:sz w:val="28"/>
          <w:szCs w:val="28"/>
        </w:rPr>
        <w:t>（4）电气</w:t>
      </w:r>
      <w:r>
        <w:rPr>
          <w:rFonts w:ascii="Times New Roman" w:hAnsi="Times New Roman" w:eastAsiaTheme="minorEastAsia"/>
          <w:b/>
          <w:bCs/>
          <w:sz w:val="28"/>
          <w:szCs w:val="28"/>
        </w:rPr>
        <w:tab/>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宋体" w:hAnsi="宋体" w:cs="宋体"/>
          <w:kern w:val="0"/>
          <w:sz w:val="28"/>
          <w:szCs w:val="28"/>
        </w:rPr>
        <w:t>①</w:t>
      </w:r>
      <w:r>
        <w:rPr>
          <w:rFonts w:ascii="Times New Roman" w:hAnsi="Times New Roman"/>
          <w:kern w:val="0"/>
          <w:sz w:val="28"/>
          <w:szCs w:val="28"/>
        </w:rPr>
        <w:t>电机选用Y系列的节能电机。灯具选用高效节能LED灯；低压电器元件也尽量选用节能的接触器等电气设备。</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宋体" w:hAnsi="宋体" w:cs="宋体"/>
          <w:kern w:val="0"/>
          <w:sz w:val="28"/>
          <w:szCs w:val="28"/>
        </w:rPr>
        <w:t>②</w:t>
      </w:r>
      <w:r>
        <w:rPr>
          <w:rFonts w:ascii="Times New Roman" w:hAnsi="Times New Roman"/>
          <w:kern w:val="0"/>
          <w:sz w:val="28"/>
          <w:szCs w:val="28"/>
        </w:rPr>
        <w:t>选用功率因数高的电机；就地采用无功功率补偿装置，提高功率因数至0.9以上，减少配电线路的损耗。对于灯具也应选用功率因数高的照明灯具，如LED灯具。</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hint="eastAsia" w:ascii="宋体" w:hAnsi="宋体" w:cs="宋体"/>
          <w:kern w:val="0"/>
          <w:sz w:val="28"/>
          <w:szCs w:val="28"/>
        </w:rPr>
        <w:t>③</w:t>
      </w:r>
      <w:r>
        <w:rPr>
          <w:rFonts w:ascii="Times New Roman" w:hAnsi="Times New Roman"/>
          <w:kern w:val="0"/>
          <w:sz w:val="28"/>
          <w:szCs w:val="28"/>
        </w:rPr>
        <w:t>各变电所位置尽可能靠近负荷中心，从配电线路出发，尽量配置最短的路径，以减少配线的长度，尽可能平衡三相负荷，从而降低线损。</w:t>
      </w:r>
    </w:p>
    <w:p>
      <w:pPr>
        <w:pStyle w:val="5"/>
        <w:spacing w:before="0" w:after="0" w:line="520" w:lineRule="exact"/>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.4  过程控制</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ascii="Times New Roman" w:hAnsi="Times New Roman" w:eastAsiaTheme="minorEastAsia"/>
          <w:kern w:val="0"/>
          <w:sz w:val="28"/>
          <w:szCs w:val="28"/>
        </w:rPr>
        <w:t>本项目依据各生产装置的规模、流程特点、操作要求，同时总结了国内同类项目在自动化方面的成功经验，并考虑国内外新型仪表的发展和实际应用，在大部分装置上设置较完善的检测、自动控制系统及必要的信号联锁保护系统。</w:t>
      </w:r>
    </w:p>
    <w:p>
      <w:pPr>
        <w:autoSpaceDE w:val="0"/>
        <w:autoSpaceDN w:val="0"/>
        <w:adjustRightInd w:val="0"/>
        <w:spacing w:line="520" w:lineRule="exact"/>
        <w:ind w:firstLine="560" w:firstLineChars="200"/>
        <w:jc w:val="left"/>
        <w:rPr>
          <w:rFonts w:ascii="Times New Roman" w:hAnsi="Times New Roman" w:eastAsiaTheme="minorEastAsia"/>
          <w:kern w:val="0"/>
          <w:sz w:val="28"/>
          <w:szCs w:val="28"/>
        </w:rPr>
      </w:pPr>
      <w:r>
        <w:rPr>
          <w:rFonts w:ascii="Times New Roman" w:hAnsi="Times New Roman" w:eastAsiaTheme="minorEastAsia"/>
          <w:kern w:val="0"/>
          <w:sz w:val="28"/>
          <w:szCs w:val="28"/>
        </w:rPr>
        <w:t>本项目自控系统采用集散控制系统（DCS)控制；对于安全联锁方面，根据各生产装置不同的特点，重要的安全环境保护、安全仪表系统及关键设备联锁保护设置SIS系统。</w:t>
      </w:r>
    </w:p>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.5  主要污染控制措施</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对污染源采取有效的污染防治技术是清洁生产的重要组成部分，工程对所有污染源均采取了有效治理措施，严格控制污染物的排放量，使工程对环境的影响降低到最小的程度。</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工程在污染控制方面采取的主要控制方案见表</w:t>
      </w:r>
      <w:r>
        <w:rPr>
          <w:rFonts w:hint="eastAsia" w:ascii="Times New Roman" w:hAnsi="Times New Roman" w:eastAsiaTheme="minorEastAsia"/>
          <w:sz w:val="28"/>
          <w:szCs w:val="28"/>
        </w:rPr>
        <w:t>3</w:t>
      </w:r>
      <w:r>
        <w:rPr>
          <w:rFonts w:ascii="Times New Roman" w:hAnsi="Times New Roman" w:eastAsiaTheme="minorEastAsia"/>
          <w:sz w:val="28"/>
          <w:szCs w:val="28"/>
        </w:rPr>
        <w:t>.</w:t>
      </w:r>
      <w:r>
        <w:rPr>
          <w:rFonts w:hint="eastAsia" w:ascii="Times New Roman" w:hAnsi="Times New Roman" w:eastAsiaTheme="minorEastAsia"/>
          <w:sz w:val="28"/>
          <w:szCs w:val="28"/>
        </w:rPr>
        <w:t>7</w:t>
      </w:r>
      <w:r>
        <w:rPr>
          <w:rFonts w:ascii="Times New Roman" w:hAnsi="Times New Roman" w:eastAsiaTheme="minorEastAsia"/>
          <w:sz w:val="28"/>
          <w:szCs w:val="28"/>
        </w:rPr>
        <w:t>-1。</w:t>
      </w:r>
    </w:p>
    <w:p>
      <w:pPr>
        <w:pStyle w:val="32"/>
        <w:ind w:left="851" w:firstLine="0" w:firstLineChars="0"/>
      </w:pPr>
      <w:r>
        <w:t>表</w:t>
      </w:r>
      <w:r>
        <w:rPr>
          <w:rFonts w:hint="eastAsia"/>
        </w:rPr>
        <w:t>3</w:t>
      </w:r>
      <w:r>
        <w:t>.</w:t>
      </w:r>
      <w:r>
        <w:rPr>
          <w:rFonts w:hint="eastAsia"/>
        </w:rPr>
        <w:t>7</w:t>
      </w:r>
      <w:r>
        <w:t>-1              工程主要污染控制措施措施</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3545"/>
        <w:gridCol w:w="438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pPr>
              <w:tabs>
                <w:tab w:val="left" w:pos="425"/>
              </w:tabs>
              <w:jc w:val="center"/>
              <w:rPr>
                <w:b/>
                <w:szCs w:val="21"/>
              </w:rPr>
            </w:pPr>
            <w:r>
              <w:rPr>
                <w:rFonts w:hint="eastAsia"/>
                <w:b/>
                <w:szCs w:val="21"/>
              </w:rPr>
              <w:t>项目</w:t>
            </w:r>
          </w:p>
        </w:tc>
        <w:tc>
          <w:tcPr>
            <w:tcW w:w="3545" w:type="dxa"/>
            <w:shd w:val="clear" w:color="auto" w:fill="auto"/>
            <w:vAlign w:val="center"/>
          </w:tcPr>
          <w:p>
            <w:pPr>
              <w:tabs>
                <w:tab w:val="left" w:pos="425"/>
              </w:tabs>
              <w:jc w:val="center"/>
              <w:rPr>
                <w:b/>
                <w:szCs w:val="21"/>
              </w:rPr>
            </w:pPr>
            <w:r>
              <w:rPr>
                <w:b/>
                <w:szCs w:val="21"/>
              </w:rPr>
              <w:t>污染源</w:t>
            </w:r>
          </w:p>
        </w:tc>
        <w:tc>
          <w:tcPr>
            <w:tcW w:w="4388" w:type="dxa"/>
            <w:shd w:val="clear" w:color="auto" w:fill="auto"/>
            <w:vAlign w:val="center"/>
          </w:tcPr>
          <w:p>
            <w:pPr>
              <w:tabs>
                <w:tab w:val="left" w:pos="425"/>
              </w:tabs>
              <w:jc w:val="center"/>
              <w:rPr>
                <w:b/>
                <w:szCs w:val="21"/>
              </w:rPr>
            </w:pPr>
            <w:r>
              <w:rPr>
                <w:rFonts w:hint="eastAsia"/>
                <w:b/>
                <w:szCs w:val="21"/>
              </w:rPr>
              <w:t>污染治理措施及效果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Merge w:val="restart"/>
            <w:vAlign w:val="center"/>
          </w:tcPr>
          <w:p>
            <w:pPr>
              <w:tabs>
                <w:tab w:val="left" w:pos="425"/>
              </w:tabs>
              <w:jc w:val="center"/>
              <w:rPr>
                <w:szCs w:val="21"/>
              </w:rPr>
            </w:pPr>
            <w:r>
              <w:rPr>
                <w:szCs w:val="21"/>
              </w:rPr>
              <w:t>废气</w:t>
            </w:r>
          </w:p>
        </w:tc>
        <w:tc>
          <w:tcPr>
            <w:tcW w:w="3545" w:type="dxa"/>
            <w:shd w:val="clear" w:color="auto" w:fill="auto"/>
            <w:vAlign w:val="center"/>
          </w:tcPr>
          <w:p>
            <w:pPr>
              <w:pStyle w:val="53"/>
              <w:snapToGrid w:val="0"/>
              <w:spacing w:line="240" w:lineRule="auto"/>
              <w:jc w:val="left"/>
              <w:rPr>
                <w:rFonts w:eastAsia="宋体"/>
                <w:b w:val="0"/>
                <w:snapToGrid w:val="0"/>
                <w:spacing w:val="0"/>
                <w:kern w:val="0"/>
                <w:sz w:val="21"/>
                <w:szCs w:val="21"/>
              </w:rPr>
            </w:pPr>
            <w:r>
              <w:rPr>
                <w:rFonts w:hint="eastAsia" w:eastAsia="宋体"/>
                <w:b w:val="0"/>
                <w:bCs/>
                <w:snapToGrid w:val="0"/>
                <w:spacing w:val="0"/>
                <w:kern w:val="0"/>
                <w:sz w:val="21"/>
                <w:szCs w:val="21"/>
              </w:rPr>
              <w:t>氢气驰放气</w:t>
            </w:r>
          </w:p>
        </w:tc>
        <w:tc>
          <w:tcPr>
            <w:tcW w:w="4388" w:type="dxa"/>
            <w:shd w:val="clear" w:color="auto" w:fill="auto"/>
            <w:vAlign w:val="center"/>
          </w:tcPr>
          <w:p>
            <w:pPr>
              <w:tabs>
                <w:tab w:val="left" w:pos="425"/>
              </w:tabs>
              <w:jc w:val="left"/>
              <w:rPr>
                <w:rFonts w:ascii="Times New Roman" w:hAnsi="Times New Roman"/>
                <w:szCs w:val="21"/>
              </w:rPr>
            </w:pPr>
            <w:r>
              <w:rPr>
                <w:rFonts w:hint="eastAsia" w:ascii="Times New Roman" w:hAnsi="Times New Roman"/>
                <w:szCs w:val="21"/>
              </w:rPr>
              <w:t>送现有工程火炬系统焚烧处理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Merge w:val="continue"/>
            <w:vAlign w:val="center"/>
          </w:tcPr>
          <w:p>
            <w:pPr>
              <w:tabs>
                <w:tab w:val="left" w:pos="425"/>
              </w:tabs>
              <w:jc w:val="center"/>
              <w:rPr>
                <w:szCs w:val="21"/>
              </w:rPr>
            </w:pPr>
          </w:p>
        </w:tc>
        <w:tc>
          <w:tcPr>
            <w:tcW w:w="3545" w:type="dxa"/>
            <w:shd w:val="clear" w:color="auto" w:fill="auto"/>
            <w:vAlign w:val="center"/>
          </w:tcPr>
          <w:p>
            <w:pPr>
              <w:pStyle w:val="53"/>
              <w:snapToGrid w:val="0"/>
              <w:spacing w:line="240" w:lineRule="auto"/>
              <w:jc w:val="left"/>
              <w:rPr>
                <w:rFonts w:eastAsia="宋体"/>
                <w:b w:val="0"/>
                <w:snapToGrid w:val="0"/>
                <w:spacing w:val="0"/>
                <w:kern w:val="0"/>
                <w:sz w:val="21"/>
                <w:szCs w:val="21"/>
              </w:rPr>
            </w:pPr>
            <w:r>
              <w:rPr>
                <w:rFonts w:hint="eastAsia" w:eastAsia="宋体"/>
                <w:b w:val="0"/>
                <w:bCs/>
                <w:kern w:val="0"/>
                <w:sz w:val="21"/>
                <w:szCs w:val="21"/>
              </w:rPr>
              <w:t>闪蒸不凝气</w:t>
            </w:r>
          </w:p>
        </w:tc>
        <w:tc>
          <w:tcPr>
            <w:tcW w:w="4388" w:type="dxa"/>
            <w:shd w:val="clear" w:color="auto" w:fill="auto"/>
            <w:vAlign w:val="center"/>
          </w:tcPr>
          <w:p>
            <w:pPr>
              <w:tabs>
                <w:tab w:val="left" w:pos="425"/>
              </w:tabs>
              <w:jc w:val="left"/>
              <w:rPr>
                <w:rFonts w:ascii="Times New Roman" w:hAnsi="Times New Roman"/>
                <w:szCs w:val="21"/>
              </w:rPr>
            </w:pPr>
            <w:r>
              <w:rPr>
                <w:rFonts w:hint="eastAsia" w:ascii="Times New Roman" w:hAnsi="Times New Roman"/>
                <w:szCs w:val="21"/>
              </w:rPr>
              <w:t>送现有工程火炬系统焚烧处理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Merge w:val="continue"/>
            <w:vAlign w:val="center"/>
          </w:tcPr>
          <w:p>
            <w:pPr>
              <w:tabs>
                <w:tab w:val="left" w:pos="425"/>
              </w:tabs>
              <w:jc w:val="center"/>
              <w:rPr>
                <w:szCs w:val="21"/>
              </w:rPr>
            </w:pPr>
          </w:p>
        </w:tc>
        <w:tc>
          <w:tcPr>
            <w:tcW w:w="3545" w:type="dxa"/>
            <w:shd w:val="clear" w:color="auto" w:fill="auto"/>
            <w:vAlign w:val="center"/>
          </w:tcPr>
          <w:p>
            <w:pPr>
              <w:pStyle w:val="53"/>
              <w:snapToGrid w:val="0"/>
              <w:spacing w:line="240" w:lineRule="auto"/>
              <w:jc w:val="left"/>
              <w:rPr>
                <w:rFonts w:eastAsia="宋体"/>
                <w:b w:val="0"/>
                <w:snapToGrid w:val="0"/>
                <w:spacing w:val="0"/>
                <w:kern w:val="0"/>
                <w:sz w:val="21"/>
                <w:szCs w:val="21"/>
              </w:rPr>
            </w:pPr>
            <w:r>
              <w:rPr>
                <w:rFonts w:eastAsia="宋体"/>
                <w:b w:val="0"/>
                <w:bCs/>
                <w:snapToGrid w:val="0"/>
                <w:spacing w:val="0"/>
                <w:kern w:val="0"/>
                <w:sz w:val="21"/>
                <w:szCs w:val="21"/>
              </w:rPr>
              <w:t>真空</w:t>
            </w:r>
            <w:r>
              <w:rPr>
                <w:rFonts w:hint="eastAsia" w:eastAsia="宋体"/>
                <w:b w:val="0"/>
                <w:bCs/>
                <w:snapToGrid w:val="0"/>
                <w:spacing w:val="0"/>
                <w:kern w:val="0"/>
                <w:sz w:val="21"/>
                <w:szCs w:val="21"/>
              </w:rPr>
              <w:t>泵</w:t>
            </w:r>
            <w:r>
              <w:rPr>
                <w:rFonts w:eastAsia="宋体"/>
                <w:b w:val="0"/>
                <w:bCs/>
                <w:snapToGrid w:val="0"/>
                <w:spacing w:val="0"/>
                <w:kern w:val="0"/>
                <w:sz w:val="21"/>
                <w:szCs w:val="21"/>
              </w:rPr>
              <w:t>尾气</w:t>
            </w:r>
          </w:p>
        </w:tc>
        <w:tc>
          <w:tcPr>
            <w:tcW w:w="4388" w:type="dxa"/>
            <w:shd w:val="clear" w:color="auto" w:fill="auto"/>
            <w:vAlign w:val="center"/>
          </w:tcPr>
          <w:p>
            <w:pPr>
              <w:tabs>
                <w:tab w:val="left" w:pos="425"/>
              </w:tabs>
              <w:jc w:val="left"/>
              <w:rPr>
                <w:rFonts w:ascii="Times New Roman" w:hAnsi="Times New Roman"/>
                <w:szCs w:val="21"/>
              </w:rPr>
            </w:pPr>
            <w:r>
              <w:rPr>
                <w:rFonts w:hint="eastAsia" w:ascii="Times New Roman" w:hAnsi="Times New Roman"/>
                <w:szCs w:val="21"/>
              </w:rPr>
              <w:t>送尾气洗涤塔+活性炭吸附罐净化处理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Merge w:val="restart"/>
            <w:vAlign w:val="center"/>
          </w:tcPr>
          <w:p>
            <w:pPr>
              <w:tabs>
                <w:tab w:val="left" w:pos="425"/>
              </w:tabs>
              <w:jc w:val="center"/>
              <w:rPr>
                <w:szCs w:val="21"/>
              </w:rPr>
            </w:pPr>
            <w:r>
              <w:rPr>
                <w:rFonts w:hint="eastAsia"/>
                <w:szCs w:val="21"/>
              </w:rPr>
              <w:t>废水</w:t>
            </w:r>
          </w:p>
        </w:tc>
        <w:tc>
          <w:tcPr>
            <w:tcW w:w="3545" w:type="dxa"/>
            <w:shd w:val="clear" w:color="auto" w:fill="auto"/>
            <w:vAlign w:val="center"/>
          </w:tcPr>
          <w:p>
            <w:pPr>
              <w:pStyle w:val="34"/>
              <w:jc w:val="left"/>
              <w:rPr>
                <w:b w:val="0"/>
                <w:snapToGrid w:val="0"/>
                <w:kern w:val="0"/>
                <w:szCs w:val="21"/>
              </w:rPr>
            </w:pPr>
            <w:r>
              <w:rPr>
                <w:rFonts w:hint="eastAsia"/>
                <w:b w:val="0"/>
                <w:snapToGrid w:val="0"/>
                <w:kern w:val="0"/>
                <w:szCs w:val="21"/>
              </w:rPr>
              <w:t>尾气洗涤塔外排水、地坪冲洗废水、真空泵废水</w:t>
            </w:r>
          </w:p>
        </w:tc>
        <w:tc>
          <w:tcPr>
            <w:tcW w:w="4388" w:type="dxa"/>
            <w:shd w:val="clear" w:color="auto" w:fill="auto"/>
            <w:vAlign w:val="center"/>
          </w:tcPr>
          <w:p>
            <w:pPr>
              <w:tabs>
                <w:tab w:val="left" w:pos="425"/>
              </w:tabs>
              <w:rPr>
                <w:rFonts w:ascii="Times New Roman" w:hAnsi="Times New Roman"/>
                <w:snapToGrid w:val="0"/>
                <w:kern w:val="0"/>
                <w:szCs w:val="21"/>
              </w:rPr>
            </w:pPr>
            <w:r>
              <w:rPr>
                <w:rFonts w:hint="eastAsia" w:ascii="Times New Roman" w:hAnsi="Times New Roman"/>
                <w:snapToGrid w:val="0"/>
                <w:kern w:val="0"/>
                <w:szCs w:val="21"/>
              </w:rPr>
              <w:t>送厂区现有污水处理站进行处理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Merge w:val="continue"/>
            <w:vAlign w:val="center"/>
          </w:tcPr>
          <w:p>
            <w:pPr>
              <w:tabs>
                <w:tab w:val="left" w:pos="425"/>
              </w:tabs>
              <w:jc w:val="center"/>
              <w:rPr>
                <w:szCs w:val="21"/>
              </w:rPr>
            </w:pPr>
          </w:p>
        </w:tc>
        <w:tc>
          <w:tcPr>
            <w:tcW w:w="3545" w:type="dxa"/>
            <w:shd w:val="clear" w:color="auto" w:fill="auto"/>
            <w:vAlign w:val="center"/>
          </w:tcPr>
          <w:p>
            <w:pPr>
              <w:pStyle w:val="34"/>
              <w:jc w:val="left"/>
              <w:rPr>
                <w:b w:val="0"/>
                <w:snapToGrid w:val="0"/>
                <w:kern w:val="0"/>
                <w:szCs w:val="21"/>
              </w:rPr>
            </w:pPr>
            <w:r>
              <w:rPr>
                <w:rFonts w:hint="eastAsia"/>
                <w:b w:val="0"/>
                <w:snapToGrid w:val="0"/>
                <w:kern w:val="0"/>
                <w:szCs w:val="21"/>
              </w:rPr>
              <w:t>新增</w:t>
            </w:r>
            <w:r>
              <w:rPr>
                <w:b w:val="0"/>
                <w:snapToGrid w:val="0"/>
                <w:kern w:val="0"/>
                <w:szCs w:val="21"/>
              </w:rPr>
              <w:t>循环冷却排污水</w:t>
            </w:r>
            <w:r>
              <w:rPr>
                <w:rFonts w:hint="eastAsia"/>
                <w:b w:val="0"/>
                <w:snapToGrid w:val="0"/>
                <w:kern w:val="0"/>
                <w:szCs w:val="21"/>
              </w:rPr>
              <w:t>、新增</w:t>
            </w:r>
            <w:r>
              <w:rPr>
                <w:b w:val="0"/>
                <w:snapToGrid w:val="0"/>
                <w:kern w:val="0"/>
                <w:szCs w:val="21"/>
              </w:rPr>
              <w:t>脱盐水站排水</w:t>
            </w:r>
          </w:p>
        </w:tc>
        <w:tc>
          <w:tcPr>
            <w:tcW w:w="4388" w:type="dxa"/>
            <w:shd w:val="clear" w:color="auto" w:fill="auto"/>
            <w:vAlign w:val="center"/>
          </w:tcPr>
          <w:p>
            <w:pPr>
              <w:tabs>
                <w:tab w:val="left" w:pos="425"/>
              </w:tabs>
              <w:rPr>
                <w:rFonts w:ascii="Times New Roman" w:hAnsi="Times New Roman"/>
                <w:snapToGrid w:val="0"/>
                <w:kern w:val="0"/>
                <w:szCs w:val="21"/>
              </w:rPr>
            </w:pPr>
            <w:r>
              <w:rPr>
                <w:rFonts w:hint="eastAsia" w:ascii="Times New Roman" w:hAnsi="Times New Roman"/>
                <w:snapToGrid w:val="0"/>
                <w:kern w:val="0"/>
                <w:szCs w:val="21"/>
              </w:rPr>
              <w:t>直接排入濮阳市第二污水处理厂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pPr>
              <w:tabs>
                <w:tab w:val="left" w:pos="425"/>
              </w:tabs>
              <w:jc w:val="center"/>
              <w:rPr>
                <w:szCs w:val="21"/>
              </w:rPr>
            </w:pPr>
            <w:r>
              <w:rPr>
                <w:rFonts w:hint="eastAsia"/>
                <w:szCs w:val="21"/>
              </w:rPr>
              <w:t>噪声</w:t>
            </w:r>
          </w:p>
        </w:tc>
        <w:tc>
          <w:tcPr>
            <w:tcW w:w="3545" w:type="dxa"/>
            <w:shd w:val="clear" w:color="auto" w:fill="auto"/>
            <w:vAlign w:val="center"/>
          </w:tcPr>
          <w:p>
            <w:pPr>
              <w:pStyle w:val="34"/>
              <w:jc w:val="left"/>
              <w:rPr>
                <w:b w:val="0"/>
                <w:snapToGrid w:val="0"/>
                <w:kern w:val="0"/>
                <w:szCs w:val="21"/>
              </w:rPr>
            </w:pPr>
            <w:r>
              <w:rPr>
                <w:b w:val="0"/>
                <w:snapToGrid w:val="0"/>
                <w:kern w:val="0"/>
                <w:szCs w:val="21"/>
              </w:rPr>
              <w:t>各类机泵、</w:t>
            </w:r>
            <w:r>
              <w:rPr>
                <w:rFonts w:hint="eastAsia"/>
                <w:b w:val="0"/>
                <w:snapToGrid w:val="0"/>
                <w:kern w:val="0"/>
                <w:szCs w:val="21"/>
              </w:rPr>
              <w:t>压缩机</w:t>
            </w:r>
          </w:p>
        </w:tc>
        <w:tc>
          <w:tcPr>
            <w:tcW w:w="4388" w:type="dxa"/>
            <w:shd w:val="clear" w:color="auto" w:fill="auto"/>
            <w:vAlign w:val="center"/>
          </w:tcPr>
          <w:p>
            <w:pPr>
              <w:tabs>
                <w:tab w:val="left" w:pos="425"/>
              </w:tabs>
              <w:rPr>
                <w:rFonts w:ascii="Times New Roman" w:hAnsi="Times New Roman"/>
                <w:snapToGrid w:val="0"/>
                <w:kern w:val="0"/>
                <w:szCs w:val="21"/>
              </w:rPr>
            </w:pPr>
            <w:r>
              <w:rPr>
                <w:rFonts w:hint="eastAsia" w:ascii="Times New Roman" w:hAnsi="Times New Roman"/>
                <w:snapToGrid w:val="0"/>
                <w:kern w:val="0"/>
                <w:szCs w:val="21"/>
              </w:rPr>
              <w:t>基础减振、消声、隔声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2" w:type="dxa"/>
            <w:vAlign w:val="center"/>
          </w:tcPr>
          <w:p>
            <w:pPr>
              <w:tabs>
                <w:tab w:val="left" w:pos="425"/>
              </w:tabs>
              <w:jc w:val="center"/>
              <w:rPr>
                <w:szCs w:val="21"/>
              </w:rPr>
            </w:pPr>
            <w:r>
              <w:rPr>
                <w:rFonts w:hint="eastAsia"/>
                <w:szCs w:val="21"/>
              </w:rPr>
              <w:t>固废</w:t>
            </w:r>
          </w:p>
        </w:tc>
        <w:tc>
          <w:tcPr>
            <w:tcW w:w="3545" w:type="dxa"/>
            <w:shd w:val="clear" w:color="auto" w:fill="auto"/>
            <w:vAlign w:val="center"/>
          </w:tcPr>
          <w:p>
            <w:pPr>
              <w:pStyle w:val="34"/>
              <w:jc w:val="left"/>
              <w:rPr>
                <w:b w:val="0"/>
              </w:rPr>
            </w:pPr>
            <w:r>
              <w:rPr>
                <w:rFonts w:hint="eastAsia"/>
                <w:b w:val="0"/>
              </w:rPr>
              <w:t>废催化剂、废活性炭、废润滑油</w:t>
            </w:r>
          </w:p>
        </w:tc>
        <w:tc>
          <w:tcPr>
            <w:tcW w:w="4388" w:type="dxa"/>
            <w:shd w:val="clear" w:color="auto" w:fill="auto"/>
            <w:vAlign w:val="center"/>
          </w:tcPr>
          <w:p>
            <w:pPr>
              <w:tabs>
                <w:tab w:val="left" w:pos="425"/>
              </w:tabs>
              <w:rPr>
                <w:szCs w:val="21"/>
              </w:rPr>
            </w:pPr>
            <w:r>
              <w:rPr>
                <w:rFonts w:hint="eastAsia"/>
                <w:szCs w:val="21"/>
              </w:rPr>
              <w:t>均交由有资质单位安全处置</w:t>
            </w:r>
          </w:p>
        </w:tc>
      </w:tr>
    </w:tbl>
    <w:p>
      <w:pPr>
        <w:pStyle w:val="5"/>
        <w:spacing w:before="0" w:after="0" w:line="52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3.</w:t>
      </w:r>
      <w:r>
        <w:rPr>
          <w:rFonts w:hint="eastAsia" w:ascii="Times New Roman" w:hAnsi="Times New Roman" w:eastAsia="楷体_GB2312"/>
          <w:sz w:val="28"/>
          <w:szCs w:val="28"/>
          <w:lang w:val="en-US" w:eastAsia="zh-CN"/>
        </w:rPr>
        <w:t>7</w:t>
      </w:r>
      <w:r>
        <w:rPr>
          <w:rFonts w:ascii="Times New Roman" w:hAnsi="Times New Roman" w:eastAsia="楷体_GB2312"/>
          <w:sz w:val="28"/>
          <w:szCs w:val="28"/>
          <w:lang w:val="en-US" w:eastAsia="zh-CN"/>
        </w:rPr>
        <w:t>.6  环境管理</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企业管理措施是推行清洁生产的重要手段。由于管理措施一般不涉及生产的工艺过程，花费较少，却可以取得较大的效果。清洁生产要贯穿生产的全过程，落实到公司的各个层次，分解到生产过程的各个环节，并与企业管理紧密地结合起来。实践表明，切实可行的企业管理措施可能削减约40%的污染物，并使生产成本大为降低。</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环境管理应依据清洁生产与末端治理相结合的思路，从生产原料进厂到产品出厂整个过程中对原料使用、能源利用、设备维护、污染治理等方面认真做到严格管理，加强员工清洁生产意识，严格操作规程，杜绝生产过程中不必要的原料及能源设备的损耗，保证清洁生产稳定持续发展，协调社会、经济、环境效益。</w:t>
      </w:r>
    </w:p>
    <w:p>
      <w:pPr>
        <w:pStyle w:val="5"/>
        <w:spacing w:before="0" w:after="0" w:line="520" w:lineRule="exact"/>
        <w:rPr>
          <w:rFonts w:ascii="Times New Roman" w:hAnsi="Times New Roman" w:eastAsia="楷体_GB2312"/>
          <w:sz w:val="28"/>
          <w:szCs w:val="28"/>
          <w:lang w:val="en-US" w:eastAsia="zh-CN"/>
        </w:rPr>
      </w:pP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.7.7  持续清洁生产方案及建议</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清洁生产是一个连续不断的改进企业管理、生产工艺、降低生产成本、提高产品质量和减少对环境污染的长期过程，是企业可持续发展的有效途径。在完成工程清洁生产实施方案后，必须制订下一阶段的清洁生产目标，通过对本项目工艺技术的研究和引进，结合生产实际情况，通过清洁生产水平的不断提高，尽可能地减少原材料用量和能耗，减少污染物的产生和排放，给企业带来更大的社会、环境和经济效益。</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因本项目为中试项目，实验内容完成后工程基本处于闲置或后续拆除状态，运行周期不长，对此，提出的持续清洁生产方案建议主要为以下几点：</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（1）生产管理</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建立健全从原料到产品的全过程管理的规章制度，提高职工的责任心，确保生产全过程安全、稳定、高效运行。各岗位应有完善的技术操作规程、安全规程、设备检修规程。</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（2）废物控制与综合利用</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在对各污染源强实施有效防治的基础上，加强污染防治设施的维护与管理，使设施始终处于良好的运行状态，确保污染源稳定达标排放。</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（3）清洁生产组织和生产制度</w:t>
      </w:r>
    </w:p>
    <w:p>
      <w:pPr>
        <w:spacing w:line="520" w:lineRule="exact"/>
        <w:ind w:firstLine="560" w:firstLineChars="200"/>
        <w:rPr>
          <w:rFonts w:ascii="Times New Roman" w:hAnsi="Times New Roman" w:eastAsiaTheme="minorEastAsia"/>
          <w:sz w:val="28"/>
          <w:szCs w:val="28"/>
        </w:rPr>
      </w:pPr>
      <w:r>
        <w:rPr>
          <w:rFonts w:hint="eastAsia" w:ascii="Times New Roman" w:hAnsi="Times New Roman" w:eastAsiaTheme="minorEastAsia"/>
          <w:sz w:val="28"/>
          <w:szCs w:val="28"/>
        </w:rPr>
        <w:t>依托厂区现有组织机构</w:t>
      </w:r>
      <w:r>
        <w:rPr>
          <w:rFonts w:ascii="Times New Roman" w:hAnsi="Times New Roman" w:eastAsiaTheme="minorEastAsia"/>
          <w:sz w:val="28"/>
          <w:szCs w:val="28"/>
        </w:rPr>
        <w:t>进行清洁生产教育和培训，并负责清洁生产活动的日常管理。同时，企业应把清洁生产纳入考核体系中，以调动全体员工参与清洁生产的积极性、主动性和创造性。</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（4）搞好职工培训工作</w:t>
      </w:r>
    </w:p>
    <w:p>
      <w:pPr>
        <w:spacing w:line="520" w:lineRule="exact"/>
        <w:ind w:firstLine="560" w:firstLineChars="200"/>
        <w:rPr>
          <w:rFonts w:ascii="Times New Roman" w:hAnsi="Times New Roman" w:eastAsiaTheme="minorEastAsia"/>
          <w:sz w:val="28"/>
          <w:szCs w:val="28"/>
        </w:rPr>
      </w:pPr>
      <w:r>
        <w:rPr>
          <w:rFonts w:ascii="Times New Roman" w:hAnsi="Times New Roman" w:eastAsiaTheme="minorEastAsia"/>
          <w:sz w:val="28"/>
          <w:szCs w:val="28"/>
        </w:rPr>
        <w:t>制定合理的培训计划，进行全员清洁生产培训，提高全员清洁生产意识，把清洁生产的责任具体落实到个人，自觉参与清洁生产的各项活动，保证清洁生产方案的落实及清洁生产目标的实现。</w:t>
      </w:r>
    </w:p>
    <w:p>
      <w:pPr>
        <w:pStyle w:val="5"/>
        <w:spacing w:before="0" w:after="0" w:line="520" w:lineRule="exact"/>
        <w:rPr>
          <w:rFonts w:ascii="Times New Roman" w:hAnsi="Times New Roman" w:eastAsia="楷体_GB2312"/>
          <w:sz w:val="28"/>
          <w:szCs w:val="28"/>
          <w:lang w:val="en-US" w:eastAsia="zh-CN"/>
        </w:rPr>
      </w:pPr>
      <w:r>
        <w:rPr>
          <w:rFonts w:hint="eastAsia" w:ascii="Times New Roman" w:hAnsi="Times New Roman" w:eastAsia="楷体_GB2312"/>
          <w:sz w:val="28"/>
          <w:szCs w:val="28"/>
          <w:lang w:val="en-US" w:eastAsia="zh-CN"/>
        </w:rPr>
        <w:t>3</w:t>
      </w:r>
      <w:r>
        <w:rPr>
          <w:rFonts w:ascii="Times New Roman" w:hAnsi="Times New Roman" w:eastAsia="楷体_GB2312"/>
          <w:sz w:val="28"/>
          <w:szCs w:val="28"/>
          <w:lang w:val="en-US" w:eastAsia="zh-CN"/>
        </w:rPr>
        <w:t>.7.8  清洁生产结论</w:t>
      </w:r>
    </w:p>
    <w:p>
      <w:pPr>
        <w:autoSpaceDE w:val="0"/>
        <w:autoSpaceDN w:val="0"/>
        <w:adjustRightInd w:val="0"/>
        <w:spacing w:line="520" w:lineRule="exact"/>
        <w:ind w:firstLine="560" w:firstLineChars="200"/>
        <w:jc w:val="left"/>
        <w:rPr>
          <w:rFonts w:ascii="Times New Roman" w:hAnsi="Times New Roman" w:eastAsiaTheme="minorEastAsia"/>
          <w:sz w:val="28"/>
          <w:szCs w:val="28"/>
        </w:rPr>
      </w:pPr>
      <w:r>
        <w:rPr>
          <w:rFonts w:ascii="Times New Roman" w:hAnsi="Times New Roman" w:eastAsiaTheme="minorEastAsia"/>
          <w:sz w:val="28"/>
          <w:szCs w:val="28"/>
        </w:rPr>
        <w:t>根据本项目生产工艺、装备水平、原辅材料、清洁生产指标等方面的分析结果，评价认为本项目总体可达到国内先进水平，项目</w:t>
      </w:r>
      <w:r>
        <w:rPr>
          <w:rFonts w:hint="eastAsia" w:ascii="Times New Roman" w:hAnsi="Times New Roman" w:eastAsiaTheme="minorEastAsia"/>
          <w:sz w:val="28"/>
          <w:szCs w:val="28"/>
        </w:rPr>
        <w:t>采用</w:t>
      </w:r>
      <w:r>
        <w:rPr>
          <w:rFonts w:hint="eastAsia" w:ascii="Times New Roman" w:hAnsi="Times New Roman"/>
          <w:kern w:val="0"/>
          <w:sz w:val="28"/>
          <w:szCs w:val="28"/>
        </w:rPr>
        <w:t>生物质资源生产乙二醇，</w:t>
      </w:r>
      <w:r>
        <w:rPr>
          <w:rFonts w:ascii="Times New Roman" w:hAnsi="Times New Roman" w:eastAsiaTheme="minorEastAsia"/>
          <w:sz w:val="28"/>
          <w:szCs w:val="28"/>
        </w:rPr>
        <w:t>从生产工艺本身消减污染物的排放量，并对排放的各类污染物采取了有效的污染防治措施，最大限度地减少了污染物产生量，各项固体废物得到妥善处理处置。评价认为只要加强营运后的日常生产管理，按照评价的要求落实清洁生产方案，保证各项环保设施正常运行，既能够满足清洁生产的要求。</w:t>
      </w:r>
    </w:p>
    <w:p>
      <w:pPr>
        <w:spacing w:line="520" w:lineRule="exact"/>
        <w:ind w:firstLine="560" w:firstLineChars="200"/>
        <w:rPr>
          <w:rFonts w:ascii="Times New Roman" w:hAnsi="Times New Roman" w:eastAsiaTheme="minorEastAsia"/>
          <w:sz w:val="28"/>
          <w:szCs w:val="28"/>
        </w:rPr>
      </w:pPr>
    </w:p>
    <w:p/>
    <w:p/>
    <w:p/>
    <w:p/>
    <w:p/>
    <w:p/>
    <w:p/>
    <w:p/>
    <w:p/>
    <w:p/>
    <w:p/>
    <w:p/>
    <w:p/>
    <w:p/>
    <w:p/>
    <w:p/>
    <w:p/>
    <w:p/>
    <w:p/>
    <w:p/>
    <w:p/>
    <w:p/>
    <w:p/>
    <w:p/>
    <w:p/>
    <w:p/>
    <w:p/>
    <w:p/>
    <w:p/>
    <w:p/>
    <w:p/>
    <w:p/>
    <w:p/>
    <w:p/>
    <w:p/>
    <w:p>
      <w:pPr>
        <w:pStyle w:val="3"/>
        <w:numPr>
          <w:ilvl w:val="0"/>
          <w:numId w:val="3"/>
        </w:numPr>
        <w:jc w:val="center"/>
        <w:rPr>
          <w:rFonts w:eastAsia="黑体"/>
        </w:rPr>
      </w:pPr>
      <w:bookmarkStart w:id="89" w:name="_Toc314323634"/>
      <w:r>
        <w:rPr>
          <w:rFonts w:hint="eastAsia" w:eastAsia="黑体"/>
        </w:rPr>
        <w:t xml:space="preserve"> </w:t>
      </w:r>
      <w:r>
        <w:rPr>
          <w:rFonts w:eastAsia="黑体"/>
        </w:rPr>
        <w:t>环境质量现状监测与评价</w:t>
      </w:r>
      <w:bookmarkEnd w:id="89"/>
    </w:p>
    <w:p>
      <w:pPr>
        <w:pStyle w:val="4"/>
        <w:numPr>
          <w:ilvl w:val="0"/>
          <w:numId w:val="0"/>
        </w:numPr>
        <w:adjustRightInd w:val="0"/>
        <w:snapToGrid w:val="0"/>
        <w:spacing w:before="0" w:after="0" w:line="520" w:lineRule="exact"/>
        <w:rPr>
          <w:rFonts w:ascii="Times New Roman" w:hAnsi="Times New Roman"/>
          <w:sz w:val="28"/>
          <w:szCs w:val="22"/>
        </w:rPr>
      </w:pPr>
      <w:r>
        <w:rPr>
          <w:rFonts w:ascii="Times New Roman" w:hAnsi="Times New Roman"/>
          <w:sz w:val="28"/>
          <w:szCs w:val="22"/>
        </w:rPr>
        <w:t>4.1 自然环境</w:t>
      </w:r>
      <w:r>
        <w:rPr>
          <w:rFonts w:hint="eastAsia" w:ascii="Times New Roman" w:hAnsi="Times New Roman"/>
          <w:sz w:val="28"/>
          <w:szCs w:val="22"/>
        </w:rPr>
        <w:t>现状调查与评价</w:t>
      </w:r>
    </w:p>
    <w:p>
      <w:pPr>
        <w:pStyle w:val="5"/>
        <w:adjustRightInd w:val="0"/>
        <w:snapToGrid w:val="0"/>
        <w:spacing w:before="0" w:after="0" w:line="520" w:lineRule="exact"/>
        <w:rPr>
          <w:rFonts w:eastAsia="楷体_GB2312"/>
          <w:sz w:val="28"/>
          <w:szCs w:val="22"/>
        </w:rPr>
      </w:pPr>
      <w:r>
        <w:rPr>
          <w:rFonts w:eastAsia="楷体_GB2312"/>
          <w:sz w:val="28"/>
          <w:szCs w:val="22"/>
        </w:rPr>
        <w:t xml:space="preserve">4.1.1 </w:t>
      </w:r>
      <w:r>
        <w:rPr>
          <w:rFonts w:hint="eastAsia" w:eastAsia="楷体_GB2312"/>
          <w:sz w:val="28"/>
          <w:szCs w:val="22"/>
        </w:rPr>
        <w:t>地理位置</w:t>
      </w:r>
    </w:p>
    <w:p>
      <w:pPr>
        <w:pStyle w:val="27"/>
        <w:ind w:firstLine="560"/>
        <w:rPr>
          <w:kern w:val="0"/>
          <w:szCs w:val="28"/>
        </w:rPr>
      </w:pPr>
      <w:r>
        <w:rPr>
          <w:rFonts w:hint="eastAsia"/>
          <w:kern w:val="0"/>
          <w:szCs w:val="28"/>
        </w:rPr>
        <w:t>濮阳市位于河南省的东北部，黄河下游北岸，冀、鲁、豫三省交界处。东北部与山东省的聊城毗邻，东、南部与山东省济宁、菏泽隔河相望，西南部与河南省的新乡市相倚，西部与河南省的安阳市，北部与河北省的邯郸市相连。地处北</w:t>
      </w:r>
      <w:r>
        <w:rPr>
          <w:kern w:val="0"/>
          <w:szCs w:val="28"/>
        </w:rPr>
        <w:t>纬35°20´0"</w:t>
      </w:r>
      <w:r>
        <w:t>～</w:t>
      </w:r>
      <w:r>
        <w:rPr>
          <w:kern w:val="0"/>
          <w:szCs w:val="28"/>
        </w:rPr>
        <w:t>36°12´23"之间</w:t>
      </w:r>
      <w:r>
        <w:rPr>
          <w:rFonts w:hint="eastAsia"/>
          <w:kern w:val="0"/>
          <w:szCs w:val="28"/>
        </w:rPr>
        <w:t>，东经</w:t>
      </w:r>
      <w:r>
        <w:rPr>
          <w:kern w:val="0"/>
          <w:szCs w:val="28"/>
        </w:rPr>
        <w:t>114°52´0"</w:t>
      </w:r>
      <w:r>
        <w:t>～</w:t>
      </w:r>
      <w:r>
        <w:rPr>
          <w:kern w:val="0"/>
          <w:szCs w:val="28"/>
        </w:rPr>
        <w:t>116°5´4"之间；东西长125公</w:t>
      </w:r>
      <w:r>
        <w:rPr>
          <w:rFonts w:hint="eastAsia"/>
          <w:kern w:val="0"/>
          <w:szCs w:val="28"/>
        </w:rPr>
        <w:t>里，南北宽100公里。全市土地面积4188km</w:t>
      </w:r>
      <w:r>
        <w:rPr>
          <w:rFonts w:hint="eastAsia"/>
          <w:kern w:val="0"/>
          <w:szCs w:val="28"/>
          <w:vertAlign w:val="superscript"/>
        </w:rPr>
        <w:t>2</w:t>
      </w:r>
      <w:r>
        <w:rPr>
          <w:rFonts w:hint="eastAsia"/>
          <w:kern w:val="0"/>
          <w:szCs w:val="28"/>
        </w:rPr>
        <w:t>，约占全省土地面积的2.57%，其中耕地面积24.62万公顷。</w:t>
      </w:r>
    </w:p>
    <w:p>
      <w:pPr>
        <w:pStyle w:val="27"/>
        <w:ind w:firstLine="560"/>
        <w:rPr>
          <w:kern w:val="0"/>
          <w:szCs w:val="28"/>
        </w:rPr>
      </w:pPr>
      <w:r>
        <w:rPr>
          <w:rFonts w:hint="eastAsia"/>
          <w:kern w:val="0"/>
          <w:szCs w:val="28"/>
        </w:rPr>
        <w:t>濮阳经济技术产业集聚区位于濮阳市西北部，北面紧邻清丰县，东、南部与华龙区和濮阳县相连，西面与内黄县接壤，是河南省政府批准的全省首批175个产业集聚区之一，其范围包括化工一路以西、濮西路以北、中原路以南、货栈路以东区域，规划总面积19.5平方公里。</w:t>
      </w:r>
    </w:p>
    <w:p>
      <w:pPr>
        <w:pStyle w:val="27"/>
        <w:ind w:firstLine="560"/>
        <w:rPr>
          <w:kern w:val="0"/>
          <w:szCs w:val="28"/>
        </w:rPr>
      </w:pPr>
      <w:r>
        <w:rPr>
          <w:rFonts w:hint="eastAsia"/>
          <w:kern w:val="0"/>
          <w:szCs w:val="28"/>
        </w:rPr>
        <w:t>河南省中原大化集团有限责任公司位于濮阳经济技术产业集聚区内，厂区北邻石化西路，西为濮阳永金乙二醇项目及农田，东邻西环路，南临汤濮铁路。本项目位于河南省中原大化集团有限责任公司厂区西北角，紧临中原大化1000t/a MMA中试项目，</w:t>
      </w:r>
      <w:r>
        <w:rPr>
          <w:kern w:val="0"/>
          <w:szCs w:val="28"/>
        </w:rPr>
        <w:t>项目地理位置图详见附图1。</w:t>
      </w:r>
    </w:p>
    <w:p>
      <w:pPr>
        <w:pStyle w:val="5"/>
        <w:adjustRightInd w:val="0"/>
        <w:snapToGrid w:val="0"/>
        <w:spacing w:before="0" w:after="0" w:line="520" w:lineRule="exact"/>
        <w:rPr>
          <w:rFonts w:eastAsia="楷体_GB2312"/>
          <w:sz w:val="28"/>
          <w:szCs w:val="22"/>
        </w:rPr>
      </w:pPr>
      <w:r>
        <w:rPr>
          <w:rFonts w:eastAsia="楷体_GB2312"/>
          <w:sz w:val="28"/>
          <w:szCs w:val="22"/>
        </w:rPr>
        <w:t>4.1.</w:t>
      </w:r>
      <w:r>
        <w:rPr>
          <w:rFonts w:hint="eastAsia" w:eastAsia="楷体_GB2312"/>
          <w:sz w:val="28"/>
          <w:szCs w:val="22"/>
        </w:rPr>
        <w:t>2</w:t>
      </w:r>
      <w:r>
        <w:rPr>
          <w:rFonts w:eastAsia="楷体_GB2312"/>
          <w:sz w:val="28"/>
          <w:szCs w:val="22"/>
        </w:rPr>
        <w:t xml:space="preserve"> 地形地貌</w:t>
      </w:r>
    </w:p>
    <w:p>
      <w:pPr>
        <w:pStyle w:val="27"/>
        <w:ind w:firstLine="560"/>
        <w:rPr>
          <w:kern w:val="0"/>
          <w:szCs w:val="28"/>
        </w:rPr>
      </w:pPr>
      <w:r>
        <w:rPr>
          <w:rFonts w:hint="eastAsia"/>
          <w:kern w:val="0"/>
          <w:szCs w:val="28"/>
        </w:rPr>
        <w:t>濮阳市地处黄河下游冲击平原上，地形平坦开阔，地势自西南向东北略有倾斜，南北坡降为1/5000～1/6000，东西坡降为1/6000～1/8000，海拔高度为48～57m。濮阳市地貌类型比较简单，地表下15m范围内均为新近冲击的松散沉积物。根据地貌形态和成因，城区范围又分为三种工程地质单元，即黄河故道、古黄河漫滩、古黄河泛流平原工程地质区。</w:t>
      </w:r>
    </w:p>
    <w:p>
      <w:pPr>
        <w:pStyle w:val="27"/>
        <w:ind w:firstLine="560"/>
        <w:rPr>
          <w:kern w:val="0"/>
          <w:szCs w:val="28"/>
        </w:rPr>
      </w:pPr>
      <w:r>
        <w:rPr>
          <w:rFonts w:hint="eastAsia"/>
          <w:kern w:val="0"/>
          <w:szCs w:val="28"/>
        </w:rPr>
        <w:t>本项目所在的濮阳经济技术产业集聚区位于濮阳市西部，系我国地貌第三级阶梯的中后部，海拔高度52</w:t>
      </w:r>
      <w:r>
        <w:t>～</w:t>
      </w:r>
      <w:r>
        <w:rPr>
          <w:rFonts w:hint="eastAsia"/>
          <w:kern w:val="0"/>
          <w:szCs w:val="28"/>
        </w:rPr>
        <w:t>57m。大地构造属华北地台，位于东濮凹陷之上。东濮凹陷形成过程中，在古生界基岩上，沉积了一套古生界以下第三系为主的中、新生界陆相沙泥岩地层。</w:t>
      </w:r>
    </w:p>
    <w:p>
      <w:pPr>
        <w:pStyle w:val="5"/>
        <w:adjustRightInd w:val="0"/>
        <w:snapToGrid w:val="0"/>
        <w:spacing w:before="0" w:after="0" w:line="520" w:lineRule="exact"/>
        <w:rPr>
          <w:rFonts w:eastAsia="楷体_GB2312"/>
          <w:sz w:val="28"/>
          <w:szCs w:val="22"/>
        </w:rPr>
      </w:pPr>
      <w:r>
        <w:rPr>
          <w:rFonts w:eastAsia="楷体_GB2312"/>
          <w:sz w:val="28"/>
          <w:szCs w:val="22"/>
        </w:rPr>
        <w:t>4.1.</w:t>
      </w:r>
      <w:r>
        <w:rPr>
          <w:rFonts w:hint="eastAsia" w:eastAsia="楷体_GB2312"/>
          <w:sz w:val="28"/>
          <w:szCs w:val="22"/>
        </w:rPr>
        <w:t>3</w:t>
      </w:r>
      <w:r>
        <w:rPr>
          <w:rFonts w:eastAsia="楷体_GB2312"/>
          <w:sz w:val="28"/>
          <w:szCs w:val="22"/>
        </w:rPr>
        <w:t xml:space="preserve"> 地质条件及地震烈度</w:t>
      </w:r>
    </w:p>
    <w:p>
      <w:pPr>
        <w:pStyle w:val="27"/>
        <w:ind w:firstLine="560"/>
        <w:rPr>
          <w:kern w:val="0"/>
          <w:szCs w:val="28"/>
        </w:rPr>
      </w:pPr>
      <w:r>
        <w:rPr>
          <w:rFonts w:hint="eastAsia"/>
          <w:kern w:val="0"/>
          <w:szCs w:val="28"/>
        </w:rPr>
        <w:t>濮阳市地表均为第四纪冲击松散沉积物覆盖，主要土层为粉土、砂土及粘土。地层岩组类型单一，属简单场地。濮阳经济技术产业集聚区属于黄河故道工程地质区，土质为粘性土(土层深19m以上)和沙层粘土(土层深29m以下)。此区地基属中等压缩性，承载力为8</w:t>
      </w:r>
      <w:r>
        <w:t>～</w:t>
      </w:r>
      <w:r>
        <w:rPr>
          <w:rFonts w:hint="eastAsia"/>
          <w:kern w:val="0"/>
          <w:szCs w:val="28"/>
        </w:rPr>
        <w:t>25t/m</w:t>
      </w:r>
      <w:r>
        <w:rPr>
          <w:rFonts w:hint="eastAsia"/>
          <w:kern w:val="0"/>
          <w:szCs w:val="28"/>
          <w:vertAlign w:val="superscript"/>
        </w:rPr>
        <w:t>2</w:t>
      </w:r>
      <w:r>
        <w:rPr>
          <w:rFonts w:hint="eastAsia"/>
          <w:kern w:val="0"/>
          <w:szCs w:val="28"/>
        </w:rPr>
        <w:t>。</w:t>
      </w:r>
    </w:p>
    <w:p>
      <w:pPr>
        <w:pStyle w:val="27"/>
        <w:ind w:firstLine="560"/>
        <w:rPr>
          <w:kern w:val="0"/>
          <w:szCs w:val="28"/>
        </w:rPr>
      </w:pPr>
      <w:r>
        <w:rPr>
          <w:rFonts w:hint="eastAsia"/>
          <w:kern w:val="0"/>
          <w:szCs w:val="28"/>
        </w:rPr>
        <w:t>濮阳市地处华北地震区南部，聊兰地震带中段，位于国家确定的冀鲁豫地震重点监视防御区之内。区内地质构造复杂，活动断裂发育，地震频度较高，全度较大。濮阳市及邻区基底断裂构造频繁活动，常有地震波及。按国家地震局颁布的地震烈度区划图，濮阳市域基本烈度分为7度和8度区，本项目所在的濮阳经济技术产业集聚区地震烈度为8度。</w:t>
      </w:r>
    </w:p>
    <w:p>
      <w:pPr>
        <w:pStyle w:val="5"/>
        <w:adjustRightInd w:val="0"/>
        <w:snapToGrid w:val="0"/>
        <w:spacing w:before="0" w:after="0" w:line="520" w:lineRule="exact"/>
        <w:rPr>
          <w:rFonts w:eastAsia="楷体_GB2312"/>
          <w:sz w:val="28"/>
          <w:szCs w:val="22"/>
        </w:rPr>
      </w:pPr>
      <w:r>
        <w:rPr>
          <w:rFonts w:hint="eastAsia" w:eastAsia="楷体_GB2312"/>
          <w:sz w:val="28"/>
          <w:szCs w:val="22"/>
        </w:rPr>
        <w:t>4.1.4 水文特征</w:t>
      </w:r>
    </w:p>
    <w:p>
      <w:pPr>
        <w:pStyle w:val="33"/>
      </w:pPr>
      <w:r>
        <w:rPr>
          <w:rFonts w:hint="eastAsia"/>
        </w:rPr>
        <w:t xml:space="preserve">4.1.4.1 </w:t>
      </w:r>
      <w:r>
        <w:t>地表水资源</w:t>
      </w:r>
    </w:p>
    <w:p>
      <w:pPr>
        <w:pStyle w:val="27"/>
        <w:ind w:firstLine="560"/>
        <w:rPr>
          <w:kern w:val="0"/>
          <w:szCs w:val="28"/>
        </w:rPr>
      </w:pPr>
      <w:r>
        <w:rPr>
          <w:rFonts w:hint="eastAsia"/>
          <w:kern w:val="0"/>
          <w:szCs w:val="28"/>
        </w:rPr>
        <w:t>濮阳市内主要有金堤河、马颊河、潴龙河、濮水河等河渠及南小堤干渠等，其中金堤河属黄河水系，其余河流均属海河水系。</w:t>
      </w:r>
    </w:p>
    <w:p>
      <w:pPr>
        <w:pStyle w:val="27"/>
        <w:ind w:firstLine="560"/>
        <w:rPr>
          <w:kern w:val="0"/>
          <w:szCs w:val="28"/>
        </w:rPr>
      </w:pPr>
      <w:r>
        <w:rPr>
          <w:rFonts w:hint="eastAsia"/>
          <w:kern w:val="0"/>
          <w:szCs w:val="28"/>
        </w:rPr>
        <w:t>（1）金堤河</w:t>
      </w:r>
    </w:p>
    <w:p>
      <w:pPr>
        <w:pStyle w:val="27"/>
        <w:ind w:firstLine="560"/>
        <w:rPr>
          <w:kern w:val="0"/>
          <w:szCs w:val="28"/>
        </w:rPr>
      </w:pPr>
      <w:r>
        <w:rPr>
          <w:rFonts w:hint="eastAsia"/>
          <w:kern w:val="0"/>
          <w:szCs w:val="28"/>
        </w:rPr>
        <w:t>流经濮阳市南部，源于新乡荆张庄，于台前张庄入黄河。濮阳境内长度10km，河宽50～100m，纵向坡降0.1‰，据濮阳水文站观测资料，丰水年（1963）径流量7.044×108m</w:t>
      </w:r>
      <w:r>
        <w:rPr>
          <w:rFonts w:hint="eastAsia"/>
          <w:kern w:val="0"/>
          <w:szCs w:val="28"/>
          <w:vertAlign w:val="superscript"/>
        </w:rPr>
        <w:t>3</w:t>
      </w:r>
      <w:r>
        <w:rPr>
          <w:rFonts w:hint="eastAsia"/>
          <w:kern w:val="0"/>
          <w:szCs w:val="28"/>
        </w:rPr>
        <w:t>，枯水年（1966年）径流量0.13×108m</w:t>
      </w:r>
      <w:r>
        <w:rPr>
          <w:rFonts w:hint="eastAsia"/>
          <w:kern w:val="0"/>
          <w:szCs w:val="28"/>
          <w:vertAlign w:val="superscript"/>
        </w:rPr>
        <w:t>3</w:t>
      </w:r>
      <w:r>
        <w:rPr>
          <w:rFonts w:hint="eastAsia"/>
          <w:kern w:val="0"/>
          <w:szCs w:val="28"/>
        </w:rPr>
        <w:t>，多年平均径流量2.486×108m</w:t>
      </w:r>
      <w:r>
        <w:rPr>
          <w:rFonts w:hint="eastAsia"/>
          <w:kern w:val="0"/>
          <w:szCs w:val="28"/>
          <w:vertAlign w:val="superscript"/>
        </w:rPr>
        <w:t>3</w:t>
      </w:r>
      <w:r>
        <w:rPr>
          <w:rFonts w:hint="eastAsia"/>
          <w:kern w:val="0"/>
          <w:szCs w:val="28"/>
        </w:rPr>
        <w:t>/a。</w:t>
      </w:r>
    </w:p>
    <w:p>
      <w:pPr>
        <w:pStyle w:val="27"/>
        <w:ind w:firstLine="560"/>
        <w:rPr>
          <w:kern w:val="0"/>
          <w:szCs w:val="28"/>
        </w:rPr>
      </w:pPr>
      <w:r>
        <w:rPr>
          <w:rFonts w:hint="eastAsia"/>
          <w:kern w:val="0"/>
          <w:szCs w:val="28"/>
        </w:rPr>
        <w:t>（2）马颊河</w:t>
      </w:r>
    </w:p>
    <w:p>
      <w:pPr>
        <w:pStyle w:val="27"/>
        <w:ind w:firstLine="560"/>
        <w:rPr>
          <w:kern w:val="0"/>
          <w:szCs w:val="28"/>
        </w:rPr>
      </w:pPr>
      <w:r>
        <w:rPr>
          <w:rFonts w:hint="eastAsia"/>
          <w:kern w:val="0"/>
          <w:szCs w:val="28"/>
        </w:rPr>
        <w:t>发源于濮阳县城关金堤闸首，向北经市区、清丰、南乐于山东埕口入渤海湾，境内全长62.3km。一年内绝大部分时间有水，实测流量4.65m</w:t>
      </w:r>
      <w:r>
        <w:rPr>
          <w:rFonts w:hint="eastAsia"/>
          <w:kern w:val="0"/>
          <w:szCs w:val="28"/>
          <w:vertAlign w:val="superscript"/>
        </w:rPr>
        <w:t>3</w:t>
      </w:r>
      <w:r>
        <w:rPr>
          <w:rFonts w:hint="eastAsia"/>
          <w:kern w:val="0"/>
          <w:szCs w:val="28"/>
        </w:rPr>
        <w:t>/s，在1～2月出现短暂的断流。马颊河进入濮阳县城以后，濮阳县及濮阳市区的污水均汇入此河中，其流量受污水排入量的影响，据测流资料，市区及濮阳县排入的污水流量为2.31m</w:t>
      </w:r>
      <w:r>
        <w:rPr>
          <w:rFonts w:hint="eastAsia"/>
          <w:kern w:val="0"/>
          <w:szCs w:val="28"/>
          <w:vertAlign w:val="superscript"/>
        </w:rPr>
        <w:t>3</w:t>
      </w:r>
      <w:r>
        <w:rPr>
          <w:rFonts w:hint="eastAsia"/>
          <w:kern w:val="0"/>
          <w:szCs w:val="28"/>
        </w:rPr>
        <w:t>/s。</w:t>
      </w:r>
    </w:p>
    <w:p>
      <w:pPr>
        <w:pStyle w:val="27"/>
        <w:ind w:firstLine="560"/>
        <w:rPr>
          <w:kern w:val="0"/>
          <w:szCs w:val="28"/>
        </w:rPr>
      </w:pPr>
      <w:r>
        <w:rPr>
          <w:rFonts w:hint="eastAsia"/>
          <w:kern w:val="0"/>
          <w:szCs w:val="28"/>
        </w:rPr>
        <w:t>（3）潴龙河</w:t>
      </w:r>
    </w:p>
    <w:p>
      <w:pPr>
        <w:pStyle w:val="27"/>
        <w:ind w:firstLine="560"/>
        <w:rPr>
          <w:kern w:val="0"/>
          <w:szCs w:val="28"/>
        </w:rPr>
      </w:pPr>
      <w:r>
        <w:rPr>
          <w:rFonts w:hint="eastAsia"/>
          <w:kern w:val="0"/>
          <w:szCs w:val="28"/>
        </w:rPr>
        <w:t>发源于市区岳村乡，在南乐县汇入马颊河，全长68.4km，属季节性河流，流量小，部分河段干枯、断流。</w:t>
      </w:r>
    </w:p>
    <w:p>
      <w:pPr>
        <w:pStyle w:val="27"/>
        <w:ind w:firstLine="560"/>
        <w:rPr>
          <w:kern w:val="0"/>
          <w:szCs w:val="28"/>
        </w:rPr>
      </w:pPr>
      <w:r>
        <w:rPr>
          <w:rFonts w:hint="eastAsia"/>
          <w:kern w:val="0"/>
          <w:szCs w:val="28"/>
        </w:rPr>
        <w:t>（4）濮水河</w:t>
      </w:r>
    </w:p>
    <w:p>
      <w:pPr>
        <w:pStyle w:val="27"/>
        <w:ind w:firstLine="560"/>
        <w:rPr>
          <w:kern w:val="0"/>
          <w:szCs w:val="28"/>
        </w:rPr>
      </w:pPr>
      <w:r>
        <w:rPr>
          <w:rFonts w:hint="eastAsia"/>
          <w:kern w:val="0"/>
          <w:szCs w:val="28"/>
        </w:rPr>
        <w:t>发源于市区王助乡黄甫林场东，经市区汇入马颊河，全长20km。1999年以前称赵北沟，河水主要是生活、工业废水，平均流量0.442m</w:t>
      </w:r>
      <w:r>
        <w:rPr>
          <w:rFonts w:hint="eastAsia"/>
          <w:kern w:val="0"/>
          <w:szCs w:val="28"/>
          <w:vertAlign w:val="superscript"/>
        </w:rPr>
        <w:t>3</w:t>
      </w:r>
      <w:r>
        <w:rPr>
          <w:rFonts w:hint="eastAsia"/>
          <w:kern w:val="0"/>
          <w:szCs w:val="28"/>
        </w:rPr>
        <w:t>/s。1999年经过冲淤净化，止污，砌衬，河流水质大为改善。</w:t>
      </w:r>
    </w:p>
    <w:p>
      <w:pPr>
        <w:pStyle w:val="27"/>
        <w:ind w:firstLine="560"/>
        <w:rPr>
          <w:kern w:val="0"/>
          <w:szCs w:val="28"/>
        </w:rPr>
      </w:pPr>
      <w:r>
        <w:rPr>
          <w:rFonts w:hint="eastAsia"/>
          <w:kern w:val="0"/>
          <w:szCs w:val="28"/>
        </w:rPr>
        <w:t>（5）丰收干渠</w:t>
      </w:r>
    </w:p>
    <w:p>
      <w:pPr>
        <w:pStyle w:val="27"/>
        <w:ind w:firstLine="560"/>
        <w:rPr>
          <w:kern w:val="0"/>
          <w:szCs w:val="28"/>
        </w:rPr>
      </w:pPr>
      <w:r>
        <w:rPr>
          <w:rFonts w:hint="eastAsia"/>
          <w:kern w:val="0"/>
          <w:szCs w:val="28"/>
        </w:rPr>
        <w:t>又名第一濮清南总干渠，渠首位于渠村引黄闸，过金堤河后汇入马颊河，为人工开挖的引黄渠道，1986年建成通水，多年平均行水天数193天，最大流量18 m</w:t>
      </w:r>
      <w:r>
        <w:rPr>
          <w:rFonts w:hint="eastAsia"/>
          <w:kern w:val="0"/>
          <w:szCs w:val="28"/>
          <w:vertAlign w:val="superscript"/>
        </w:rPr>
        <w:t>3</w:t>
      </w:r>
      <w:r>
        <w:rPr>
          <w:rFonts w:hint="eastAsia"/>
          <w:kern w:val="0"/>
          <w:szCs w:val="28"/>
        </w:rPr>
        <w:t>/s，沿途有少量工业废水注入。</w:t>
      </w:r>
    </w:p>
    <w:p>
      <w:pPr>
        <w:pStyle w:val="27"/>
        <w:ind w:firstLine="560"/>
        <w:rPr>
          <w:kern w:val="0"/>
          <w:szCs w:val="28"/>
        </w:rPr>
      </w:pPr>
      <w:r>
        <w:rPr>
          <w:rFonts w:hint="eastAsia"/>
          <w:kern w:val="0"/>
          <w:szCs w:val="28"/>
        </w:rPr>
        <w:t>（6）第三濮清南干渠：</w:t>
      </w:r>
    </w:p>
    <w:p>
      <w:pPr>
        <w:pStyle w:val="27"/>
        <w:ind w:firstLine="560"/>
        <w:rPr>
          <w:kern w:val="0"/>
          <w:szCs w:val="28"/>
        </w:rPr>
      </w:pPr>
      <w:r>
        <w:rPr>
          <w:rFonts w:hint="eastAsia"/>
          <w:kern w:val="0"/>
          <w:szCs w:val="28"/>
        </w:rPr>
        <w:t>引自丰收渠，渠首位于郑寨南1km处，向西至庆干渠处沿庆干渠向北跨越高铺干渠，至杨寨西1.5km处又折向西。该渠自1999年建成，设计流量30 m</w:t>
      </w:r>
      <w:r>
        <w:rPr>
          <w:rFonts w:hint="eastAsia"/>
          <w:kern w:val="0"/>
          <w:szCs w:val="28"/>
          <w:vertAlign w:val="superscript"/>
        </w:rPr>
        <w:t>3</w:t>
      </w:r>
      <w:r>
        <w:rPr>
          <w:rFonts w:hint="eastAsia"/>
          <w:kern w:val="0"/>
          <w:szCs w:val="28"/>
        </w:rPr>
        <w:t>/s。</w:t>
      </w:r>
    </w:p>
    <w:p>
      <w:pPr>
        <w:pStyle w:val="27"/>
        <w:ind w:firstLine="560"/>
      </w:pPr>
      <w:r>
        <w:rPr>
          <w:rFonts w:hint="eastAsia"/>
          <w:kern w:val="0"/>
          <w:szCs w:val="28"/>
        </w:rPr>
        <w:t>濮阳市地表水系图见图4.1</w:t>
      </w:r>
      <w:r>
        <w:rPr>
          <w:rFonts w:hint="eastAsia"/>
          <w:kern w:val="0"/>
          <w:szCs w:val="28"/>
        </w:rPr>
        <w:noBreakHyphen/>
      </w:r>
      <w:r>
        <w:rPr>
          <w:rFonts w:hint="eastAsia"/>
          <w:kern w:val="0"/>
          <w:szCs w:val="28"/>
        </w:rPr>
        <w:t>1</w:t>
      </w:r>
    </w:p>
    <w:p>
      <w:pPr>
        <w:pStyle w:val="57"/>
      </w:pPr>
      <w:r>
        <w:rPr>
          <w:rFonts w:hint="eastAsia"/>
        </w:rPr>
        <w:drawing>
          <wp:inline distT="0" distB="0" distL="0" distR="0">
            <wp:extent cx="5613400" cy="4647565"/>
            <wp:effectExtent l="0" t="0" r="635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7"/>
                    <a:srcRect l="2652" t="2749" r="2652" b="2422"/>
                    <a:stretch>
                      <a:fillRect/>
                    </a:stretch>
                  </pic:blipFill>
                  <pic:spPr>
                    <a:xfrm>
                      <a:off x="0" y="0"/>
                      <a:ext cx="5644332" cy="4673812"/>
                    </a:xfrm>
                    <a:prstGeom prst="rect">
                      <a:avLst/>
                    </a:prstGeom>
                    <a:ln>
                      <a:noFill/>
                    </a:ln>
                  </pic:spPr>
                </pic:pic>
              </a:graphicData>
            </a:graphic>
          </wp:inline>
        </w:drawing>
      </w:r>
    </w:p>
    <w:p>
      <w:pPr>
        <w:pStyle w:val="58"/>
      </w:pPr>
      <w:bookmarkStart w:id="90" w:name="_Ref38379160"/>
      <w:r>
        <w:rPr>
          <w:rFonts w:hint="eastAsia"/>
        </w:rPr>
        <w:t>图</w:t>
      </w:r>
      <w:bookmarkEnd w:id="90"/>
      <w:r>
        <w:rPr>
          <w:rFonts w:hint="eastAsia"/>
          <w:kern w:val="0"/>
          <w:sz w:val="28"/>
          <w:szCs w:val="28"/>
        </w:rPr>
        <w:t>4.1</w:t>
      </w:r>
      <w:r>
        <w:rPr>
          <w:rFonts w:hint="eastAsia"/>
          <w:kern w:val="0"/>
          <w:sz w:val="28"/>
          <w:szCs w:val="28"/>
        </w:rPr>
        <w:noBreakHyphen/>
      </w:r>
      <w:r>
        <w:rPr>
          <w:rFonts w:hint="eastAsia"/>
          <w:kern w:val="0"/>
          <w:sz w:val="28"/>
          <w:szCs w:val="28"/>
        </w:rPr>
        <w:t>1</w:t>
      </w:r>
      <w:r>
        <w:rPr>
          <w:rFonts w:hint="eastAsia"/>
        </w:rPr>
        <w:t xml:space="preserve">   </w:t>
      </w:r>
      <w:r>
        <w:t xml:space="preserve"> 濮阳市水系图</w:t>
      </w:r>
    </w:p>
    <w:p>
      <w:pPr>
        <w:pStyle w:val="27"/>
        <w:ind w:firstLine="560"/>
        <w:rPr>
          <w:kern w:val="0"/>
          <w:szCs w:val="28"/>
        </w:rPr>
      </w:pPr>
      <w:r>
        <w:rPr>
          <w:rFonts w:hint="eastAsia"/>
          <w:kern w:val="0"/>
          <w:szCs w:val="28"/>
        </w:rPr>
        <w:t>本项目</w:t>
      </w:r>
      <w:r>
        <w:rPr>
          <w:kern w:val="0"/>
          <w:szCs w:val="28"/>
        </w:rPr>
        <w:t>废水</w:t>
      </w:r>
      <w:r>
        <w:rPr>
          <w:rFonts w:hint="eastAsia"/>
          <w:kern w:val="0"/>
          <w:szCs w:val="28"/>
        </w:rPr>
        <w:t>排入中原大化现有污水处理站进行处理，处理达标后通过市政污水管网排至濮阳市第二污水处理厂。濮阳市第二污水处理厂出水排入顺河沟，顺河沟汇入马颊河。</w:t>
      </w:r>
    </w:p>
    <w:p>
      <w:pPr>
        <w:pStyle w:val="33"/>
      </w:pPr>
      <w:r>
        <w:rPr>
          <w:rFonts w:hint="eastAsia"/>
        </w:rPr>
        <w:t xml:space="preserve">4.1.4.2 </w:t>
      </w:r>
      <w:r>
        <w:t>地下水</w:t>
      </w:r>
    </w:p>
    <w:p>
      <w:pPr>
        <w:pStyle w:val="27"/>
        <w:ind w:firstLine="560"/>
      </w:pPr>
      <w:bookmarkStart w:id="91" w:name="_Toc67991833"/>
      <w:r>
        <w:rPr>
          <w:rFonts w:hint="eastAsia"/>
        </w:rPr>
        <w:t>（1）含水岩组</w:t>
      </w:r>
      <w:r>
        <w:rPr>
          <w:rFonts w:hint="eastAsia"/>
          <w:kern w:val="0"/>
          <w:szCs w:val="28"/>
        </w:rPr>
        <w:t>特征</w:t>
      </w:r>
      <w:bookmarkEnd w:id="91"/>
    </w:p>
    <w:p>
      <w:pPr>
        <w:pStyle w:val="27"/>
        <w:ind w:firstLine="560"/>
      </w:pPr>
      <w:r>
        <w:rPr>
          <w:rFonts w:hint="eastAsia"/>
        </w:rPr>
        <w:t>濮阳市</w:t>
      </w:r>
      <w:r>
        <w:t>地下水属松散岩类孔隙水，根据含水介质的成因、结构、岩性、埋藏条件、水力特征等的不同，将含水岩组划分为浅层、中层、深层含水岩组。</w:t>
      </w:r>
    </w:p>
    <w:p>
      <w:pPr>
        <w:pStyle w:val="27"/>
        <w:ind w:firstLine="560"/>
      </w:pPr>
      <w:bookmarkStart w:id="92" w:name="_Toc226251622"/>
      <w:bookmarkStart w:id="93" w:name="_Toc225474667"/>
      <w:bookmarkStart w:id="94" w:name="_Toc225164299"/>
      <w:r>
        <w:rPr>
          <w:rFonts w:hint="eastAsia"/>
        </w:rPr>
        <w:t>1）</w:t>
      </w:r>
      <w:r>
        <w:t>浅层含水岩组</w:t>
      </w:r>
      <w:bookmarkEnd w:id="92"/>
      <w:bookmarkEnd w:id="93"/>
      <w:bookmarkEnd w:id="94"/>
    </w:p>
    <w:p>
      <w:pPr>
        <w:pStyle w:val="27"/>
        <w:ind w:firstLine="560"/>
      </w:pPr>
      <w:r>
        <w:t>主要由全新统及上</w:t>
      </w:r>
      <w:r>
        <w:rPr>
          <w:rFonts w:hint="eastAsia"/>
          <w:kern w:val="0"/>
          <w:szCs w:val="28"/>
        </w:rPr>
        <w:t>更新</w:t>
      </w:r>
      <w:r>
        <w:t>统两个</w:t>
      </w:r>
      <w:r>
        <w:rPr>
          <w:rFonts w:hint="eastAsia"/>
        </w:rPr>
        <w:t>含水</w:t>
      </w:r>
      <w:r>
        <w:t>岩组组成，底板埋深93～140m左右。</w:t>
      </w:r>
    </w:p>
    <w:p>
      <w:pPr>
        <w:pStyle w:val="27"/>
        <w:ind w:firstLine="560"/>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t>全新统含水岩组</w:t>
      </w:r>
    </w:p>
    <w:p>
      <w:pPr>
        <w:pStyle w:val="27"/>
        <w:ind w:firstLine="560"/>
      </w:pPr>
      <w:r>
        <w:t>含水层埋藏深度</w:t>
      </w:r>
      <w:r>
        <w:rPr>
          <w:rFonts w:hint="eastAsia"/>
        </w:rPr>
        <w:t>一般小</w:t>
      </w:r>
      <w:r>
        <w:t>于50m。含水层顶板埋深15～25m，底板埋深35～50m，含水层岩性主要为粉细砂和中砂。含水层厚度，在古河道主流带较厚，一般30m左右，分别展布于濮阳县城和濮城一带，宽10～20km；在泛流带较薄，一般5～10m，局部小于5m。</w:t>
      </w:r>
    </w:p>
    <w:p>
      <w:pPr>
        <w:pStyle w:val="27"/>
        <w:ind w:firstLine="560"/>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t>上更新统含水岩组</w:t>
      </w:r>
    </w:p>
    <w:p>
      <w:pPr>
        <w:pStyle w:val="27"/>
        <w:ind w:firstLine="560"/>
      </w:pPr>
      <w:r>
        <w:t>含水层埋藏深度50～140m左右。含水层顶板埋深一般在50～70m，局部80～90m，含水层底板埋深70～100m，最深达132m。</w:t>
      </w:r>
    </w:p>
    <w:p>
      <w:pPr>
        <w:pStyle w:val="27"/>
        <w:ind w:firstLine="560"/>
      </w:pPr>
      <w:r>
        <w:t>含水层岩性以细砂、中砂为主，夹有粉砂，局部有粗砂。含水层厚度在主流带一般大于30m，向泛流带逐渐变薄，最小者小于10m，岩性从主流带向泛流带逐渐变细。以子岸、鲁河、户部寨为界，以北为古河道摆动带，以南为古河道泛流带，其特征分述如下：</w:t>
      </w:r>
    </w:p>
    <w:p>
      <w:pPr>
        <w:pStyle w:val="27"/>
        <w:ind w:firstLine="560"/>
      </w:pPr>
      <w:r>
        <w:t>古河道摆动带：有三条含水砂层厚度大于30m古河道，分别是：</w:t>
      </w:r>
      <w:r>
        <w:rPr>
          <w:rFonts w:hint="eastAsia" w:ascii="宋体" w:hAnsi="宋体" w:cs="宋体"/>
        </w:rPr>
        <w:t>①</w:t>
      </w:r>
      <w:r>
        <w:t>岳新庄～东八里庄～东巴河～柳屯一带，宽约1～5km；</w:t>
      </w:r>
      <w:r>
        <w:rPr>
          <w:rFonts w:hint="eastAsia" w:ascii="宋体" w:hAnsi="宋体" w:cs="宋体"/>
        </w:rPr>
        <w:t>②</w:t>
      </w:r>
      <w:r>
        <w:t>黄甫～疙瘩庄～马庄桥～西邵一带，宽约1.5～4.5km；</w:t>
      </w:r>
      <w:r>
        <w:rPr>
          <w:rFonts w:hint="eastAsia" w:ascii="宋体" w:hAnsi="宋体" w:cs="宋体"/>
        </w:rPr>
        <w:t>③</w:t>
      </w:r>
      <w:r>
        <w:t>梨园～白衣阁一带，宽约10km，单井涌水量2000～4000m</w:t>
      </w:r>
      <w:r>
        <w:rPr>
          <w:vertAlign w:val="superscript"/>
        </w:rPr>
        <w:t>3</w:t>
      </w:r>
      <w:r>
        <w:t>/d；在古河道带之间的河间带，粘性土发育，砂层多呈透镜体</w:t>
      </w:r>
      <w:r>
        <w:rPr>
          <w:rFonts w:hint="eastAsia"/>
        </w:rPr>
        <w:t>状</w:t>
      </w:r>
      <w:r>
        <w:t>，单井涌水量500～1000m</w:t>
      </w:r>
      <w:r>
        <w:rPr>
          <w:vertAlign w:val="superscript"/>
        </w:rPr>
        <w:t>3</w:t>
      </w:r>
      <w:r>
        <w:t>/d。</w:t>
      </w:r>
    </w:p>
    <w:p>
      <w:pPr>
        <w:pStyle w:val="27"/>
        <w:ind w:firstLine="560"/>
      </w:pPr>
      <w:r>
        <w:t>古河道泛流带：由于河道流经时间短，砂层厚度薄，加之地势低洼，地下水埋藏浅，蒸发强烈，矿化度高，一般</w:t>
      </w:r>
      <w:r>
        <w:rPr>
          <w:rFonts w:hint="eastAsia"/>
          <w:kern w:val="0"/>
          <w:szCs w:val="28"/>
        </w:rPr>
        <w:t>大于</w:t>
      </w:r>
      <w:r>
        <w:t>1.0g/l，单井涌水量200～700m</w:t>
      </w:r>
      <w:r>
        <w:rPr>
          <w:vertAlign w:val="superscript"/>
        </w:rPr>
        <w:t>3</w:t>
      </w:r>
      <w:r>
        <w:t>/d。</w:t>
      </w:r>
    </w:p>
    <w:p>
      <w:pPr>
        <w:pStyle w:val="27"/>
        <w:ind w:firstLine="560"/>
      </w:pPr>
      <w:bookmarkStart w:id="95" w:name="_Toc226251623"/>
      <w:bookmarkStart w:id="96" w:name="_Toc225164300"/>
      <w:bookmarkStart w:id="97" w:name="_Toc225474668"/>
      <w:r>
        <w:rPr>
          <w:rFonts w:hint="eastAsia"/>
        </w:rPr>
        <w:t>2）</w:t>
      </w:r>
      <w:r>
        <w:t>中层承压含水岩组</w:t>
      </w:r>
      <w:bookmarkEnd w:id="95"/>
      <w:bookmarkEnd w:id="96"/>
      <w:bookmarkEnd w:id="97"/>
    </w:p>
    <w:p>
      <w:pPr>
        <w:pStyle w:val="27"/>
        <w:ind w:firstLine="560"/>
      </w:pPr>
      <w:r>
        <w:t>主要为中更新统</w:t>
      </w:r>
      <w:r>
        <w:rPr>
          <w:rFonts w:hint="eastAsia"/>
          <w:kern w:val="0"/>
          <w:szCs w:val="28"/>
        </w:rPr>
        <w:t>含水</w:t>
      </w:r>
      <w:r>
        <w:t>岩组，埋藏深度93～260m。含水层顶板埋深一般100～140m，底板埋深在濮阳一带为200～240m，文留、濮城颜村铺一带为260m左右。</w:t>
      </w:r>
    </w:p>
    <w:p>
      <w:pPr>
        <w:pStyle w:val="27"/>
        <w:ind w:firstLine="560"/>
      </w:pPr>
      <w:r>
        <w:t>含水层岩性以细砂、中砂为主，局部为粗砂。金堤河沿岸及其以北为古河道泛流区，以南为古河道摆动带，其特征分述如下：</w:t>
      </w:r>
    </w:p>
    <w:p>
      <w:pPr>
        <w:pStyle w:val="27"/>
        <w:ind w:firstLine="560"/>
      </w:pPr>
      <w:r>
        <w:t>古河道摆动带：分布于徐镇～文留一带，北界为五星～户部寨一线，南界可能在黄河以南。沉积物以细砂、粉砂为主，厚40～70m，单井涌水量500～1000m</w:t>
      </w:r>
      <w:r>
        <w:rPr>
          <w:vertAlign w:val="superscript"/>
        </w:rPr>
        <w:t>3</w:t>
      </w:r>
      <w:r>
        <w:t>/d。</w:t>
      </w:r>
    </w:p>
    <w:p>
      <w:pPr>
        <w:pStyle w:val="27"/>
        <w:ind w:firstLine="560"/>
      </w:pPr>
      <w:r>
        <w:t>古河道泛流带：</w:t>
      </w:r>
      <w:r>
        <w:rPr>
          <w:rFonts w:hint="eastAsia"/>
          <w:kern w:val="0"/>
          <w:szCs w:val="28"/>
        </w:rPr>
        <w:t>分布</w:t>
      </w:r>
      <w:r>
        <w:t>在金堤河沿岸及其以北地区，砂层厚度小，颗粒细，富水性差。</w:t>
      </w:r>
    </w:p>
    <w:p>
      <w:pPr>
        <w:pStyle w:val="27"/>
        <w:ind w:firstLine="560"/>
      </w:pPr>
      <w:bookmarkStart w:id="98" w:name="_Toc225474669"/>
      <w:bookmarkStart w:id="99" w:name="_Toc226251624"/>
      <w:bookmarkStart w:id="100" w:name="_Toc225164301"/>
      <w:r>
        <w:rPr>
          <w:rFonts w:hint="eastAsia"/>
        </w:rPr>
        <w:t>3）</w:t>
      </w:r>
      <w:r>
        <w:t>深层承压</w:t>
      </w:r>
      <w:r>
        <w:rPr>
          <w:rFonts w:hint="eastAsia"/>
          <w:kern w:val="0"/>
          <w:szCs w:val="28"/>
        </w:rPr>
        <w:t>含水</w:t>
      </w:r>
      <w:r>
        <w:t>岩组</w:t>
      </w:r>
      <w:bookmarkEnd w:id="98"/>
      <w:bookmarkEnd w:id="99"/>
      <w:bookmarkEnd w:id="100"/>
    </w:p>
    <w:p>
      <w:pPr>
        <w:pStyle w:val="27"/>
        <w:ind w:firstLine="560"/>
      </w:pPr>
      <w:r>
        <w:t>主要</w:t>
      </w:r>
      <w:r>
        <w:rPr>
          <w:rFonts w:hint="eastAsia"/>
        </w:rPr>
        <w:t>是</w:t>
      </w:r>
      <w:r>
        <w:t>下更新统</w:t>
      </w:r>
      <w:r>
        <w:rPr>
          <w:rFonts w:hint="eastAsia"/>
        </w:rPr>
        <w:t>含水岩组。</w:t>
      </w:r>
      <w:r>
        <w:t>埋藏深度约260～450m</w:t>
      </w:r>
      <w:r>
        <w:rPr>
          <w:rFonts w:hint="eastAsia"/>
        </w:rPr>
        <w:t>，</w:t>
      </w:r>
      <w:r>
        <w:t>顶板埋深隆起区约230m，凹陷区约260m。含水层岩性主要为中、</w:t>
      </w:r>
      <w:r>
        <w:rPr>
          <w:rFonts w:hint="eastAsia"/>
          <w:kern w:val="0"/>
          <w:szCs w:val="28"/>
        </w:rPr>
        <w:t>细砂</w:t>
      </w:r>
      <w:r>
        <w:t>、粉砂，含水层厚度一般20～30m。</w:t>
      </w:r>
    </w:p>
    <w:p>
      <w:pPr>
        <w:pStyle w:val="27"/>
        <w:ind w:firstLine="560"/>
      </w:pPr>
      <w:bookmarkStart w:id="101" w:name="_Toc67991834"/>
      <w:r>
        <w:rPr>
          <w:rFonts w:hint="eastAsia"/>
        </w:rPr>
        <w:t>（2）</w:t>
      </w:r>
      <w:r>
        <w:t>含水岩组之间的水力联系</w:t>
      </w:r>
      <w:bookmarkEnd w:id="101"/>
    </w:p>
    <w:p>
      <w:pPr>
        <w:pStyle w:val="27"/>
        <w:ind w:firstLine="560"/>
      </w:pPr>
      <w:r>
        <w:t>从岩性上看，浅层、中层、深层含水岩组之间，均分布有稳定的粉质粘土、粘土，各层含水岩组之间水力联系微弱。</w:t>
      </w:r>
    </w:p>
    <w:p>
      <w:pPr>
        <w:pStyle w:val="27"/>
        <w:ind w:firstLine="560"/>
      </w:pPr>
      <w:r>
        <w:t>从水位动态上看，浅层水水位受气象要素影响明显；中、深层水水位受气象要素影响不明显，主要受开采量控制，呈逐年下降状态。</w:t>
      </w:r>
    </w:p>
    <w:p>
      <w:pPr>
        <w:pStyle w:val="27"/>
        <w:ind w:firstLine="560"/>
      </w:pPr>
      <w:r>
        <w:t>根据目前当地</w:t>
      </w:r>
      <w:r>
        <w:rPr>
          <w:rFonts w:hint="eastAsia"/>
          <w:kern w:val="0"/>
          <w:szCs w:val="28"/>
        </w:rPr>
        <w:t>开采</w:t>
      </w:r>
      <w:r>
        <w:t>状况，浅层水为当地工农业生产及人民生活用水的主要水源。而中、深层水，只有少量用于地热水开发、油井注水及采油区饮用水。</w:t>
      </w:r>
      <w:bookmarkStart w:id="102" w:name="_Toc67991836"/>
    </w:p>
    <w:p>
      <w:pPr>
        <w:pStyle w:val="27"/>
        <w:ind w:firstLine="560"/>
      </w:pPr>
      <w:r>
        <w:rPr>
          <w:rFonts w:hint="eastAsia"/>
        </w:rPr>
        <w:t>（3）</w:t>
      </w:r>
      <w:r>
        <w:t>地下水水化学类型</w:t>
      </w:r>
      <w:bookmarkEnd w:id="102"/>
    </w:p>
    <w:p>
      <w:pPr>
        <w:pStyle w:val="27"/>
        <w:ind w:firstLine="560"/>
      </w:pPr>
      <w:r>
        <w:rPr>
          <w:rFonts w:hint="eastAsia"/>
        </w:rPr>
        <w:t>濮阳</w:t>
      </w:r>
      <w:r>
        <w:t>地下水化学类型有明显的分区性：</w:t>
      </w:r>
      <w:r>
        <w:rPr>
          <w:rFonts w:hint="eastAsia"/>
        </w:rPr>
        <w:t>市区</w:t>
      </w:r>
      <w:r>
        <w:t>地下水以</w:t>
      </w:r>
      <w:r>
        <w:rPr>
          <w:rFonts w:hint="eastAsia"/>
        </w:rPr>
        <w:t>H</w:t>
      </w:r>
      <w:r>
        <w:t>CO</w:t>
      </w:r>
      <w:r>
        <w:rPr>
          <w:vertAlign w:val="subscript"/>
        </w:rPr>
        <w:t>3</w:t>
      </w:r>
      <w:r>
        <w:t>·Cl—Na·Ca（Mg）型为主，在市区降落漏斗分布区以HCO</w:t>
      </w:r>
      <w:r>
        <w:rPr>
          <w:vertAlign w:val="subscript"/>
        </w:rPr>
        <w:t>3</w:t>
      </w:r>
      <w:r>
        <w:t>·Cl—Na·Ca·Mg型为主。在污染源，如污染地表水体等，附近水质较差，多呈片状或点状分布。</w:t>
      </w:r>
    </w:p>
    <w:p>
      <w:pPr>
        <w:pStyle w:val="27"/>
        <w:ind w:firstLine="560"/>
      </w:pPr>
      <w:r>
        <w:rPr>
          <w:rFonts w:hint="eastAsia"/>
        </w:rPr>
        <w:t>本项目位于濮阳市西部，地下水环境影响以潜水含水层为主，地下水锰、氯离子、硫酸根、氟化物、总硬度偏高。</w:t>
      </w:r>
    </w:p>
    <w:p>
      <w:pPr>
        <w:pStyle w:val="27"/>
        <w:ind w:firstLine="560"/>
      </w:pPr>
    </w:p>
    <w:p>
      <w:pPr>
        <w:pStyle w:val="27"/>
        <w:ind w:firstLine="560"/>
      </w:pPr>
    </w:p>
    <w:p>
      <w:pPr>
        <w:pStyle w:val="27"/>
        <w:ind w:firstLine="560"/>
      </w:pPr>
    </w:p>
    <w:p>
      <w:pPr>
        <w:pStyle w:val="31"/>
      </w:pPr>
      <w:r>
        <w:rPr>
          <w:rFonts w:hint="eastAsia"/>
        </w:rPr>
        <w:t xml:space="preserve">4.1.5 </w:t>
      </w:r>
      <w:r>
        <w:t>区域气候特征</w:t>
      </w:r>
    </w:p>
    <w:p>
      <w:pPr>
        <w:widowControl/>
        <w:adjustRightInd w:val="0"/>
        <w:snapToGrid w:val="0"/>
        <w:spacing w:line="520" w:lineRule="exact"/>
        <w:ind w:firstLine="560" w:firstLineChars="200"/>
        <w:textAlignment w:val="baseline"/>
        <w:rPr>
          <w:kern w:val="0"/>
          <w:sz w:val="28"/>
          <w:szCs w:val="28"/>
        </w:rPr>
      </w:pPr>
      <w:r>
        <w:rPr>
          <w:kern w:val="0"/>
          <w:sz w:val="28"/>
          <w:szCs w:val="28"/>
        </w:rPr>
        <w:t>濮阳市位于中纬地带，常年受东南季风环流的控制和影响，属暖温带半湿润季风型大陆性气候。特点是四季分明，春季干旱多风沙，夏季炎热雨量大，秋季晴和日照长，冬季干旱少雨雪。</w:t>
      </w:r>
    </w:p>
    <w:p>
      <w:pPr>
        <w:widowControl/>
        <w:adjustRightInd w:val="0"/>
        <w:snapToGrid w:val="0"/>
        <w:spacing w:line="520" w:lineRule="exact"/>
        <w:ind w:firstLine="560" w:firstLineChars="200"/>
        <w:textAlignment w:val="baseline"/>
        <w:rPr>
          <w:kern w:val="0"/>
          <w:sz w:val="28"/>
          <w:szCs w:val="28"/>
        </w:rPr>
      </w:pPr>
      <w:r>
        <w:rPr>
          <w:rFonts w:hint="eastAsia"/>
          <w:kern w:val="0"/>
          <w:sz w:val="28"/>
          <w:szCs w:val="28"/>
        </w:rPr>
        <w:t>根据濮阳市近20年（2000~2019）的气象资料统计结果，该地全年平均气温为14.15℃，多年平均雷暴数15.31天，多年平均沙尘暴日数0.35天，多年平均冰雹日数0.10天，多年平均气压1010.48hPa，多年平均水汽压13.33</w:t>
      </w:r>
      <w:r>
        <w:t>hPa</w:t>
      </w:r>
      <w:r>
        <w:rPr>
          <w:rFonts w:hint="eastAsia"/>
          <w:kern w:val="0"/>
          <w:sz w:val="28"/>
          <w:szCs w:val="28"/>
        </w:rPr>
        <w:t>，多年平均相对湿度69.09%，多年平均风速1.99m/s，多年平均静风出现频率9.80%，多年平均降水量568.65mm，多年平均最大日降水量85.00mm。多年平均最高气温统计值38.17℃，多年平均最低气温统计值-13.32℃；1月份平均气温最低，为6.68℃；7月份平均气温最高，为29.49℃；气温年较差22.81℃。极大风速统计值20.78m/s。主导风向为SSE~SSW，占全年总风频31.8%，其中以S为主风向，占到全年13.5%左右</w:t>
      </w:r>
      <w:r>
        <w:rPr>
          <w:kern w:val="0"/>
          <w:sz w:val="28"/>
          <w:szCs w:val="28"/>
        </w:rPr>
        <w:t>。具体情况见表</w:t>
      </w:r>
      <w:r>
        <w:rPr>
          <w:rFonts w:hint="eastAsia"/>
          <w:kern w:val="0"/>
          <w:sz w:val="28"/>
          <w:szCs w:val="28"/>
        </w:rPr>
        <w:t>4.1-1</w:t>
      </w:r>
      <w:r>
        <w:rPr>
          <w:kern w:val="0"/>
          <w:sz w:val="28"/>
          <w:szCs w:val="28"/>
        </w:rPr>
        <w:t>。</w:t>
      </w:r>
    </w:p>
    <w:p>
      <w:pPr>
        <w:pStyle w:val="32"/>
      </w:pPr>
      <w:r>
        <w:t>表</w:t>
      </w:r>
      <w:r>
        <w:rPr>
          <w:rFonts w:hint="eastAsia"/>
        </w:rPr>
        <w:t>4.1-1      濮阳市近20年（2000~2019）的气象资料统计结果</w:t>
      </w:r>
    </w:p>
    <w:tbl>
      <w:tblPr>
        <w:tblStyle w:val="2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4009"/>
        <w:gridCol w:w="1168"/>
        <w:gridCol w:w="31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rPr>
                <w:b/>
                <w:bCs/>
              </w:rPr>
            </w:pPr>
            <w:r>
              <w:rPr>
                <w:b/>
                <w:bCs/>
              </w:rPr>
              <w:t>序号</w:t>
            </w:r>
          </w:p>
        </w:tc>
        <w:tc>
          <w:tcPr>
            <w:tcW w:w="2186" w:type="pct"/>
            <w:shd w:val="clear" w:color="auto" w:fill="auto"/>
            <w:vAlign w:val="center"/>
          </w:tcPr>
          <w:p>
            <w:pPr>
              <w:pStyle w:val="35"/>
              <w:rPr>
                <w:b/>
                <w:bCs/>
              </w:rPr>
            </w:pPr>
            <w:r>
              <w:rPr>
                <w:b/>
                <w:bCs/>
              </w:rPr>
              <w:t>项目</w:t>
            </w:r>
          </w:p>
        </w:tc>
        <w:tc>
          <w:tcPr>
            <w:tcW w:w="637" w:type="pct"/>
            <w:shd w:val="clear" w:color="auto" w:fill="auto"/>
            <w:vAlign w:val="center"/>
          </w:tcPr>
          <w:p>
            <w:pPr>
              <w:pStyle w:val="35"/>
              <w:rPr>
                <w:b/>
                <w:bCs/>
              </w:rPr>
            </w:pPr>
            <w:r>
              <w:rPr>
                <w:b/>
                <w:bCs/>
              </w:rPr>
              <w:t>单位</w:t>
            </w:r>
          </w:p>
        </w:tc>
        <w:tc>
          <w:tcPr>
            <w:tcW w:w="1742" w:type="pct"/>
            <w:shd w:val="clear" w:color="auto" w:fill="auto"/>
            <w:vAlign w:val="center"/>
          </w:tcPr>
          <w:p>
            <w:pPr>
              <w:pStyle w:val="35"/>
              <w:rPr>
                <w:b/>
                <w:bCs/>
              </w:rPr>
            </w:pPr>
            <w:r>
              <w:rPr>
                <w:b/>
                <w:bCs/>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1</w:t>
            </w:r>
          </w:p>
        </w:tc>
        <w:tc>
          <w:tcPr>
            <w:tcW w:w="2186" w:type="pct"/>
            <w:shd w:val="clear" w:color="auto" w:fill="auto"/>
            <w:vAlign w:val="center"/>
          </w:tcPr>
          <w:p>
            <w:pPr>
              <w:pStyle w:val="35"/>
            </w:pPr>
            <w:r>
              <w:rPr>
                <w:rFonts w:hint="eastAsia"/>
              </w:rPr>
              <w:t>多年平均大风日数</w:t>
            </w:r>
          </w:p>
        </w:tc>
        <w:tc>
          <w:tcPr>
            <w:tcW w:w="637" w:type="pct"/>
            <w:shd w:val="clear" w:color="auto" w:fill="auto"/>
            <w:vAlign w:val="center"/>
          </w:tcPr>
          <w:p>
            <w:pPr>
              <w:pStyle w:val="35"/>
            </w:pPr>
            <w:r>
              <w:rPr>
                <w:rFonts w:hint="eastAsia"/>
              </w:rPr>
              <w:t>日</w:t>
            </w:r>
          </w:p>
        </w:tc>
        <w:tc>
          <w:tcPr>
            <w:tcW w:w="1742" w:type="pct"/>
            <w:shd w:val="clear" w:color="auto" w:fill="auto"/>
            <w:vAlign w:val="center"/>
          </w:tcPr>
          <w:p>
            <w:pPr>
              <w:pStyle w:val="35"/>
            </w:pPr>
            <w:r>
              <w:rPr>
                <w:rFonts w:hint="eastAsia"/>
              </w:rPr>
              <w:t>2.05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2</w:t>
            </w:r>
          </w:p>
        </w:tc>
        <w:tc>
          <w:tcPr>
            <w:tcW w:w="2186" w:type="pct"/>
            <w:shd w:val="clear" w:color="auto" w:fill="auto"/>
            <w:vAlign w:val="center"/>
          </w:tcPr>
          <w:p>
            <w:pPr>
              <w:pStyle w:val="35"/>
            </w:pPr>
            <w:r>
              <w:rPr>
                <w:rFonts w:hint="eastAsia"/>
              </w:rPr>
              <w:t>多年平均雷暴日数</w:t>
            </w:r>
          </w:p>
        </w:tc>
        <w:tc>
          <w:tcPr>
            <w:tcW w:w="637" w:type="pct"/>
            <w:shd w:val="clear" w:color="auto" w:fill="auto"/>
            <w:vAlign w:val="center"/>
          </w:tcPr>
          <w:p>
            <w:pPr>
              <w:pStyle w:val="35"/>
            </w:pPr>
            <w:r>
              <w:rPr>
                <w:rFonts w:hint="eastAsia"/>
              </w:rPr>
              <w:t>日</w:t>
            </w:r>
          </w:p>
        </w:tc>
        <w:tc>
          <w:tcPr>
            <w:tcW w:w="1742" w:type="pct"/>
            <w:shd w:val="clear" w:color="auto" w:fill="auto"/>
            <w:vAlign w:val="center"/>
          </w:tcPr>
          <w:p>
            <w:pPr>
              <w:pStyle w:val="35"/>
            </w:pPr>
            <w:r>
              <w:rPr>
                <w:rFonts w:hint="eastAsia"/>
              </w:rPr>
              <w:t>15.31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3</w:t>
            </w:r>
          </w:p>
        </w:tc>
        <w:tc>
          <w:tcPr>
            <w:tcW w:w="2186" w:type="pct"/>
            <w:shd w:val="clear" w:color="auto" w:fill="auto"/>
            <w:vAlign w:val="center"/>
          </w:tcPr>
          <w:p>
            <w:pPr>
              <w:pStyle w:val="35"/>
            </w:pPr>
            <w:r>
              <w:rPr>
                <w:rFonts w:hint="eastAsia"/>
              </w:rPr>
              <w:t>多年平均沙尘暴日数</w:t>
            </w:r>
          </w:p>
        </w:tc>
        <w:tc>
          <w:tcPr>
            <w:tcW w:w="637" w:type="pct"/>
            <w:shd w:val="clear" w:color="auto" w:fill="auto"/>
            <w:vAlign w:val="center"/>
          </w:tcPr>
          <w:p>
            <w:pPr>
              <w:pStyle w:val="35"/>
            </w:pPr>
            <w:r>
              <w:rPr>
                <w:rFonts w:hint="eastAsia"/>
              </w:rPr>
              <w:t>日</w:t>
            </w:r>
          </w:p>
        </w:tc>
        <w:tc>
          <w:tcPr>
            <w:tcW w:w="1742" w:type="pct"/>
            <w:shd w:val="clear" w:color="auto" w:fill="auto"/>
            <w:vAlign w:val="center"/>
          </w:tcPr>
          <w:p>
            <w:pPr>
              <w:pStyle w:val="35"/>
            </w:pPr>
            <w:r>
              <w:rPr>
                <w:rFonts w:hint="eastAsia"/>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4</w:t>
            </w:r>
          </w:p>
        </w:tc>
        <w:tc>
          <w:tcPr>
            <w:tcW w:w="2186" w:type="pct"/>
            <w:shd w:val="clear" w:color="auto" w:fill="auto"/>
            <w:vAlign w:val="center"/>
          </w:tcPr>
          <w:p>
            <w:pPr>
              <w:pStyle w:val="35"/>
            </w:pPr>
            <w:r>
              <w:rPr>
                <w:rFonts w:hint="eastAsia"/>
              </w:rPr>
              <w:t>多年平均冰雹日数</w:t>
            </w:r>
          </w:p>
        </w:tc>
        <w:tc>
          <w:tcPr>
            <w:tcW w:w="637" w:type="pct"/>
            <w:shd w:val="clear" w:color="auto" w:fill="auto"/>
            <w:vAlign w:val="center"/>
          </w:tcPr>
          <w:p>
            <w:pPr>
              <w:pStyle w:val="35"/>
            </w:pPr>
            <w:r>
              <w:rPr>
                <w:rFonts w:hint="eastAsia"/>
              </w:rPr>
              <w:t>日</w:t>
            </w:r>
          </w:p>
        </w:tc>
        <w:tc>
          <w:tcPr>
            <w:tcW w:w="1742" w:type="pct"/>
            <w:shd w:val="clear" w:color="auto" w:fill="auto"/>
            <w:vAlign w:val="center"/>
          </w:tcPr>
          <w:p>
            <w:pPr>
              <w:pStyle w:val="35"/>
            </w:pPr>
            <w:r>
              <w:rPr>
                <w:rFonts w:hint="eastAsia"/>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5</w:t>
            </w:r>
          </w:p>
        </w:tc>
        <w:tc>
          <w:tcPr>
            <w:tcW w:w="2186" w:type="pct"/>
            <w:shd w:val="clear" w:color="auto" w:fill="auto"/>
            <w:vAlign w:val="center"/>
          </w:tcPr>
          <w:p>
            <w:pPr>
              <w:pStyle w:val="35"/>
            </w:pPr>
            <w:r>
              <w:rPr>
                <w:rFonts w:hint="eastAsia"/>
              </w:rPr>
              <w:t>多年平均气压</w:t>
            </w:r>
          </w:p>
        </w:tc>
        <w:tc>
          <w:tcPr>
            <w:tcW w:w="637" w:type="pct"/>
            <w:shd w:val="clear" w:color="auto" w:fill="auto"/>
            <w:vAlign w:val="center"/>
          </w:tcPr>
          <w:p>
            <w:pPr>
              <w:pStyle w:val="35"/>
            </w:pPr>
            <w:r>
              <w:rPr>
                <w:rFonts w:hint="eastAsia"/>
              </w:rPr>
              <w:t>hPa</w:t>
            </w:r>
          </w:p>
        </w:tc>
        <w:tc>
          <w:tcPr>
            <w:tcW w:w="1742" w:type="pct"/>
            <w:shd w:val="clear" w:color="auto" w:fill="auto"/>
            <w:vAlign w:val="center"/>
          </w:tcPr>
          <w:p>
            <w:pPr>
              <w:pStyle w:val="35"/>
            </w:pPr>
            <w:r>
              <w:rPr>
                <w:rFonts w:hint="eastAsia"/>
              </w:rPr>
              <w:t>1010.48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6</w:t>
            </w:r>
          </w:p>
        </w:tc>
        <w:tc>
          <w:tcPr>
            <w:tcW w:w="2186" w:type="pct"/>
            <w:shd w:val="clear" w:color="auto" w:fill="auto"/>
            <w:vAlign w:val="center"/>
          </w:tcPr>
          <w:p>
            <w:pPr>
              <w:pStyle w:val="35"/>
            </w:pPr>
            <w:r>
              <w:rPr>
                <w:rFonts w:hint="eastAsia"/>
              </w:rPr>
              <w:t>多年平均水汽压</w:t>
            </w:r>
          </w:p>
        </w:tc>
        <w:tc>
          <w:tcPr>
            <w:tcW w:w="637" w:type="pct"/>
            <w:shd w:val="clear" w:color="auto" w:fill="auto"/>
            <w:vAlign w:val="center"/>
          </w:tcPr>
          <w:p>
            <w:pPr>
              <w:pStyle w:val="35"/>
            </w:pPr>
            <w:r>
              <w:t>hPa</w:t>
            </w:r>
          </w:p>
        </w:tc>
        <w:tc>
          <w:tcPr>
            <w:tcW w:w="1742" w:type="pct"/>
            <w:shd w:val="clear" w:color="auto" w:fill="auto"/>
            <w:vAlign w:val="center"/>
          </w:tcPr>
          <w:p>
            <w:pPr>
              <w:pStyle w:val="35"/>
            </w:pPr>
            <w:r>
              <w:rPr>
                <w:rFonts w:hint="eastAsia"/>
              </w:rPr>
              <w:t>13.33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7</w:t>
            </w:r>
          </w:p>
        </w:tc>
        <w:tc>
          <w:tcPr>
            <w:tcW w:w="2186" w:type="pct"/>
            <w:shd w:val="clear" w:color="auto" w:fill="auto"/>
            <w:vAlign w:val="center"/>
          </w:tcPr>
          <w:p>
            <w:pPr>
              <w:pStyle w:val="35"/>
            </w:pPr>
            <w:r>
              <w:rPr>
                <w:rFonts w:hint="eastAsia"/>
              </w:rPr>
              <w:t>多年平均相对湿度</w:t>
            </w:r>
          </w:p>
        </w:tc>
        <w:tc>
          <w:tcPr>
            <w:tcW w:w="637" w:type="pct"/>
            <w:shd w:val="clear" w:color="auto" w:fill="auto"/>
            <w:vAlign w:val="center"/>
          </w:tcPr>
          <w:p>
            <w:pPr>
              <w:pStyle w:val="35"/>
            </w:pPr>
            <w:r>
              <w:rPr>
                <w:rFonts w:hint="eastAsia"/>
              </w:rPr>
              <w:t>%</w:t>
            </w:r>
          </w:p>
        </w:tc>
        <w:tc>
          <w:tcPr>
            <w:tcW w:w="1742" w:type="pct"/>
            <w:shd w:val="clear" w:color="auto" w:fill="auto"/>
            <w:vAlign w:val="center"/>
          </w:tcPr>
          <w:p>
            <w:pPr>
              <w:pStyle w:val="35"/>
            </w:pPr>
            <w:r>
              <w:rPr>
                <w:rFonts w:hint="eastAsia"/>
              </w:rPr>
              <w:t>69.09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8</w:t>
            </w:r>
          </w:p>
        </w:tc>
        <w:tc>
          <w:tcPr>
            <w:tcW w:w="2186" w:type="pct"/>
            <w:shd w:val="clear" w:color="auto" w:fill="auto"/>
            <w:vAlign w:val="center"/>
          </w:tcPr>
          <w:p>
            <w:pPr>
              <w:pStyle w:val="35"/>
            </w:pPr>
            <w:r>
              <w:rPr>
                <w:rFonts w:hint="eastAsia"/>
              </w:rPr>
              <w:t>多年平均气温</w:t>
            </w:r>
          </w:p>
        </w:tc>
        <w:tc>
          <w:tcPr>
            <w:tcW w:w="637" w:type="pct"/>
            <w:shd w:val="clear" w:color="auto" w:fill="auto"/>
            <w:vAlign w:val="center"/>
          </w:tcPr>
          <w:p>
            <w:pPr>
              <w:pStyle w:val="35"/>
            </w:pPr>
            <w:r>
              <w:rPr>
                <w:rFonts w:hint="eastAsia"/>
              </w:rPr>
              <w:t>℃</w:t>
            </w:r>
          </w:p>
        </w:tc>
        <w:tc>
          <w:tcPr>
            <w:tcW w:w="1742" w:type="pct"/>
            <w:shd w:val="clear" w:color="auto" w:fill="auto"/>
            <w:vAlign w:val="center"/>
          </w:tcPr>
          <w:p>
            <w:pPr>
              <w:pStyle w:val="35"/>
            </w:pPr>
            <w:r>
              <w:rPr>
                <w:rFonts w:hint="eastAsia"/>
              </w:rPr>
              <w:t>14.15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9</w:t>
            </w:r>
          </w:p>
        </w:tc>
        <w:tc>
          <w:tcPr>
            <w:tcW w:w="2186" w:type="pct"/>
            <w:shd w:val="clear" w:color="auto" w:fill="auto"/>
            <w:vAlign w:val="center"/>
          </w:tcPr>
          <w:p>
            <w:pPr>
              <w:pStyle w:val="35"/>
            </w:pPr>
            <w:r>
              <w:rPr>
                <w:rFonts w:hint="eastAsia"/>
              </w:rPr>
              <w:t>多年平均风速</w:t>
            </w:r>
          </w:p>
        </w:tc>
        <w:tc>
          <w:tcPr>
            <w:tcW w:w="637" w:type="pct"/>
            <w:shd w:val="clear" w:color="auto" w:fill="auto"/>
            <w:vAlign w:val="center"/>
          </w:tcPr>
          <w:p>
            <w:pPr>
              <w:pStyle w:val="35"/>
            </w:pPr>
            <w:r>
              <w:t>m/s</w:t>
            </w:r>
          </w:p>
        </w:tc>
        <w:tc>
          <w:tcPr>
            <w:tcW w:w="1742" w:type="pct"/>
            <w:shd w:val="clear" w:color="auto" w:fill="auto"/>
            <w:vAlign w:val="center"/>
          </w:tcPr>
          <w:p>
            <w:pPr>
              <w:pStyle w:val="35"/>
            </w:pPr>
            <w:r>
              <w:rPr>
                <w:rFonts w:hint="eastAsia"/>
              </w:rPr>
              <w:t>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10</w:t>
            </w:r>
          </w:p>
        </w:tc>
        <w:tc>
          <w:tcPr>
            <w:tcW w:w="2186" w:type="pct"/>
            <w:shd w:val="clear" w:color="auto" w:fill="auto"/>
            <w:vAlign w:val="center"/>
          </w:tcPr>
          <w:p>
            <w:pPr>
              <w:pStyle w:val="35"/>
            </w:pPr>
            <w:r>
              <w:rPr>
                <w:rFonts w:hint="eastAsia"/>
              </w:rPr>
              <w:t>多年平均静风出现频率</w:t>
            </w:r>
          </w:p>
        </w:tc>
        <w:tc>
          <w:tcPr>
            <w:tcW w:w="637" w:type="pct"/>
            <w:shd w:val="clear" w:color="auto" w:fill="auto"/>
            <w:vAlign w:val="center"/>
          </w:tcPr>
          <w:p>
            <w:pPr>
              <w:pStyle w:val="35"/>
            </w:pPr>
            <w:r>
              <w:t>%</w:t>
            </w:r>
          </w:p>
        </w:tc>
        <w:tc>
          <w:tcPr>
            <w:tcW w:w="1742" w:type="pct"/>
            <w:shd w:val="clear" w:color="auto" w:fill="auto"/>
            <w:vAlign w:val="center"/>
          </w:tcPr>
          <w:p>
            <w:pPr>
              <w:pStyle w:val="35"/>
            </w:pPr>
            <w:r>
              <w:rPr>
                <w:rFonts w:hint="eastAsia"/>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11</w:t>
            </w:r>
          </w:p>
        </w:tc>
        <w:tc>
          <w:tcPr>
            <w:tcW w:w="2186" w:type="pct"/>
            <w:shd w:val="clear" w:color="auto" w:fill="auto"/>
            <w:vAlign w:val="center"/>
          </w:tcPr>
          <w:p>
            <w:pPr>
              <w:pStyle w:val="35"/>
            </w:pPr>
            <w:r>
              <w:rPr>
                <w:rFonts w:hint="eastAsia"/>
              </w:rPr>
              <w:t>多年平均年降水量</w:t>
            </w:r>
          </w:p>
        </w:tc>
        <w:tc>
          <w:tcPr>
            <w:tcW w:w="637" w:type="pct"/>
            <w:shd w:val="clear" w:color="auto" w:fill="auto"/>
            <w:vAlign w:val="center"/>
          </w:tcPr>
          <w:p>
            <w:pPr>
              <w:pStyle w:val="35"/>
            </w:pPr>
            <w:r>
              <w:t>mm</w:t>
            </w:r>
          </w:p>
        </w:tc>
        <w:tc>
          <w:tcPr>
            <w:tcW w:w="1742" w:type="pct"/>
            <w:shd w:val="clear" w:color="auto" w:fill="auto"/>
            <w:vAlign w:val="center"/>
          </w:tcPr>
          <w:p>
            <w:pPr>
              <w:pStyle w:val="35"/>
            </w:pPr>
            <w:r>
              <w:rPr>
                <w:rFonts w:hint="eastAsia"/>
              </w:rPr>
              <w:t>568.65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t>12</w:t>
            </w:r>
          </w:p>
        </w:tc>
        <w:tc>
          <w:tcPr>
            <w:tcW w:w="2186" w:type="pct"/>
            <w:shd w:val="clear" w:color="auto" w:fill="auto"/>
            <w:vAlign w:val="center"/>
          </w:tcPr>
          <w:p>
            <w:pPr>
              <w:pStyle w:val="35"/>
            </w:pPr>
            <w:r>
              <w:rPr>
                <w:rFonts w:hint="eastAsia"/>
              </w:rPr>
              <w:t>多年平均最大日降水量</w:t>
            </w:r>
          </w:p>
        </w:tc>
        <w:tc>
          <w:tcPr>
            <w:tcW w:w="637" w:type="pct"/>
            <w:shd w:val="clear" w:color="auto" w:fill="auto"/>
            <w:vAlign w:val="center"/>
          </w:tcPr>
          <w:p>
            <w:pPr>
              <w:pStyle w:val="35"/>
            </w:pPr>
            <w:r>
              <w:t>mm</w:t>
            </w:r>
          </w:p>
        </w:tc>
        <w:tc>
          <w:tcPr>
            <w:tcW w:w="1742" w:type="pct"/>
            <w:shd w:val="clear" w:color="auto" w:fill="auto"/>
            <w:vAlign w:val="center"/>
          </w:tcPr>
          <w:p>
            <w:pPr>
              <w:pStyle w:val="35"/>
            </w:pPr>
            <w:r>
              <w:rPr>
                <w:rFonts w:hint="eastAsia"/>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34" w:type="pct"/>
            <w:shd w:val="clear" w:color="auto" w:fill="auto"/>
            <w:vAlign w:val="center"/>
          </w:tcPr>
          <w:p>
            <w:pPr>
              <w:pStyle w:val="35"/>
            </w:pPr>
            <w:r>
              <w:rPr>
                <w:rFonts w:hint="eastAsia"/>
              </w:rPr>
              <w:t>13</w:t>
            </w:r>
          </w:p>
        </w:tc>
        <w:tc>
          <w:tcPr>
            <w:tcW w:w="2186" w:type="pct"/>
            <w:shd w:val="clear" w:color="auto" w:fill="auto"/>
            <w:vAlign w:val="center"/>
          </w:tcPr>
          <w:p>
            <w:pPr>
              <w:pStyle w:val="35"/>
            </w:pPr>
            <w:r>
              <w:rPr>
                <w:rFonts w:hint="eastAsia"/>
              </w:rPr>
              <w:t>主导风向</w:t>
            </w:r>
          </w:p>
        </w:tc>
        <w:tc>
          <w:tcPr>
            <w:tcW w:w="637" w:type="pct"/>
            <w:shd w:val="clear" w:color="auto" w:fill="auto"/>
            <w:vAlign w:val="center"/>
          </w:tcPr>
          <w:p>
            <w:pPr>
              <w:pStyle w:val="35"/>
            </w:pPr>
            <w:r>
              <w:rPr>
                <w:rFonts w:hint="eastAsia"/>
              </w:rPr>
              <w:t>/</w:t>
            </w:r>
          </w:p>
        </w:tc>
        <w:tc>
          <w:tcPr>
            <w:tcW w:w="1742" w:type="pct"/>
            <w:shd w:val="clear" w:color="auto" w:fill="auto"/>
            <w:vAlign w:val="center"/>
          </w:tcPr>
          <w:p>
            <w:pPr>
              <w:pStyle w:val="35"/>
            </w:pPr>
            <w:r>
              <w:rPr>
                <w:rFonts w:hint="eastAsia"/>
              </w:rPr>
              <w:t>SSE~SSW</w:t>
            </w:r>
          </w:p>
        </w:tc>
      </w:tr>
    </w:tbl>
    <w:p>
      <w:pPr>
        <w:widowControl/>
        <w:adjustRightInd w:val="0"/>
        <w:snapToGrid w:val="0"/>
        <w:spacing w:line="520" w:lineRule="exact"/>
        <w:ind w:firstLine="482"/>
        <w:textAlignment w:val="baseline"/>
      </w:pPr>
    </w:p>
    <w:p>
      <w:pPr>
        <w:pStyle w:val="31"/>
        <w:rPr>
          <w:rFonts w:hAnsi="宋体"/>
          <w:kern w:val="0"/>
          <w:szCs w:val="28"/>
        </w:rPr>
      </w:pPr>
      <w:r>
        <w:rPr>
          <w:rFonts w:hint="eastAsia"/>
        </w:rPr>
        <w:t xml:space="preserve">4.1.6 </w:t>
      </w:r>
      <w:r>
        <w:rPr>
          <w:rFonts w:hAnsi="宋体"/>
          <w:kern w:val="0"/>
          <w:szCs w:val="28"/>
        </w:rPr>
        <w:t>矿产与土地资源</w:t>
      </w:r>
    </w:p>
    <w:p>
      <w:pPr>
        <w:pStyle w:val="33"/>
      </w:pPr>
      <w:r>
        <w:rPr>
          <w:rFonts w:hint="eastAsia"/>
        </w:rPr>
        <w:t xml:space="preserve">4.1.6.1 </w:t>
      </w:r>
      <w:r>
        <w:t>矿产资源</w:t>
      </w:r>
    </w:p>
    <w:p>
      <w:pPr>
        <w:widowControl/>
        <w:adjustRightInd w:val="0"/>
        <w:snapToGrid w:val="0"/>
        <w:spacing w:line="520" w:lineRule="exact"/>
        <w:ind w:firstLine="482"/>
        <w:textAlignment w:val="baseline"/>
        <w:rPr>
          <w:kern w:val="0"/>
          <w:sz w:val="28"/>
          <w:szCs w:val="28"/>
        </w:rPr>
      </w:pPr>
      <w:r>
        <w:rPr>
          <w:kern w:val="0"/>
          <w:sz w:val="28"/>
          <w:szCs w:val="28"/>
        </w:rPr>
        <w:t>濮阳地质因湖相沉积发育广泛，第三系沉积很厚，对油气生成及储存极为有利。已知的主要矿藏是石油、天然气、煤炭，另外还有盐、铁、铝等。石油、天然气储量较为丰富，且油气质量好，经济价值高。据初步调查，</w:t>
      </w:r>
      <w:r>
        <w:rPr>
          <w:rFonts w:hint="eastAsia"/>
          <w:kern w:val="0"/>
          <w:sz w:val="28"/>
          <w:szCs w:val="28"/>
        </w:rPr>
        <w:t>濮阳经济技术产业集聚区</w:t>
      </w:r>
      <w:r>
        <w:rPr>
          <w:kern w:val="0"/>
          <w:sz w:val="28"/>
          <w:szCs w:val="28"/>
        </w:rPr>
        <w:t>地下无矿产资源。</w:t>
      </w:r>
    </w:p>
    <w:p>
      <w:pPr>
        <w:pStyle w:val="33"/>
      </w:pPr>
      <w:r>
        <w:rPr>
          <w:rFonts w:hint="eastAsia"/>
        </w:rPr>
        <w:t xml:space="preserve">4.1.6.2 </w:t>
      </w:r>
      <w:r>
        <w:t>土地资源</w:t>
      </w:r>
    </w:p>
    <w:p>
      <w:pPr>
        <w:widowControl/>
        <w:adjustRightInd w:val="0"/>
        <w:snapToGrid w:val="0"/>
        <w:spacing w:line="520" w:lineRule="exact"/>
        <w:ind w:firstLine="482"/>
        <w:textAlignment w:val="baseline"/>
        <w:rPr>
          <w:kern w:val="0"/>
          <w:sz w:val="28"/>
          <w:szCs w:val="28"/>
        </w:rPr>
      </w:pPr>
      <w:r>
        <w:rPr>
          <w:kern w:val="0"/>
          <w:sz w:val="28"/>
          <w:szCs w:val="28"/>
        </w:rPr>
        <w:t>濮阳市土地面积约418800hm</w:t>
      </w:r>
      <w:r>
        <w:rPr>
          <w:kern w:val="0"/>
          <w:sz w:val="28"/>
          <w:szCs w:val="28"/>
          <w:vertAlign w:val="superscript"/>
        </w:rPr>
        <w:t>2</w:t>
      </w:r>
      <w:r>
        <w:rPr>
          <w:kern w:val="0"/>
          <w:sz w:val="28"/>
          <w:szCs w:val="28"/>
        </w:rPr>
        <w:t>，其中耕地占土地总面积的64.51％，园林占1.41%，林地占3.03%，居民点用地占15.33%，工矿用地占2.53%，交通用地占0.75%，水域用地占0.68%，为利用土地占1.71%。其基本特征是：地势平坦，土层深厚，便于开发利用；垦殖率较高，但人均占有量少，后备资源匮乏。土壤类型以潮土为主，占全市土地面积的97.2%。潮土耕性良好，适合栽种多种作物，是农业生产的理想土壤。</w:t>
      </w:r>
    </w:p>
    <w:p>
      <w:pPr>
        <w:pStyle w:val="31"/>
      </w:pPr>
      <w:r>
        <w:rPr>
          <w:rFonts w:hint="eastAsia"/>
        </w:rPr>
        <w:t xml:space="preserve">4.1.7 </w:t>
      </w:r>
      <w:r>
        <w:t>生物资源</w:t>
      </w:r>
    </w:p>
    <w:p>
      <w:pPr>
        <w:pStyle w:val="33"/>
      </w:pPr>
      <w:r>
        <w:rPr>
          <w:rFonts w:hint="eastAsia"/>
        </w:rPr>
        <w:t xml:space="preserve">4.1.7.1 </w:t>
      </w:r>
      <w:r>
        <w:t>植物资源</w:t>
      </w:r>
    </w:p>
    <w:p>
      <w:pPr>
        <w:widowControl/>
        <w:adjustRightInd w:val="0"/>
        <w:snapToGrid w:val="0"/>
        <w:spacing w:line="520" w:lineRule="exact"/>
        <w:ind w:firstLine="482"/>
        <w:textAlignment w:val="baseline"/>
        <w:rPr>
          <w:kern w:val="0"/>
          <w:sz w:val="28"/>
          <w:szCs w:val="28"/>
        </w:rPr>
      </w:pPr>
      <w:r>
        <w:rPr>
          <w:kern w:val="0"/>
          <w:sz w:val="28"/>
          <w:szCs w:val="28"/>
        </w:rPr>
        <w:t>濮阳地处冲积平原，是农业开发最早的地区之一，主要栽培植物，如小麦、玉米、水稻、红薯、大豆，种植面积达4万公顷。经济作物中棉花、花生、芝麻、油菜、麻类种植较多。蔬菜品种现有12大类100多个，种植较多的是白菜、萝卜、黄瓜、西红柿、葱、蒜、包菜、菜花、韭菜、辣椒、芹菜、茄子、马铃薯、豆角、姜、藕、冬瓜、南瓜等，近年又引进蔬菜新品种20多个。</w:t>
      </w:r>
    </w:p>
    <w:p>
      <w:pPr>
        <w:widowControl/>
        <w:adjustRightInd w:val="0"/>
        <w:snapToGrid w:val="0"/>
        <w:spacing w:line="520" w:lineRule="exact"/>
        <w:ind w:firstLine="482"/>
        <w:textAlignment w:val="baseline"/>
        <w:rPr>
          <w:kern w:val="0"/>
          <w:sz w:val="28"/>
          <w:szCs w:val="28"/>
        </w:rPr>
      </w:pPr>
      <w:r>
        <w:rPr>
          <w:kern w:val="0"/>
          <w:sz w:val="28"/>
          <w:szCs w:val="28"/>
        </w:rPr>
        <w:t>濮阳市生存植物除农作物外，全市植被以禾本科、豆科、菊科、蔷薇科、茄科、十字花科、百合科、杨柳科、伞形科、锦葵科、石蒜科、玄参科等多属暖温带的植被组成。濮阳天然林木甚少，基本为人造林，主要分布在黄河故道及背河洼地。优质用材林树种主要有毛白杨、加拿大杨、枫杨、榆、柳、泡桐、椿、槐等。经济林树种主要有红枣、苹果、桃、杏、梨、葡萄、柿、山楂、核桃、花椒等。</w:t>
      </w:r>
    </w:p>
    <w:p>
      <w:pPr>
        <w:pStyle w:val="33"/>
      </w:pPr>
      <w:r>
        <w:rPr>
          <w:rFonts w:hint="eastAsia"/>
        </w:rPr>
        <w:t xml:space="preserve">4.1.7.2 </w:t>
      </w:r>
      <w:r>
        <w:t>动物资源</w:t>
      </w:r>
    </w:p>
    <w:p>
      <w:pPr>
        <w:widowControl/>
        <w:adjustRightInd w:val="0"/>
        <w:snapToGrid w:val="0"/>
        <w:spacing w:line="520" w:lineRule="exact"/>
        <w:ind w:firstLine="560" w:firstLineChars="200"/>
        <w:textAlignment w:val="baseline"/>
        <w:rPr>
          <w:kern w:val="0"/>
          <w:sz w:val="28"/>
          <w:szCs w:val="28"/>
        </w:rPr>
      </w:pPr>
      <w:r>
        <w:rPr>
          <w:rFonts w:hint="eastAsia"/>
          <w:kern w:val="0"/>
          <w:sz w:val="28"/>
          <w:szCs w:val="28"/>
        </w:rPr>
        <w:t>濮阳市野生动物中，兽类主要有野兔、狐狸、獾、鼠、黄鼬、刺猬等。据1997年调查结果，全市鸟类还有38种，主要有鹊、雀、燕、猫头鹰、啄木鸟、布谷、鸽子、画眉等；水生动物主要有蛙、蟾、鱼、虾；昆虫种类繁多，常见的有11目45科，害虫天敌有9目44科70种。</w:t>
      </w:r>
    </w:p>
    <w:p>
      <w:pPr>
        <w:widowControl/>
        <w:adjustRightInd w:val="0"/>
        <w:snapToGrid w:val="0"/>
        <w:spacing w:line="520" w:lineRule="exact"/>
        <w:ind w:firstLine="560" w:firstLineChars="200"/>
        <w:textAlignment w:val="baseline"/>
        <w:rPr>
          <w:kern w:val="0"/>
          <w:sz w:val="28"/>
          <w:szCs w:val="28"/>
        </w:rPr>
      </w:pPr>
      <w:r>
        <w:rPr>
          <w:rFonts w:hint="eastAsia"/>
          <w:kern w:val="0"/>
          <w:sz w:val="28"/>
          <w:szCs w:val="28"/>
        </w:rPr>
        <w:t>本项目所在区域无国家重点保护动、植物种类。</w:t>
      </w:r>
    </w:p>
    <w:p>
      <w:pPr>
        <w:pStyle w:val="4"/>
        <w:numPr>
          <w:ilvl w:val="0"/>
          <w:numId w:val="0"/>
        </w:numPr>
        <w:adjustRightInd w:val="0"/>
        <w:snapToGrid w:val="0"/>
        <w:spacing w:before="0" w:after="0" w:line="520" w:lineRule="exact"/>
        <w:rPr>
          <w:rFonts w:ascii="Times New Roman" w:hAnsi="Times New Roman"/>
          <w:sz w:val="28"/>
          <w:szCs w:val="22"/>
        </w:rPr>
      </w:pPr>
      <w:r>
        <w:rPr>
          <w:rFonts w:hint="eastAsia" w:ascii="Times New Roman" w:hAnsi="Times New Roman"/>
          <w:sz w:val="28"/>
          <w:szCs w:val="22"/>
        </w:rPr>
        <w:t>4.2 环境保护目标调查</w:t>
      </w:r>
    </w:p>
    <w:p>
      <w:pPr>
        <w:pStyle w:val="27"/>
        <w:spacing w:line="500" w:lineRule="exact"/>
        <w:ind w:firstLine="560"/>
      </w:pPr>
      <w:r>
        <w:rPr>
          <w:rFonts w:hint="eastAsia"/>
        </w:rPr>
        <w:t>根据本项目排污</w:t>
      </w:r>
      <w:r>
        <w:rPr>
          <w:rFonts w:hint="eastAsia"/>
          <w:szCs w:val="28"/>
        </w:rPr>
        <w:t>特征</w:t>
      </w:r>
      <w:r>
        <w:rPr>
          <w:rFonts w:hint="eastAsia"/>
        </w:rPr>
        <w:t>、区域环境特征，本项目周边主要环境保护目标分布情况见下表。</w:t>
      </w:r>
    </w:p>
    <w:p>
      <w:pPr>
        <w:pStyle w:val="32"/>
      </w:pPr>
      <w:r>
        <w:rPr>
          <w:rFonts w:hint="eastAsia"/>
        </w:rPr>
        <w:t>表4.2-1              主要环境保护目标分布一览表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689"/>
        <w:gridCol w:w="660"/>
        <w:gridCol w:w="2365"/>
        <w:gridCol w:w="1338"/>
        <w:gridCol w:w="1330"/>
        <w:gridCol w:w="1181"/>
        <w:gridCol w:w="145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restart"/>
            <w:vAlign w:val="center"/>
          </w:tcPr>
          <w:p>
            <w:pPr>
              <w:pStyle w:val="36"/>
              <w:rPr>
                <w:b/>
                <w:bCs/>
              </w:rPr>
            </w:pPr>
            <w:r>
              <w:rPr>
                <w:b/>
                <w:bCs/>
              </w:rPr>
              <w:t>环</w:t>
            </w:r>
          </w:p>
          <w:p>
            <w:pPr>
              <w:pStyle w:val="36"/>
              <w:rPr>
                <w:b/>
                <w:bCs/>
              </w:rPr>
            </w:pPr>
            <w:r>
              <w:rPr>
                <w:b/>
                <w:bCs/>
              </w:rPr>
              <w:t>境</w:t>
            </w:r>
          </w:p>
          <w:p>
            <w:pPr>
              <w:pStyle w:val="36"/>
              <w:rPr>
                <w:b/>
                <w:bCs/>
              </w:rPr>
            </w:pPr>
            <w:r>
              <w:rPr>
                <w:b/>
                <w:bCs/>
              </w:rPr>
              <w:t>空</w:t>
            </w:r>
          </w:p>
          <w:p>
            <w:pPr>
              <w:pStyle w:val="36"/>
            </w:pPr>
            <w:r>
              <w:rPr>
                <w:b/>
                <w:bCs/>
              </w:rPr>
              <w:t>气</w:t>
            </w:r>
          </w:p>
        </w:tc>
        <w:tc>
          <w:tcPr>
            <w:tcW w:w="4618" w:type="pct"/>
            <w:gridSpan w:val="6"/>
            <w:vAlign w:val="center"/>
          </w:tcPr>
          <w:p>
            <w:pPr>
              <w:pStyle w:val="36"/>
              <w:rPr>
                <w:b/>
                <w:bCs/>
              </w:rPr>
            </w:pPr>
            <w:r>
              <w:rPr>
                <w:b/>
                <w:bCs/>
              </w:rPr>
              <w:t>厂址周围5km范围内</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rPr>
                <w:b/>
                <w:bCs/>
              </w:rPr>
            </w:pPr>
            <w:r>
              <w:rPr>
                <w:b/>
                <w:bCs/>
              </w:rPr>
              <w:t>序号</w:t>
            </w:r>
          </w:p>
        </w:tc>
        <w:tc>
          <w:tcPr>
            <w:tcW w:w="1312" w:type="pct"/>
            <w:vAlign w:val="center"/>
          </w:tcPr>
          <w:p>
            <w:pPr>
              <w:pStyle w:val="36"/>
              <w:rPr>
                <w:b/>
                <w:bCs/>
              </w:rPr>
            </w:pPr>
            <w:r>
              <w:rPr>
                <w:b/>
                <w:bCs/>
              </w:rPr>
              <w:t>敏感目标名称</w:t>
            </w:r>
          </w:p>
        </w:tc>
        <w:tc>
          <w:tcPr>
            <w:tcW w:w="742" w:type="pct"/>
            <w:vAlign w:val="center"/>
          </w:tcPr>
          <w:p>
            <w:pPr>
              <w:pStyle w:val="36"/>
              <w:rPr>
                <w:b/>
                <w:bCs/>
              </w:rPr>
            </w:pPr>
            <w:r>
              <w:rPr>
                <w:b/>
                <w:bCs/>
              </w:rPr>
              <w:t>属性</w:t>
            </w:r>
          </w:p>
        </w:tc>
        <w:tc>
          <w:tcPr>
            <w:tcW w:w="738" w:type="pct"/>
            <w:vAlign w:val="center"/>
          </w:tcPr>
          <w:p>
            <w:pPr>
              <w:pStyle w:val="36"/>
              <w:rPr>
                <w:b/>
                <w:bCs/>
              </w:rPr>
            </w:pPr>
            <w:r>
              <w:rPr>
                <w:b/>
                <w:bCs/>
              </w:rPr>
              <w:t>人口数</w:t>
            </w:r>
            <w:r>
              <w:rPr>
                <w:rFonts w:hint="eastAsia"/>
                <w:b/>
                <w:bCs/>
              </w:rPr>
              <w:t>（人）</w:t>
            </w:r>
          </w:p>
        </w:tc>
        <w:tc>
          <w:tcPr>
            <w:tcW w:w="655" w:type="pct"/>
            <w:vAlign w:val="center"/>
          </w:tcPr>
          <w:p>
            <w:pPr>
              <w:pStyle w:val="36"/>
              <w:rPr>
                <w:b/>
                <w:bCs/>
              </w:rPr>
            </w:pPr>
            <w:r>
              <w:rPr>
                <w:rFonts w:hint="eastAsia"/>
                <w:b/>
                <w:bCs/>
              </w:rPr>
              <w:t>方位</w:t>
            </w:r>
          </w:p>
        </w:tc>
        <w:tc>
          <w:tcPr>
            <w:tcW w:w="805" w:type="pct"/>
            <w:vAlign w:val="center"/>
          </w:tcPr>
          <w:p>
            <w:pPr>
              <w:pStyle w:val="36"/>
              <w:rPr>
                <w:b/>
                <w:bCs/>
              </w:rPr>
            </w:pPr>
            <w:r>
              <w:rPr>
                <w:rFonts w:hint="eastAsia"/>
                <w:b/>
                <w:bCs/>
              </w:rPr>
              <w:t>与项目边界</w:t>
            </w:r>
          </w:p>
          <w:p>
            <w:pPr>
              <w:pStyle w:val="36"/>
              <w:rPr>
                <w:b/>
                <w:bCs/>
              </w:rPr>
            </w:pPr>
            <w:r>
              <w:rPr>
                <w:b/>
                <w:bCs/>
              </w:rPr>
              <w:t>距离/m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w:t>
            </w:r>
          </w:p>
        </w:tc>
        <w:tc>
          <w:tcPr>
            <w:tcW w:w="1312" w:type="pct"/>
            <w:vAlign w:val="center"/>
          </w:tcPr>
          <w:p>
            <w:pPr>
              <w:pStyle w:val="36"/>
            </w:pPr>
            <w:r>
              <w:rPr>
                <w:rFonts w:hint="eastAsia"/>
              </w:rPr>
              <w:t>康呼村</w:t>
            </w:r>
          </w:p>
        </w:tc>
        <w:tc>
          <w:tcPr>
            <w:tcW w:w="742" w:type="pct"/>
            <w:vAlign w:val="center"/>
          </w:tcPr>
          <w:p>
            <w:pPr>
              <w:pStyle w:val="36"/>
            </w:pPr>
            <w:r>
              <w:t>居住区</w:t>
            </w:r>
          </w:p>
        </w:tc>
        <w:tc>
          <w:tcPr>
            <w:tcW w:w="738" w:type="pct"/>
            <w:vAlign w:val="center"/>
          </w:tcPr>
          <w:p>
            <w:pPr>
              <w:pStyle w:val="35"/>
            </w:pPr>
            <w:r>
              <w:rPr>
                <w:rFonts w:hint="eastAsia"/>
              </w:rPr>
              <w:t>1320</w:t>
            </w:r>
          </w:p>
        </w:tc>
        <w:tc>
          <w:tcPr>
            <w:tcW w:w="655" w:type="pct"/>
            <w:vAlign w:val="center"/>
          </w:tcPr>
          <w:p>
            <w:pPr>
              <w:pStyle w:val="35"/>
            </w:pPr>
            <w:r>
              <w:t>SSW</w:t>
            </w:r>
          </w:p>
        </w:tc>
        <w:tc>
          <w:tcPr>
            <w:tcW w:w="805" w:type="pct"/>
            <w:vAlign w:val="center"/>
          </w:tcPr>
          <w:p>
            <w:pPr>
              <w:pStyle w:val="35"/>
            </w:pPr>
            <w:r>
              <w:rPr>
                <w:rFonts w:hint="eastAsia"/>
              </w:rPr>
              <w:t>420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2</w:t>
            </w:r>
          </w:p>
        </w:tc>
        <w:tc>
          <w:tcPr>
            <w:tcW w:w="1312" w:type="pct"/>
            <w:vAlign w:val="center"/>
          </w:tcPr>
          <w:p>
            <w:pPr>
              <w:pStyle w:val="36"/>
            </w:pPr>
            <w:r>
              <w:rPr>
                <w:rFonts w:hint="eastAsia"/>
              </w:rPr>
              <w:t>西油坊</w:t>
            </w:r>
          </w:p>
        </w:tc>
        <w:tc>
          <w:tcPr>
            <w:tcW w:w="742" w:type="pct"/>
            <w:vAlign w:val="center"/>
          </w:tcPr>
          <w:p>
            <w:pPr>
              <w:pStyle w:val="36"/>
            </w:pPr>
            <w:r>
              <w:t>居住区</w:t>
            </w:r>
          </w:p>
        </w:tc>
        <w:tc>
          <w:tcPr>
            <w:tcW w:w="738" w:type="pct"/>
            <w:vAlign w:val="center"/>
          </w:tcPr>
          <w:p>
            <w:pPr>
              <w:pStyle w:val="35"/>
            </w:pPr>
            <w:r>
              <w:rPr>
                <w:rFonts w:hint="eastAsia"/>
              </w:rPr>
              <w:t>647</w:t>
            </w:r>
          </w:p>
        </w:tc>
        <w:tc>
          <w:tcPr>
            <w:tcW w:w="655" w:type="pct"/>
            <w:vAlign w:val="center"/>
          </w:tcPr>
          <w:p>
            <w:pPr>
              <w:pStyle w:val="35"/>
            </w:pPr>
            <w:r>
              <w:t>SW</w:t>
            </w:r>
          </w:p>
        </w:tc>
        <w:tc>
          <w:tcPr>
            <w:tcW w:w="805" w:type="pct"/>
            <w:vAlign w:val="center"/>
          </w:tcPr>
          <w:p>
            <w:pPr>
              <w:pStyle w:val="35"/>
            </w:pPr>
            <w:r>
              <w:rPr>
                <w:rFonts w:hint="eastAsia"/>
              </w:rPr>
              <w:t>860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3</w:t>
            </w:r>
          </w:p>
        </w:tc>
        <w:tc>
          <w:tcPr>
            <w:tcW w:w="1312" w:type="pct"/>
          </w:tcPr>
          <w:p>
            <w:pPr>
              <w:pStyle w:val="36"/>
            </w:pPr>
            <w:r>
              <w:rPr>
                <w:rFonts w:hint="eastAsia"/>
              </w:rPr>
              <w:t>前漳消</w:t>
            </w:r>
          </w:p>
        </w:tc>
        <w:tc>
          <w:tcPr>
            <w:tcW w:w="742" w:type="pct"/>
            <w:vAlign w:val="center"/>
          </w:tcPr>
          <w:p>
            <w:pPr>
              <w:pStyle w:val="36"/>
            </w:pPr>
            <w:r>
              <w:t>居住区</w:t>
            </w:r>
          </w:p>
        </w:tc>
        <w:tc>
          <w:tcPr>
            <w:tcW w:w="738" w:type="pct"/>
            <w:vAlign w:val="center"/>
          </w:tcPr>
          <w:p>
            <w:pPr>
              <w:pStyle w:val="35"/>
            </w:pPr>
            <w:r>
              <w:t>2100</w:t>
            </w:r>
          </w:p>
        </w:tc>
        <w:tc>
          <w:tcPr>
            <w:tcW w:w="655" w:type="pct"/>
            <w:vAlign w:val="center"/>
          </w:tcPr>
          <w:p>
            <w:pPr>
              <w:pStyle w:val="35"/>
            </w:pPr>
            <w:r>
              <w:t>ESE</w:t>
            </w:r>
          </w:p>
        </w:tc>
        <w:tc>
          <w:tcPr>
            <w:tcW w:w="805" w:type="pct"/>
            <w:vAlign w:val="center"/>
          </w:tcPr>
          <w:p>
            <w:pPr>
              <w:pStyle w:val="35"/>
            </w:pPr>
            <w:r>
              <w:rPr>
                <w:rFonts w:hint="eastAsia"/>
              </w:rPr>
              <w:t>1080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4</w:t>
            </w:r>
          </w:p>
        </w:tc>
        <w:tc>
          <w:tcPr>
            <w:tcW w:w="1312" w:type="pct"/>
            <w:vAlign w:val="center"/>
          </w:tcPr>
          <w:p>
            <w:pPr>
              <w:pStyle w:val="36"/>
            </w:pPr>
            <w:r>
              <w:rPr>
                <w:rFonts w:hint="eastAsia"/>
              </w:rPr>
              <w:t>丁寨村</w:t>
            </w:r>
          </w:p>
        </w:tc>
        <w:tc>
          <w:tcPr>
            <w:tcW w:w="742" w:type="pct"/>
            <w:vAlign w:val="center"/>
          </w:tcPr>
          <w:p>
            <w:pPr>
              <w:pStyle w:val="36"/>
            </w:pPr>
            <w:r>
              <w:t>居住区</w:t>
            </w:r>
          </w:p>
        </w:tc>
        <w:tc>
          <w:tcPr>
            <w:tcW w:w="738" w:type="pct"/>
            <w:vAlign w:val="center"/>
          </w:tcPr>
          <w:p>
            <w:pPr>
              <w:pStyle w:val="35"/>
            </w:pPr>
            <w:r>
              <w:rPr>
                <w:rFonts w:hint="eastAsia"/>
              </w:rPr>
              <w:t>1404</w:t>
            </w:r>
          </w:p>
        </w:tc>
        <w:tc>
          <w:tcPr>
            <w:tcW w:w="655" w:type="pct"/>
            <w:vAlign w:val="center"/>
          </w:tcPr>
          <w:p>
            <w:pPr>
              <w:pStyle w:val="35"/>
            </w:pPr>
            <w:r>
              <w:t>S</w:t>
            </w:r>
          </w:p>
        </w:tc>
        <w:tc>
          <w:tcPr>
            <w:tcW w:w="805" w:type="pct"/>
            <w:vAlign w:val="center"/>
          </w:tcPr>
          <w:p>
            <w:pPr>
              <w:pStyle w:val="35"/>
            </w:pPr>
            <w:r>
              <w:rPr>
                <w:rFonts w:hint="eastAsia"/>
              </w:rPr>
              <w:t>1120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5</w:t>
            </w:r>
          </w:p>
        </w:tc>
        <w:tc>
          <w:tcPr>
            <w:tcW w:w="1312" w:type="pct"/>
            <w:vAlign w:val="center"/>
          </w:tcPr>
          <w:p>
            <w:pPr>
              <w:pStyle w:val="36"/>
            </w:pPr>
            <w:r>
              <w:rPr>
                <w:rFonts w:hint="eastAsia"/>
              </w:rPr>
              <w:t>徐北旺</w:t>
            </w:r>
          </w:p>
        </w:tc>
        <w:tc>
          <w:tcPr>
            <w:tcW w:w="742" w:type="pct"/>
            <w:vAlign w:val="center"/>
          </w:tcPr>
          <w:p>
            <w:pPr>
              <w:pStyle w:val="36"/>
            </w:pPr>
            <w:r>
              <w:t>居住区</w:t>
            </w:r>
          </w:p>
        </w:tc>
        <w:tc>
          <w:tcPr>
            <w:tcW w:w="738" w:type="pct"/>
            <w:vAlign w:val="center"/>
          </w:tcPr>
          <w:p>
            <w:pPr>
              <w:pStyle w:val="35"/>
            </w:pPr>
            <w:r>
              <w:t>1400</w:t>
            </w:r>
          </w:p>
        </w:tc>
        <w:tc>
          <w:tcPr>
            <w:tcW w:w="655" w:type="pct"/>
            <w:vAlign w:val="center"/>
          </w:tcPr>
          <w:p>
            <w:pPr>
              <w:pStyle w:val="35"/>
            </w:pPr>
            <w:r>
              <w:t>SSE</w:t>
            </w:r>
          </w:p>
        </w:tc>
        <w:tc>
          <w:tcPr>
            <w:tcW w:w="805" w:type="pct"/>
            <w:vAlign w:val="center"/>
          </w:tcPr>
          <w:p>
            <w:pPr>
              <w:pStyle w:val="35"/>
            </w:pPr>
            <w:r>
              <w:rPr>
                <w:rFonts w:hint="eastAsia"/>
              </w:rPr>
              <w:t>1560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6</w:t>
            </w:r>
          </w:p>
        </w:tc>
        <w:tc>
          <w:tcPr>
            <w:tcW w:w="1312" w:type="pct"/>
            <w:vAlign w:val="center"/>
          </w:tcPr>
          <w:p>
            <w:pPr>
              <w:pStyle w:val="36"/>
            </w:pPr>
            <w:r>
              <w:rPr>
                <w:rFonts w:hint="eastAsia"/>
              </w:rPr>
              <w:t>职业技术学校</w:t>
            </w:r>
          </w:p>
        </w:tc>
        <w:tc>
          <w:tcPr>
            <w:tcW w:w="742" w:type="pct"/>
            <w:vAlign w:val="center"/>
          </w:tcPr>
          <w:p>
            <w:pPr>
              <w:pStyle w:val="36"/>
            </w:pPr>
            <w:r>
              <w:t>居住区</w:t>
            </w:r>
          </w:p>
        </w:tc>
        <w:tc>
          <w:tcPr>
            <w:tcW w:w="738" w:type="pct"/>
            <w:vAlign w:val="center"/>
          </w:tcPr>
          <w:p>
            <w:pPr>
              <w:pStyle w:val="35"/>
            </w:pPr>
            <w:r>
              <w:t>12000</w:t>
            </w:r>
          </w:p>
        </w:tc>
        <w:tc>
          <w:tcPr>
            <w:tcW w:w="655" w:type="pct"/>
            <w:vAlign w:val="center"/>
          </w:tcPr>
          <w:p>
            <w:pPr>
              <w:pStyle w:val="35"/>
            </w:pPr>
            <w:r>
              <w:t>NNW</w:t>
            </w:r>
          </w:p>
        </w:tc>
        <w:tc>
          <w:tcPr>
            <w:tcW w:w="805" w:type="pct"/>
            <w:vAlign w:val="center"/>
          </w:tcPr>
          <w:p>
            <w:pPr>
              <w:pStyle w:val="35"/>
            </w:pPr>
            <w:r>
              <w:rPr>
                <w:rFonts w:hint="eastAsia"/>
              </w:rPr>
              <w:t>2250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7</w:t>
            </w:r>
          </w:p>
        </w:tc>
        <w:tc>
          <w:tcPr>
            <w:tcW w:w="1312" w:type="pct"/>
            <w:vAlign w:val="center"/>
          </w:tcPr>
          <w:p>
            <w:pPr>
              <w:pStyle w:val="36"/>
            </w:pPr>
            <w:r>
              <w:rPr>
                <w:rFonts w:hint="eastAsia"/>
              </w:rPr>
              <w:t>前黄甫</w:t>
            </w:r>
          </w:p>
        </w:tc>
        <w:tc>
          <w:tcPr>
            <w:tcW w:w="742" w:type="pct"/>
            <w:vAlign w:val="center"/>
          </w:tcPr>
          <w:p>
            <w:pPr>
              <w:pStyle w:val="36"/>
            </w:pPr>
            <w:r>
              <w:t>居住区</w:t>
            </w:r>
          </w:p>
        </w:tc>
        <w:tc>
          <w:tcPr>
            <w:tcW w:w="738" w:type="pct"/>
            <w:vAlign w:val="center"/>
          </w:tcPr>
          <w:p>
            <w:pPr>
              <w:pStyle w:val="35"/>
            </w:pPr>
            <w:r>
              <w:rPr>
                <w:rFonts w:hint="eastAsia"/>
              </w:rPr>
              <w:t>1080</w:t>
            </w:r>
          </w:p>
        </w:tc>
        <w:tc>
          <w:tcPr>
            <w:tcW w:w="655" w:type="pct"/>
            <w:vAlign w:val="center"/>
          </w:tcPr>
          <w:p>
            <w:pPr>
              <w:pStyle w:val="35"/>
            </w:pPr>
            <w:r>
              <w:t>NW</w:t>
            </w:r>
          </w:p>
        </w:tc>
        <w:tc>
          <w:tcPr>
            <w:tcW w:w="805" w:type="pct"/>
            <w:vAlign w:val="center"/>
          </w:tcPr>
          <w:p>
            <w:pPr>
              <w:pStyle w:val="35"/>
            </w:pPr>
            <w:r>
              <w:rPr>
                <w:rFonts w:hint="eastAsia"/>
              </w:rPr>
              <w:t>1960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8</w:t>
            </w:r>
          </w:p>
        </w:tc>
        <w:tc>
          <w:tcPr>
            <w:tcW w:w="1312" w:type="pct"/>
            <w:vAlign w:val="center"/>
          </w:tcPr>
          <w:p>
            <w:pPr>
              <w:pStyle w:val="36"/>
            </w:pPr>
            <w:r>
              <w:rPr>
                <w:rFonts w:hint="eastAsia"/>
              </w:rPr>
              <w:t>蔡王合</w:t>
            </w:r>
          </w:p>
        </w:tc>
        <w:tc>
          <w:tcPr>
            <w:tcW w:w="742" w:type="pct"/>
            <w:vAlign w:val="center"/>
          </w:tcPr>
          <w:p>
            <w:pPr>
              <w:pStyle w:val="36"/>
            </w:pPr>
            <w:r>
              <w:t>居住区</w:t>
            </w:r>
          </w:p>
        </w:tc>
        <w:tc>
          <w:tcPr>
            <w:tcW w:w="738" w:type="pct"/>
            <w:vAlign w:val="center"/>
          </w:tcPr>
          <w:p>
            <w:pPr>
              <w:pStyle w:val="35"/>
            </w:pPr>
            <w:r>
              <w:rPr>
                <w:rFonts w:hint="eastAsia"/>
              </w:rPr>
              <w:t>970</w:t>
            </w:r>
          </w:p>
        </w:tc>
        <w:tc>
          <w:tcPr>
            <w:tcW w:w="655" w:type="pct"/>
            <w:vAlign w:val="center"/>
          </w:tcPr>
          <w:p>
            <w:pPr>
              <w:pStyle w:val="35"/>
            </w:pPr>
            <w:r>
              <w:t>ESE</w:t>
            </w:r>
          </w:p>
        </w:tc>
        <w:tc>
          <w:tcPr>
            <w:tcW w:w="805" w:type="pct"/>
            <w:vAlign w:val="center"/>
          </w:tcPr>
          <w:p>
            <w:pPr>
              <w:pStyle w:val="35"/>
            </w:pPr>
            <w:r>
              <w:rPr>
                <w:rFonts w:hint="eastAsia"/>
              </w:rPr>
              <w:t>2050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9</w:t>
            </w:r>
          </w:p>
        </w:tc>
        <w:tc>
          <w:tcPr>
            <w:tcW w:w="1312" w:type="pct"/>
            <w:vAlign w:val="center"/>
          </w:tcPr>
          <w:p>
            <w:pPr>
              <w:pStyle w:val="36"/>
            </w:pPr>
            <w:r>
              <w:rPr>
                <w:rFonts w:hint="eastAsia"/>
              </w:rPr>
              <w:t>后黄甫</w:t>
            </w:r>
          </w:p>
        </w:tc>
        <w:tc>
          <w:tcPr>
            <w:tcW w:w="742" w:type="pct"/>
            <w:vAlign w:val="center"/>
          </w:tcPr>
          <w:p>
            <w:pPr>
              <w:pStyle w:val="36"/>
            </w:pPr>
            <w:r>
              <w:t>居住区</w:t>
            </w:r>
          </w:p>
        </w:tc>
        <w:tc>
          <w:tcPr>
            <w:tcW w:w="738" w:type="pct"/>
            <w:vAlign w:val="center"/>
          </w:tcPr>
          <w:p>
            <w:pPr>
              <w:pStyle w:val="35"/>
            </w:pPr>
            <w:r>
              <w:rPr>
                <w:rFonts w:hint="eastAsia"/>
              </w:rPr>
              <w:t>2200</w:t>
            </w:r>
          </w:p>
        </w:tc>
        <w:tc>
          <w:tcPr>
            <w:tcW w:w="655" w:type="pct"/>
            <w:vAlign w:val="center"/>
          </w:tcPr>
          <w:p>
            <w:pPr>
              <w:pStyle w:val="35"/>
            </w:pPr>
            <w:r>
              <w:t>NW</w:t>
            </w:r>
          </w:p>
        </w:tc>
        <w:tc>
          <w:tcPr>
            <w:tcW w:w="805" w:type="pct"/>
            <w:vAlign w:val="center"/>
          </w:tcPr>
          <w:p>
            <w:pPr>
              <w:pStyle w:val="35"/>
            </w:pPr>
            <w:r>
              <w:rPr>
                <w:rFonts w:hint="eastAsia"/>
              </w:rPr>
              <w:t>2030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10</w:t>
            </w:r>
          </w:p>
        </w:tc>
        <w:tc>
          <w:tcPr>
            <w:tcW w:w="1312" w:type="pct"/>
            <w:vAlign w:val="center"/>
          </w:tcPr>
          <w:p>
            <w:pPr>
              <w:pStyle w:val="36"/>
            </w:pPr>
            <w:r>
              <w:rPr>
                <w:rFonts w:hint="eastAsia"/>
              </w:rPr>
              <w:t>胡北旺</w:t>
            </w:r>
          </w:p>
        </w:tc>
        <w:tc>
          <w:tcPr>
            <w:tcW w:w="742" w:type="pct"/>
            <w:vAlign w:val="center"/>
          </w:tcPr>
          <w:p>
            <w:pPr>
              <w:pStyle w:val="36"/>
            </w:pPr>
            <w:r>
              <w:t>居住区</w:t>
            </w:r>
          </w:p>
        </w:tc>
        <w:tc>
          <w:tcPr>
            <w:tcW w:w="738" w:type="pct"/>
            <w:vAlign w:val="center"/>
          </w:tcPr>
          <w:p>
            <w:pPr>
              <w:pStyle w:val="35"/>
            </w:pPr>
            <w:r>
              <w:rPr>
                <w:rFonts w:hint="eastAsia"/>
              </w:rPr>
              <w:t>1600</w:t>
            </w:r>
          </w:p>
        </w:tc>
        <w:tc>
          <w:tcPr>
            <w:tcW w:w="655" w:type="pct"/>
            <w:vAlign w:val="center"/>
          </w:tcPr>
          <w:p>
            <w:pPr>
              <w:pStyle w:val="35"/>
            </w:pPr>
            <w:r>
              <w:t>SE</w:t>
            </w:r>
          </w:p>
        </w:tc>
        <w:tc>
          <w:tcPr>
            <w:tcW w:w="805" w:type="pct"/>
            <w:vAlign w:val="center"/>
          </w:tcPr>
          <w:p>
            <w:pPr>
              <w:pStyle w:val="35"/>
            </w:pPr>
            <w:r>
              <w:rPr>
                <w:rFonts w:hint="eastAsia"/>
              </w:rPr>
              <w:t>1860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11</w:t>
            </w:r>
          </w:p>
        </w:tc>
        <w:tc>
          <w:tcPr>
            <w:tcW w:w="1312" w:type="pct"/>
            <w:vAlign w:val="center"/>
          </w:tcPr>
          <w:p>
            <w:pPr>
              <w:pStyle w:val="36"/>
            </w:pPr>
            <w:r>
              <w:rPr>
                <w:rFonts w:hint="eastAsia"/>
              </w:rPr>
              <w:t>崔北旺</w:t>
            </w:r>
          </w:p>
        </w:tc>
        <w:tc>
          <w:tcPr>
            <w:tcW w:w="742" w:type="pct"/>
            <w:vAlign w:val="center"/>
          </w:tcPr>
          <w:p>
            <w:pPr>
              <w:pStyle w:val="36"/>
            </w:pPr>
            <w:r>
              <w:t>居住区</w:t>
            </w:r>
          </w:p>
        </w:tc>
        <w:tc>
          <w:tcPr>
            <w:tcW w:w="738" w:type="pct"/>
            <w:vAlign w:val="center"/>
          </w:tcPr>
          <w:p>
            <w:pPr>
              <w:pStyle w:val="35"/>
            </w:pPr>
            <w:r>
              <w:t>1400</w:t>
            </w:r>
          </w:p>
        </w:tc>
        <w:tc>
          <w:tcPr>
            <w:tcW w:w="655" w:type="pct"/>
            <w:vAlign w:val="center"/>
          </w:tcPr>
          <w:p>
            <w:pPr>
              <w:pStyle w:val="35"/>
            </w:pPr>
            <w:r>
              <w:t>SE</w:t>
            </w:r>
          </w:p>
        </w:tc>
        <w:tc>
          <w:tcPr>
            <w:tcW w:w="805" w:type="pct"/>
            <w:vAlign w:val="center"/>
          </w:tcPr>
          <w:p>
            <w:pPr>
              <w:pStyle w:val="35"/>
            </w:pPr>
            <w:r>
              <w:rPr>
                <w:rFonts w:hint="eastAsia"/>
              </w:rPr>
              <w:t>2160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12</w:t>
            </w:r>
          </w:p>
        </w:tc>
        <w:tc>
          <w:tcPr>
            <w:tcW w:w="1312" w:type="pct"/>
            <w:vAlign w:val="center"/>
          </w:tcPr>
          <w:p>
            <w:pPr>
              <w:pStyle w:val="36"/>
            </w:pPr>
            <w:r>
              <w:rPr>
                <w:rFonts w:hint="eastAsia"/>
              </w:rPr>
              <w:t>乜村</w:t>
            </w:r>
          </w:p>
        </w:tc>
        <w:tc>
          <w:tcPr>
            <w:tcW w:w="742" w:type="pct"/>
            <w:vAlign w:val="center"/>
          </w:tcPr>
          <w:p>
            <w:pPr>
              <w:pStyle w:val="36"/>
            </w:pPr>
            <w:r>
              <w:t>居住区</w:t>
            </w:r>
          </w:p>
        </w:tc>
        <w:tc>
          <w:tcPr>
            <w:tcW w:w="738" w:type="pct"/>
            <w:vAlign w:val="center"/>
          </w:tcPr>
          <w:p>
            <w:pPr>
              <w:pStyle w:val="35"/>
            </w:pPr>
            <w:r>
              <w:t>1700</w:t>
            </w:r>
          </w:p>
        </w:tc>
        <w:tc>
          <w:tcPr>
            <w:tcW w:w="655" w:type="pct"/>
            <w:vAlign w:val="center"/>
          </w:tcPr>
          <w:p>
            <w:pPr>
              <w:pStyle w:val="35"/>
            </w:pPr>
            <w:r>
              <w:t>S</w:t>
            </w:r>
          </w:p>
        </w:tc>
        <w:tc>
          <w:tcPr>
            <w:tcW w:w="805" w:type="pct"/>
            <w:vAlign w:val="center"/>
          </w:tcPr>
          <w:p>
            <w:pPr>
              <w:pStyle w:val="35"/>
            </w:pPr>
            <w:r>
              <w:t>2</w:t>
            </w:r>
            <w:r>
              <w:rPr>
                <w:rFonts w:hint="eastAsia"/>
              </w:rPr>
              <w:t>350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13</w:t>
            </w:r>
          </w:p>
        </w:tc>
        <w:tc>
          <w:tcPr>
            <w:tcW w:w="1312" w:type="pct"/>
            <w:vAlign w:val="center"/>
          </w:tcPr>
          <w:p>
            <w:pPr>
              <w:pStyle w:val="36"/>
            </w:pPr>
            <w:r>
              <w:rPr>
                <w:rFonts w:hint="eastAsia"/>
              </w:rPr>
              <w:t>胡王合</w:t>
            </w:r>
          </w:p>
        </w:tc>
        <w:tc>
          <w:tcPr>
            <w:tcW w:w="742" w:type="pct"/>
            <w:vAlign w:val="center"/>
          </w:tcPr>
          <w:p>
            <w:pPr>
              <w:pStyle w:val="36"/>
            </w:pPr>
            <w:r>
              <w:t>居住区</w:t>
            </w:r>
          </w:p>
        </w:tc>
        <w:tc>
          <w:tcPr>
            <w:tcW w:w="738" w:type="pct"/>
            <w:vAlign w:val="center"/>
          </w:tcPr>
          <w:p>
            <w:pPr>
              <w:pStyle w:val="35"/>
            </w:pPr>
            <w:r>
              <w:t>1200</w:t>
            </w:r>
          </w:p>
        </w:tc>
        <w:tc>
          <w:tcPr>
            <w:tcW w:w="655" w:type="pct"/>
            <w:vAlign w:val="center"/>
          </w:tcPr>
          <w:p>
            <w:pPr>
              <w:pStyle w:val="35"/>
            </w:pPr>
            <w:r>
              <w:t>S</w:t>
            </w:r>
          </w:p>
        </w:tc>
        <w:tc>
          <w:tcPr>
            <w:tcW w:w="805" w:type="pct"/>
            <w:vAlign w:val="center"/>
          </w:tcPr>
          <w:p>
            <w:pPr>
              <w:pStyle w:val="35"/>
            </w:pPr>
            <w:r>
              <w:rPr>
                <w:rFonts w:hint="eastAsia"/>
              </w:rPr>
              <w:t>2720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14</w:t>
            </w:r>
          </w:p>
        </w:tc>
        <w:tc>
          <w:tcPr>
            <w:tcW w:w="1312" w:type="pct"/>
            <w:vAlign w:val="center"/>
          </w:tcPr>
          <w:p>
            <w:pPr>
              <w:pStyle w:val="36"/>
            </w:pPr>
            <w:r>
              <w:rPr>
                <w:rFonts w:hint="eastAsia"/>
              </w:rPr>
              <w:t>后铁丘</w:t>
            </w:r>
          </w:p>
        </w:tc>
        <w:tc>
          <w:tcPr>
            <w:tcW w:w="742" w:type="pct"/>
            <w:vAlign w:val="center"/>
          </w:tcPr>
          <w:p>
            <w:pPr>
              <w:pStyle w:val="36"/>
            </w:pPr>
            <w:r>
              <w:t>居住区</w:t>
            </w:r>
          </w:p>
        </w:tc>
        <w:tc>
          <w:tcPr>
            <w:tcW w:w="738" w:type="pct"/>
            <w:vAlign w:val="center"/>
          </w:tcPr>
          <w:p>
            <w:pPr>
              <w:pStyle w:val="35"/>
            </w:pPr>
            <w:r>
              <w:t>1640</w:t>
            </w:r>
          </w:p>
        </w:tc>
        <w:tc>
          <w:tcPr>
            <w:tcW w:w="655" w:type="pct"/>
            <w:vAlign w:val="center"/>
          </w:tcPr>
          <w:p>
            <w:pPr>
              <w:pStyle w:val="35"/>
            </w:pPr>
            <w:r>
              <w:t>SE</w:t>
            </w:r>
          </w:p>
        </w:tc>
        <w:tc>
          <w:tcPr>
            <w:tcW w:w="805" w:type="pct"/>
            <w:vAlign w:val="center"/>
          </w:tcPr>
          <w:p>
            <w:pPr>
              <w:pStyle w:val="35"/>
            </w:pPr>
            <w:r>
              <w:rPr>
                <w:rFonts w:hint="eastAsia"/>
              </w:rPr>
              <w:t>2560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15</w:t>
            </w:r>
          </w:p>
        </w:tc>
        <w:tc>
          <w:tcPr>
            <w:tcW w:w="1312" w:type="pct"/>
            <w:vAlign w:val="center"/>
          </w:tcPr>
          <w:p>
            <w:pPr>
              <w:pStyle w:val="36"/>
            </w:pPr>
            <w:r>
              <w:rPr>
                <w:rFonts w:hint="eastAsia"/>
              </w:rPr>
              <w:t>西郭寨</w:t>
            </w:r>
          </w:p>
        </w:tc>
        <w:tc>
          <w:tcPr>
            <w:tcW w:w="742" w:type="pct"/>
            <w:vAlign w:val="center"/>
          </w:tcPr>
          <w:p>
            <w:pPr>
              <w:pStyle w:val="36"/>
            </w:pPr>
            <w:r>
              <w:t>居住区</w:t>
            </w:r>
          </w:p>
        </w:tc>
        <w:tc>
          <w:tcPr>
            <w:tcW w:w="738" w:type="pct"/>
            <w:vAlign w:val="center"/>
          </w:tcPr>
          <w:p>
            <w:pPr>
              <w:pStyle w:val="35"/>
            </w:pPr>
            <w:r>
              <w:t>1700</w:t>
            </w:r>
          </w:p>
        </w:tc>
        <w:tc>
          <w:tcPr>
            <w:tcW w:w="655" w:type="pct"/>
            <w:vAlign w:val="center"/>
          </w:tcPr>
          <w:p>
            <w:pPr>
              <w:pStyle w:val="35"/>
            </w:pPr>
            <w:r>
              <w:t>SW</w:t>
            </w:r>
          </w:p>
        </w:tc>
        <w:tc>
          <w:tcPr>
            <w:tcW w:w="805" w:type="pct"/>
            <w:vAlign w:val="center"/>
          </w:tcPr>
          <w:p>
            <w:pPr>
              <w:pStyle w:val="35"/>
            </w:pPr>
            <w:r>
              <w:rPr>
                <w:rFonts w:hint="eastAsia"/>
              </w:rPr>
              <w:t>2360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Align w:val="center"/>
          </w:tcPr>
          <w:p>
            <w:pPr>
              <w:pStyle w:val="35"/>
            </w:pPr>
            <w:r>
              <w:rPr>
                <w:rFonts w:hint="eastAsia"/>
                <w:b/>
                <w:bCs/>
              </w:rPr>
              <w:t>声环境</w:t>
            </w:r>
          </w:p>
        </w:tc>
        <w:tc>
          <w:tcPr>
            <w:tcW w:w="366" w:type="pct"/>
            <w:vAlign w:val="center"/>
          </w:tcPr>
          <w:p>
            <w:pPr>
              <w:pStyle w:val="35"/>
            </w:pPr>
            <w:r>
              <w:rPr>
                <w:rFonts w:hint="eastAsia"/>
              </w:rPr>
              <w:t>1</w:t>
            </w:r>
          </w:p>
        </w:tc>
        <w:tc>
          <w:tcPr>
            <w:tcW w:w="1312" w:type="pct"/>
            <w:vAlign w:val="center"/>
          </w:tcPr>
          <w:p>
            <w:pPr>
              <w:pStyle w:val="35"/>
            </w:pPr>
            <w:r>
              <w:rPr>
                <w:rFonts w:hint="eastAsia"/>
              </w:rPr>
              <w:t>厂界四周</w:t>
            </w:r>
          </w:p>
        </w:tc>
        <w:tc>
          <w:tcPr>
            <w:tcW w:w="742" w:type="pct"/>
            <w:vAlign w:val="center"/>
          </w:tcPr>
          <w:p>
            <w:pPr>
              <w:pStyle w:val="35"/>
            </w:pPr>
            <w:r>
              <w:t>/</w:t>
            </w:r>
          </w:p>
        </w:tc>
        <w:tc>
          <w:tcPr>
            <w:tcW w:w="738" w:type="pct"/>
            <w:vAlign w:val="center"/>
          </w:tcPr>
          <w:p>
            <w:pPr>
              <w:pStyle w:val="35"/>
            </w:pPr>
            <w:r>
              <w:t>/</w:t>
            </w:r>
          </w:p>
        </w:tc>
        <w:tc>
          <w:tcPr>
            <w:tcW w:w="655" w:type="pct"/>
            <w:vAlign w:val="center"/>
          </w:tcPr>
          <w:p>
            <w:pPr>
              <w:pStyle w:val="35"/>
            </w:pPr>
            <w:r>
              <w:t>/</w:t>
            </w:r>
          </w:p>
        </w:tc>
        <w:tc>
          <w:tcPr>
            <w:tcW w:w="805" w:type="pct"/>
            <w:vAlign w:val="center"/>
          </w:tcPr>
          <w:p>
            <w:pPr>
              <w:pStyle w:val="35"/>
            </w:pPr>
            <w:r>
              <w:rPr>
                <w:rFonts w:hint="eastAsia"/>
              </w:rPr>
              <w:t>3类</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restart"/>
            <w:vAlign w:val="center"/>
          </w:tcPr>
          <w:p>
            <w:pPr>
              <w:pStyle w:val="36"/>
              <w:rPr>
                <w:b/>
                <w:bCs/>
              </w:rPr>
            </w:pPr>
            <w:r>
              <w:rPr>
                <w:b/>
                <w:bCs/>
              </w:rPr>
              <w:t>地表水</w:t>
            </w:r>
          </w:p>
        </w:tc>
        <w:tc>
          <w:tcPr>
            <w:tcW w:w="4618" w:type="pct"/>
            <w:gridSpan w:val="6"/>
            <w:vAlign w:val="center"/>
          </w:tcPr>
          <w:p>
            <w:pPr>
              <w:pStyle w:val="36"/>
              <w:rPr>
                <w:b/>
                <w:bCs/>
              </w:rPr>
            </w:pPr>
            <w:r>
              <w:rPr>
                <w:rFonts w:hint="eastAsia"/>
                <w:b/>
                <w:bCs/>
              </w:rPr>
              <w:t>周围</w:t>
            </w:r>
            <w:r>
              <w:rPr>
                <w:b/>
                <w:bCs/>
              </w:rPr>
              <w:t>水体</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rPr>
                <w:b/>
                <w:bCs/>
              </w:rPr>
            </w:pPr>
            <w:r>
              <w:rPr>
                <w:b/>
                <w:bCs/>
              </w:rPr>
              <w:t>序号</w:t>
            </w:r>
          </w:p>
        </w:tc>
        <w:tc>
          <w:tcPr>
            <w:tcW w:w="1312" w:type="pct"/>
            <w:vAlign w:val="center"/>
          </w:tcPr>
          <w:p>
            <w:pPr>
              <w:pStyle w:val="36"/>
              <w:rPr>
                <w:b/>
                <w:bCs/>
              </w:rPr>
            </w:pPr>
            <w:r>
              <w:rPr>
                <w:b/>
                <w:bCs/>
              </w:rPr>
              <w:t>受纳水体名称</w:t>
            </w:r>
          </w:p>
        </w:tc>
        <w:tc>
          <w:tcPr>
            <w:tcW w:w="1480" w:type="pct"/>
            <w:gridSpan w:val="2"/>
            <w:vAlign w:val="center"/>
          </w:tcPr>
          <w:p>
            <w:pPr>
              <w:pStyle w:val="36"/>
              <w:rPr>
                <w:b/>
                <w:bCs/>
              </w:rPr>
            </w:pPr>
            <w:r>
              <w:rPr>
                <w:b/>
                <w:bCs/>
              </w:rPr>
              <w:t>排放点水域环境功能</w:t>
            </w:r>
          </w:p>
        </w:tc>
        <w:tc>
          <w:tcPr>
            <w:tcW w:w="655" w:type="pct"/>
            <w:vAlign w:val="center"/>
          </w:tcPr>
          <w:p>
            <w:pPr>
              <w:pStyle w:val="36"/>
              <w:rPr>
                <w:b/>
                <w:bCs/>
              </w:rPr>
            </w:pPr>
            <w:r>
              <w:rPr>
                <w:rFonts w:hint="eastAsia"/>
                <w:b/>
                <w:bCs/>
              </w:rPr>
              <w:t>方位</w:t>
            </w:r>
          </w:p>
        </w:tc>
        <w:tc>
          <w:tcPr>
            <w:tcW w:w="805" w:type="pct"/>
            <w:vAlign w:val="center"/>
          </w:tcPr>
          <w:p>
            <w:pPr>
              <w:pStyle w:val="36"/>
              <w:rPr>
                <w:b/>
                <w:bCs/>
              </w:rPr>
            </w:pPr>
            <w:r>
              <w:rPr>
                <w:rFonts w:hint="eastAsia"/>
                <w:b/>
                <w:bCs/>
              </w:rPr>
              <w:t>与项目边界</w:t>
            </w:r>
          </w:p>
          <w:p>
            <w:pPr>
              <w:pStyle w:val="36"/>
              <w:rPr>
                <w:b/>
                <w:bCs/>
              </w:rPr>
            </w:pPr>
            <w:r>
              <w:rPr>
                <w:b/>
                <w:bCs/>
              </w:rPr>
              <w:t>距离/m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w:t>
            </w:r>
          </w:p>
        </w:tc>
        <w:tc>
          <w:tcPr>
            <w:tcW w:w="1312" w:type="pct"/>
            <w:vAlign w:val="center"/>
          </w:tcPr>
          <w:p>
            <w:pPr>
              <w:pStyle w:val="36"/>
            </w:pPr>
            <w:r>
              <w:rPr>
                <w:rFonts w:hint="eastAsia"/>
              </w:rPr>
              <w:t>濮清南干渠</w:t>
            </w:r>
          </w:p>
        </w:tc>
        <w:tc>
          <w:tcPr>
            <w:tcW w:w="1480" w:type="pct"/>
            <w:gridSpan w:val="2"/>
            <w:vAlign w:val="center"/>
          </w:tcPr>
          <w:p>
            <w:pPr>
              <w:pStyle w:val="36"/>
              <w:rPr>
                <w:rFonts w:ascii="宋体" w:hAnsi="宋体"/>
              </w:rPr>
            </w:pPr>
            <w:r>
              <w:rPr>
                <w:rFonts w:hint="eastAsia" w:ascii="宋体" w:hAnsi="宋体"/>
              </w:rPr>
              <w:t>Ⅲ类</w:t>
            </w:r>
          </w:p>
        </w:tc>
        <w:tc>
          <w:tcPr>
            <w:tcW w:w="655" w:type="pct"/>
            <w:vAlign w:val="center"/>
          </w:tcPr>
          <w:p>
            <w:pPr>
              <w:pStyle w:val="36"/>
            </w:pPr>
            <w:r>
              <w:rPr>
                <w:rFonts w:hint="eastAsia"/>
              </w:rPr>
              <w:t>W</w:t>
            </w:r>
          </w:p>
        </w:tc>
        <w:tc>
          <w:tcPr>
            <w:tcW w:w="805" w:type="pct"/>
            <w:vAlign w:val="center"/>
          </w:tcPr>
          <w:p>
            <w:pPr>
              <w:pStyle w:val="36"/>
            </w:pPr>
            <w:r>
              <w:rPr>
                <w:rFonts w:hint="eastAsia"/>
              </w:rPr>
              <w:t>1290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restart"/>
            <w:vAlign w:val="center"/>
          </w:tcPr>
          <w:p>
            <w:pPr>
              <w:pStyle w:val="36"/>
              <w:rPr>
                <w:b/>
                <w:bCs/>
              </w:rPr>
            </w:pPr>
            <w:r>
              <w:rPr>
                <w:rFonts w:hint="eastAsia"/>
                <w:b/>
                <w:bCs/>
              </w:rPr>
              <w:t>地下水</w:t>
            </w:r>
          </w:p>
        </w:tc>
        <w:tc>
          <w:tcPr>
            <w:tcW w:w="366" w:type="pct"/>
            <w:vAlign w:val="center"/>
          </w:tcPr>
          <w:p>
            <w:pPr>
              <w:pStyle w:val="36"/>
            </w:pPr>
            <w:r>
              <w:rPr>
                <w:b/>
                <w:bCs/>
              </w:rPr>
              <w:t>序号</w:t>
            </w:r>
          </w:p>
        </w:tc>
        <w:tc>
          <w:tcPr>
            <w:tcW w:w="1312" w:type="pct"/>
            <w:vAlign w:val="center"/>
          </w:tcPr>
          <w:p>
            <w:pPr>
              <w:pStyle w:val="36"/>
            </w:pPr>
            <w:r>
              <w:rPr>
                <w:b/>
                <w:bCs/>
              </w:rPr>
              <w:t>环境敏感区名称</w:t>
            </w:r>
          </w:p>
        </w:tc>
        <w:tc>
          <w:tcPr>
            <w:tcW w:w="1480" w:type="pct"/>
            <w:gridSpan w:val="2"/>
            <w:vAlign w:val="center"/>
          </w:tcPr>
          <w:p>
            <w:pPr>
              <w:pStyle w:val="36"/>
              <w:rPr>
                <w:rFonts w:ascii="宋体" w:hAnsi="宋体"/>
              </w:rPr>
            </w:pPr>
            <w:r>
              <w:rPr>
                <w:b/>
                <w:bCs/>
              </w:rPr>
              <w:t>环境敏感特征</w:t>
            </w:r>
          </w:p>
        </w:tc>
        <w:tc>
          <w:tcPr>
            <w:tcW w:w="655" w:type="pct"/>
            <w:vAlign w:val="center"/>
          </w:tcPr>
          <w:p>
            <w:pPr>
              <w:pStyle w:val="36"/>
            </w:pPr>
            <w:r>
              <w:rPr>
                <w:b/>
                <w:bCs/>
              </w:rPr>
              <w:t>水质目标</w:t>
            </w:r>
          </w:p>
        </w:tc>
        <w:tc>
          <w:tcPr>
            <w:tcW w:w="805" w:type="pct"/>
            <w:vAlign w:val="center"/>
          </w:tcPr>
          <w:p>
            <w:pPr>
              <w:pStyle w:val="36"/>
            </w:pPr>
            <w:r>
              <w:rPr>
                <w:rFonts w:hint="eastAsia"/>
                <w:b/>
                <w:bCs/>
              </w:rPr>
              <w:t>方位</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1</w:t>
            </w:r>
          </w:p>
        </w:tc>
        <w:tc>
          <w:tcPr>
            <w:tcW w:w="1312" w:type="pct"/>
            <w:vAlign w:val="center"/>
          </w:tcPr>
          <w:p>
            <w:pPr>
              <w:pStyle w:val="36"/>
            </w:pPr>
            <w:r>
              <w:rPr>
                <w:rFonts w:hint="eastAsia"/>
              </w:rPr>
              <w:t>康呼村</w:t>
            </w:r>
          </w:p>
        </w:tc>
        <w:tc>
          <w:tcPr>
            <w:tcW w:w="1480" w:type="pct"/>
            <w:gridSpan w:val="2"/>
            <w:vAlign w:val="center"/>
          </w:tcPr>
          <w:p>
            <w:pPr>
              <w:pStyle w:val="36"/>
              <w:rPr>
                <w:rFonts w:ascii="宋体" w:hAnsi="宋体"/>
              </w:rPr>
            </w:pPr>
            <w:r>
              <w:rPr>
                <w:rFonts w:hint="eastAsia"/>
              </w:rPr>
              <w:t>分散式饮用水源地</w:t>
            </w:r>
          </w:p>
        </w:tc>
        <w:tc>
          <w:tcPr>
            <w:tcW w:w="655" w:type="pct"/>
            <w:vAlign w:val="center"/>
          </w:tcPr>
          <w:p>
            <w:pPr>
              <w:pStyle w:val="36"/>
            </w:pPr>
            <w:r>
              <w:rPr>
                <w:rFonts w:hint="eastAsia" w:ascii="宋体" w:hAnsi="宋体" w:cs="宋体"/>
              </w:rPr>
              <w:t>Ⅲ</w:t>
            </w:r>
            <w:r>
              <w:t>类</w:t>
            </w:r>
          </w:p>
        </w:tc>
        <w:tc>
          <w:tcPr>
            <w:tcW w:w="805" w:type="pct"/>
            <w:vAlign w:val="center"/>
          </w:tcPr>
          <w:p>
            <w:pPr>
              <w:pStyle w:val="36"/>
            </w:pPr>
            <w:r>
              <w:rPr>
                <w:rFonts w:hint="eastAsia"/>
              </w:rPr>
              <w:t>S</w:t>
            </w:r>
            <w:r>
              <w:t>SW</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82" w:type="pct"/>
            <w:vMerge w:val="continue"/>
            <w:vAlign w:val="center"/>
          </w:tcPr>
          <w:p>
            <w:pPr>
              <w:pStyle w:val="36"/>
            </w:pPr>
          </w:p>
        </w:tc>
        <w:tc>
          <w:tcPr>
            <w:tcW w:w="366" w:type="pct"/>
            <w:vAlign w:val="center"/>
          </w:tcPr>
          <w:p>
            <w:pPr>
              <w:pStyle w:val="36"/>
            </w:pPr>
            <w:r>
              <w:t>2</w:t>
            </w:r>
          </w:p>
        </w:tc>
        <w:tc>
          <w:tcPr>
            <w:tcW w:w="1312" w:type="pct"/>
            <w:vAlign w:val="center"/>
          </w:tcPr>
          <w:p>
            <w:pPr>
              <w:pStyle w:val="36"/>
            </w:pPr>
            <w:r>
              <w:rPr>
                <w:szCs w:val="28"/>
              </w:rPr>
              <w:t>前漳消村</w:t>
            </w:r>
          </w:p>
        </w:tc>
        <w:tc>
          <w:tcPr>
            <w:tcW w:w="1480" w:type="pct"/>
            <w:gridSpan w:val="2"/>
            <w:vAlign w:val="center"/>
          </w:tcPr>
          <w:p>
            <w:pPr>
              <w:pStyle w:val="36"/>
              <w:rPr>
                <w:rFonts w:ascii="宋体" w:hAnsi="宋体"/>
              </w:rPr>
            </w:pPr>
            <w:r>
              <w:rPr>
                <w:rFonts w:hint="eastAsia"/>
              </w:rPr>
              <w:t>分散式饮用水源地</w:t>
            </w:r>
          </w:p>
        </w:tc>
        <w:tc>
          <w:tcPr>
            <w:tcW w:w="655" w:type="pct"/>
            <w:vAlign w:val="center"/>
          </w:tcPr>
          <w:p>
            <w:pPr>
              <w:pStyle w:val="36"/>
            </w:pPr>
            <w:r>
              <w:rPr>
                <w:rFonts w:hint="eastAsia" w:ascii="宋体" w:hAnsi="宋体" w:cs="宋体"/>
              </w:rPr>
              <w:t>Ⅲ</w:t>
            </w:r>
            <w:r>
              <w:t>类</w:t>
            </w:r>
          </w:p>
        </w:tc>
        <w:tc>
          <w:tcPr>
            <w:tcW w:w="805" w:type="pct"/>
            <w:vAlign w:val="center"/>
          </w:tcPr>
          <w:p>
            <w:pPr>
              <w:pStyle w:val="36"/>
            </w:pPr>
            <w:r>
              <w:t>ESE</w:t>
            </w:r>
          </w:p>
        </w:tc>
      </w:tr>
    </w:tbl>
    <w:p>
      <w:pPr>
        <w:pStyle w:val="4"/>
        <w:numPr>
          <w:ilvl w:val="0"/>
          <w:numId w:val="0"/>
        </w:numPr>
        <w:adjustRightInd w:val="0"/>
        <w:snapToGrid w:val="0"/>
        <w:spacing w:before="0" w:after="0" w:line="520" w:lineRule="exact"/>
        <w:rPr>
          <w:rFonts w:ascii="Times New Roman" w:hAnsi="Times New Roman"/>
          <w:sz w:val="28"/>
          <w:szCs w:val="22"/>
        </w:rPr>
      </w:pPr>
      <w:r>
        <w:rPr>
          <w:rFonts w:hint="eastAsia" w:ascii="Times New Roman" w:hAnsi="Times New Roman"/>
          <w:sz w:val="28"/>
          <w:szCs w:val="22"/>
        </w:rPr>
        <w:t>4.3 环境质量现状调查与评价</w:t>
      </w:r>
    </w:p>
    <w:p>
      <w:pPr>
        <w:pStyle w:val="27"/>
        <w:ind w:firstLine="560"/>
      </w:pPr>
      <w:r>
        <w:rPr>
          <w:rFonts w:hint="eastAsia"/>
        </w:rPr>
        <w:t>本次环境质量现状调查与评价充分利用已有调查数据，对无现有数据的评价因子或环境要素开展补充监测，本项目环境质量现状调查、监测数据来源详见表4.3</w:t>
      </w:r>
      <w:r>
        <w:t>-1</w:t>
      </w:r>
      <w:r>
        <w:rPr>
          <w:rFonts w:hint="eastAsia"/>
        </w:rPr>
        <w:t>。</w:t>
      </w:r>
    </w:p>
    <w:p>
      <w:pPr>
        <w:pStyle w:val="32"/>
      </w:pPr>
      <w:r>
        <w:t>表</w:t>
      </w:r>
      <w:r>
        <w:rPr>
          <w:rFonts w:hint="eastAsia"/>
        </w:rPr>
        <w:t>4.3</w:t>
      </w:r>
      <w:r>
        <w:t>-1</w:t>
      </w:r>
      <w:r>
        <w:rPr>
          <w:rFonts w:hint="eastAsia"/>
        </w:rPr>
        <w:t xml:space="preserve">        </w:t>
      </w:r>
      <w:r>
        <w:t xml:space="preserve"> </w:t>
      </w:r>
      <w:r>
        <w:rPr>
          <w:rFonts w:hint="eastAsia"/>
        </w:rPr>
        <w:t>本项目环境要素现状监测</w:t>
      </w:r>
      <w:r>
        <w:t>/</w:t>
      </w:r>
      <w:r>
        <w:rPr>
          <w:rFonts w:hint="eastAsia"/>
        </w:rPr>
        <w:t>调查数据汇总表</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76"/>
        <w:gridCol w:w="2472"/>
        <w:gridCol w:w="3481"/>
        <w:gridCol w:w="198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trPr>
        <w:tc>
          <w:tcPr>
            <w:tcW w:w="597" w:type="pct"/>
            <w:vAlign w:val="center"/>
          </w:tcPr>
          <w:p>
            <w:pPr>
              <w:pStyle w:val="34"/>
            </w:pPr>
            <w:r>
              <w:rPr>
                <w:rFonts w:hint="eastAsia"/>
              </w:rPr>
              <w:t>环境要素</w:t>
            </w:r>
          </w:p>
        </w:tc>
        <w:tc>
          <w:tcPr>
            <w:tcW w:w="1371" w:type="pct"/>
            <w:vAlign w:val="center"/>
          </w:tcPr>
          <w:p>
            <w:pPr>
              <w:pStyle w:val="34"/>
            </w:pPr>
            <w:r>
              <w:rPr>
                <w:rFonts w:hint="eastAsia"/>
              </w:rPr>
              <w:t>监测点位</w:t>
            </w:r>
          </w:p>
        </w:tc>
        <w:tc>
          <w:tcPr>
            <w:tcW w:w="1931" w:type="pct"/>
            <w:vAlign w:val="center"/>
          </w:tcPr>
          <w:p>
            <w:pPr>
              <w:pStyle w:val="34"/>
            </w:pPr>
            <w:r>
              <w:rPr>
                <w:rFonts w:hint="eastAsia"/>
              </w:rPr>
              <w:t>监测因子</w:t>
            </w:r>
          </w:p>
        </w:tc>
        <w:tc>
          <w:tcPr>
            <w:tcW w:w="1098" w:type="pct"/>
            <w:vAlign w:val="center"/>
          </w:tcPr>
          <w:p>
            <w:pPr>
              <w:pStyle w:val="34"/>
            </w:pPr>
            <w:r>
              <w:rPr>
                <w:rFonts w:hint="eastAsia"/>
              </w:rPr>
              <w:t>采样时间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Merge w:val="restart"/>
            <w:vAlign w:val="center"/>
          </w:tcPr>
          <w:p>
            <w:pPr>
              <w:pStyle w:val="35"/>
            </w:pPr>
            <w:r>
              <w:rPr>
                <w:rFonts w:hint="eastAsia"/>
              </w:rPr>
              <w:t>环境空气</w:t>
            </w:r>
          </w:p>
        </w:tc>
        <w:tc>
          <w:tcPr>
            <w:tcW w:w="1371" w:type="pct"/>
            <w:vAlign w:val="center"/>
          </w:tcPr>
          <w:p>
            <w:pPr>
              <w:pStyle w:val="35"/>
              <w:jc w:val="left"/>
            </w:pPr>
            <w:r>
              <w:t>濮阳市生态环境局国控监测点</w:t>
            </w:r>
          </w:p>
        </w:tc>
        <w:tc>
          <w:tcPr>
            <w:tcW w:w="1931" w:type="pct"/>
            <w:vAlign w:val="center"/>
          </w:tcPr>
          <w:p>
            <w:pPr>
              <w:pStyle w:val="35"/>
              <w:jc w:val="both"/>
              <w:rPr>
                <w:szCs w:val="28"/>
              </w:rPr>
            </w:pPr>
            <w:r>
              <w:rPr>
                <w:rFonts w:hint="eastAsia"/>
                <w:szCs w:val="28"/>
              </w:rPr>
              <w:t>基本污染物：</w:t>
            </w:r>
            <w:r>
              <w:rPr>
                <w:szCs w:val="28"/>
              </w:rPr>
              <w:t>SO</w:t>
            </w:r>
            <w:r>
              <w:rPr>
                <w:szCs w:val="28"/>
                <w:vertAlign w:val="subscript"/>
              </w:rPr>
              <w:t>2</w:t>
            </w:r>
            <w:r>
              <w:rPr>
                <w:szCs w:val="28"/>
              </w:rPr>
              <w:t>、NO</w:t>
            </w:r>
            <w:r>
              <w:rPr>
                <w:szCs w:val="28"/>
                <w:vertAlign w:val="subscript"/>
              </w:rPr>
              <w:t>2</w:t>
            </w:r>
            <w:r>
              <w:rPr>
                <w:szCs w:val="28"/>
              </w:rPr>
              <w:t>、PM</w:t>
            </w:r>
            <w:r>
              <w:rPr>
                <w:szCs w:val="28"/>
                <w:vertAlign w:val="subscript"/>
              </w:rPr>
              <w:t>10</w:t>
            </w:r>
            <w:r>
              <w:rPr>
                <w:szCs w:val="28"/>
              </w:rPr>
              <w:t>、PM</w:t>
            </w:r>
            <w:r>
              <w:rPr>
                <w:szCs w:val="28"/>
                <w:vertAlign w:val="subscript"/>
              </w:rPr>
              <w:t>2.5</w:t>
            </w:r>
            <w:r>
              <w:rPr>
                <w:szCs w:val="28"/>
              </w:rPr>
              <w:t>、CO和O</w:t>
            </w:r>
            <w:r>
              <w:rPr>
                <w:szCs w:val="28"/>
                <w:vertAlign w:val="subscript"/>
              </w:rPr>
              <w:t>3</w:t>
            </w:r>
            <w:r>
              <w:rPr>
                <w:rFonts w:hint="eastAsia"/>
                <w:szCs w:val="28"/>
              </w:rPr>
              <w:t>六个</w:t>
            </w:r>
            <w:r>
              <w:rPr>
                <w:szCs w:val="28"/>
              </w:rPr>
              <w:t>因子</w:t>
            </w:r>
            <w:r>
              <w:rPr>
                <w:rFonts w:hint="eastAsia"/>
                <w:szCs w:val="28"/>
              </w:rPr>
              <w:t>；</w:t>
            </w:r>
          </w:p>
        </w:tc>
        <w:tc>
          <w:tcPr>
            <w:tcW w:w="1098" w:type="pct"/>
            <w:vAlign w:val="center"/>
          </w:tcPr>
          <w:p>
            <w:pPr>
              <w:pStyle w:val="35"/>
              <w:jc w:val="both"/>
            </w:pPr>
            <w:r>
              <w:rPr>
                <w:rFonts w:hint="eastAsia"/>
              </w:rPr>
              <w:t>2019年全年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Merge w:val="continue"/>
            <w:vAlign w:val="center"/>
          </w:tcPr>
          <w:p>
            <w:pPr>
              <w:pStyle w:val="35"/>
            </w:pPr>
          </w:p>
        </w:tc>
        <w:tc>
          <w:tcPr>
            <w:tcW w:w="1371" w:type="pct"/>
            <w:vAlign w:val="center"/>
          </w:tcPr>
          <w:p>
            <w:pPr>
              <w:pStyle w:val="35"/>
            </w:pPr>
            <w:r>
              <w:rPr>
                <w:rFonts w:hint="eastAsia"/>
              </w:rPr>
              <w:t>张康呼、濮阳职业技术学院</w:t>
            </w:r>
          </w:p>
        </w:tc>
        <w:tc>
          <w:tcPr>
            <w:tcW w:w="1931" w:type="pct"/>
            <w:vAlign w:val="center"/>
          </w:tcPr>
          <w:p>
            <w:pPr>
              <w:pStyle w:val="35"/>
              <w:jc w:val="both"/>
              <w:rPr>
                <w:szCs w:val="28"/>
              </w:rPr>
            </w:pPr>
            <w:r>
              <w:rPr>
                <w:rFonts w:hint="eastAsia"/>
                <w:szCs w:val="28"/>
              </w:rPr>
              <w:t>其他</w:t>
            </w:r>
            <w:r>
              <w:rPr>
                <w:szCs w:val="28"/>
              </w:rPr>
              <w:t>污染物</w:t>
            </w:r>
            <w:r>
              <w:rPr>
                <w:rFonts w:hint="eastAsia"/>
                <w:szCs w:val="28"/>
              </w:rPr>
              <w:t>：甲醇、乙二醇、非甲烷总烃</w:t>
            </w:r>
          </w:p>
        </w:tc>
        <w:tc>
          <w:tcPr>
            <w:tcW w:w="1098" w:type="pct"/>
            <w:vAlign w:val="center"/>
          </w:tcPr>
          <w:p>
            <w:pPr>
              <w:pStyle w:val="35"/>
              <w:jc w:val="both"/>
            </w:pPr>
            <w:r>
              <w:rPr>
                <w:rFonts w:hint="eastAsia"/>
              </w:rPr>
              <w:t>2021.3.17~2021.3.23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Align w:val="center"/>
          </w:tcPr>
          <w:p>
            <w:pPr>
              <w:pStyle w:val="35"/>
            </w:pPr>
            <w:r>
              <w:rPr>
                <w:rFonts w:hint="eastAsia"/>
              </w:rPr>
              <w:t>声环境</w:t>
            </w:r>
          </w:p>
        </w:tc>
        <w:tc>
          <w:tcPr>
            <w:tcW w:w="1371" w:type="pct"/>
            <w:vAlign w:val="center"/>
          </w:tcPr>
          <w:p>
            <w:pPr>
              <w:pStyle w:val="35"/>
            </w:pPr>
            <w:r>
              <w:rPr>
                <w:rFonts w:hint="eastAsia"/>
              </w:rPr>
              <w:t>厂界四周</w:t>
            </w:r>
          </w:p>
        </w:tc>
        <w:tc>
          <w:tcPr>
            <w:tcW w:w="1931" w:type="pct"/>
            <w:vAlign w:val="center"/>
          </w:tcPr>
          <w:p>
            <w:pPr>
              <w:pStyle w:val="35"/>
              <w:jc w:val="both"/>
            </w:pPr>
            <w:r>
              <w:rPr>
                <w:rFonts w:hint="eastAsia"/>
              </w:rPr>
              <w:t>等效 A 声级</w:t>
            </w:r>
          </w:p>
        </w:tc>
        <w:tc>
          <w:tcPr>
            <w:tcW w:w="1098" w:type="pct"/>
            <w:vAlign w:val="center"/>
          </w:tcPr>
          <w:p>
            <w:pPr>
              <w:pStyle w:val="35"/>
              <w:jc w:val="both"/>
            </w:pPr>
            <w:r>
              <w:rPr>
                <w:rFonts w:hint="eastAsia"/>
                <w:szCs w:val="28"/>
              </w:rPr>
              <w:t>2021.3.21~</w:t>
            </w:r>
            <w:r>
              <w:rPr>
                <w:szCs w:val="28"/>
              </w:rPr>
              <w:t>202</w:t>
            </w:r>
            <w:r>
              <w:rPr>
                <w:rFonts w:hint="eastAsia"/>
                <w:szCs w:val="28"/>
              </w:rPr>
              <w:t>1.</w:t>
            </w:r>
            <w:r>
              <w:rPr>
                <w:szCs w:val="28"/>
              </w:rPr>
              <w:t>3</w:t>
            </w:r>
            <w:r>
              <w:rPr>
                <w:rFonts w:hint="eastAsia"/>
                <w:szCs w:val="28"/>
              </w:rPr>
              <w:t>.22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Align w:val="center"/>
          </w:tcPr>
          <w:p>
            <w:pPr>
              <w:pStyle w:val="35"/>
            </w:pPr>
            <w:r>
              <w:rPr>
                <w:rFonts w:hint="eastAsia"/>
              </w:rPr>
              <w:t>地表水</w:t>
            </w:r>
          </w:p>
        </w:tc>
        <w:tc>
          <w:tcPr>
            <w:tcW w:w="1371" w:type="pct"/>
            <w:vAlign w:val="center"/>
          </w:tcPr>
          <w:p>
            <w:pPr>
              <w:pStyle w:val="35"/>
            </w:pPr>
            <w:r>
              <w:rPr>
                <w:rFonts w:hint="eastAsia"/>
              </w:rPr>
              <w:t>马颊河南乐水文站</w:t>
            </w:r>
          </w:p>
        </w:tc>
        <w:tc>
          <w:tcPr>
            <w:tcW w:w="1931" w:type="pct"/>
            <w:vAlign w:val="center"/>
          </w:tcPr>
          <w:p>
            <w:pPr>
              <w:pStyle w:val="35"/>
              <w:jc w:val="both"/>
            </w:pPr>
            <w:r>
              <w:rPr>
                <w:rFonts w:hint="eastAsia"/>
              </w:rPr>
              <w:t>COD、氨氮、总磷</w:t>
            </w:r>
          </w:p>
        </w:tc>
        <w:tc>
          <w:tcPr>
            <w:tcW w:w="1098" w:type="pct"/>
            <w:vAlign w:val="center"/>
          </w:tcPr>
          <w:p>
            <w:pPr>
              <w:pStyle w:val="35"/>
              <w:jc w:val="left"/>
            </w:pPr>
            <w:r>
              <w:rPr>
                <w:rFonts w:hint="eastAsia"/>
              </w:rPr>
              <w:t>濮阳市2020.1~2020.11环境质量月报</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Align w:val="center"/>
          </w:tcPr>
          <w:p>
            <w:pPr>
              <w:pStyle w:val="35"/>
            </w:pPr>
            <w:r>
              <w:rPr>
                <w:rFonts w:hint="eastAsia"/>
              </w:rPr>
              <w:t>土壤</w:t>
            </w:r>
          </w:p>
        </w:tc>
        <w:tc>
          <w:tcPr>
            <w:tcW w:w="1371" w:type="pct"/>
            <w:vAlign w:val="center"/>
          </w:tcPr>
          <w:p>
            <w:pPr>
              <w:pStyle w:val="35"/>
              <w:jc w:val="both"/>
            </w:pPr>
            <w:r>
              <w:t>项目占地范围内：合成釜附近</w:t>
            </w:r>
            <w:r>
              <w:rPr>
                <w:rFonts w:hint="eastAsia"/>
              </w:rPr>
              <w:t>、</w:t>
            </w:r>
            <w:r>
              <w:t>乙二醇精馏工段</w:t>
            </w:r>
            <w:r>
              <w:rPr>
                <w:rFonts w:hint="eastAsia"/>
              </w:rPr>
              <w:t>、</w:t>
            </w:r>
            <w:r>
              <w:t>尾气洗涤塔</w:t>
            </w:r>
            <w:r>
              <w:rPr>
                <w:rFonts w:hint="eastAsia"/>
              </w:rPr>
              <w:t>、</w:t>
            </w:r>
            <w:r>
              <w:t>闪蒸液罐</w:t>
            </w:r>
            <w:r>
              <w:rPr>
                <w:rFonts w:hint="eastAsia"/>
              </w:rPr>
              <w:t>；</w:t>
            </w:r>
          </w:p>
          <w:p>
            <w:pPr>
              <w:pStyle w:val="35"/>
              <w:jc w:val="both"/>
            </w:pPr>
            <w:r>
              <w:t>现有工程：现有MMA装置区（罐区附近）</w:t>
            </w:r>
            <w:r>
              <w:rPr>
                <w:rFonts w:hint="eastAsia"/>
              </w:rPr>
              <w:t>、</w:t>
            </w:r>
          </w:p>
          <w:p>
            <w:pPr>
              <w:pStyle w:val="35"/>
              <w:jc w:val="both"/>
            </w:pPr>
            <w:r>
              <w:t>现有甲醇装置区（甲醇罐区附近）</w:t>
            </w:r>
            <w:r>
              <w:rPr>
                <w:rFonts w:hint="eastAsia"/>
              </w:rPr>
              <w:t>、</w:t>
            </w:r>
            <w:r>
              <w:t>现有污水处理站区域</w:t>
            </w:r>
            <w:r>
              <w:rPr>
                <w:rFonts w:hint="eastAsia"/>
              </w:rPr>
              <w:t>；</w:t>
            </w:r>
          </w:p>
          <w:p>
            <w:pPr>
              <w:pStyle w:val="35"/>
              <w:jc w:val="both"/>
            </w:pPr>
            <w:r>
              <w:t>厂界外：张康呼村庄</w:t>
            </w:r>
            <w:r>
              <w:rPr>
                <w:rFonts w:hint="eastAsia"/>
              </w:rPr>
              <w:t>、</w:t>
            </w:r>
            <w:r>
              <w:t>项目东北侧空地</w:t>
            </w:r>
            <w:r>
              <w:rPr>
                <w:rFonts w:hint="eastAsia"/>
              </w:rPr>
              <w:t>、</w:t>
            </w:r>
            <w:r>
              <w:t>项目西北侧空地</w:t>
            </w:r>
            <w:r>
              <w:rPr>
                <w:rFonts w:hint="eastAsia"/>
              </w:rPr>
              <w:t>、</w:t>
            </w:r>
            <w:r>
              <w:t>张康呼村农用地</w:t>
            </w:r>
          </w:p>
        </w:tc>
        <w:tc>
          <w:tcPr>
            <w:tcW w:w="1931" w:type="pct"/>
            <w:vAlign w:val="center"/>
          </w:tcPr>
          <w:p>
            <w:pPr>
              <w:pStyle w:val="35"/>
              <w:jc w:val="both"/>
            </w:pPr>
            <w:r>
              <w:rPr>
                <w:rFonts w:hint="eastAsia"/>
              </w:rPr>
              <w:t>《土壤环境质量 建设用地土壤污染风险管控标准》（试行）45项基本项目，以及氰化物（仅现有污水处理站区域柱状样监测）、石油烃等2项特征因子</w:t>
            </w:r>
          </w:p>
        </w:tc>
        <w:tc>
          <w:tcPr>
            <w:tcW w:w="1098" w:type="pct"/>
            <w:vAlign w:val="center"/>
          </w:tcPr>
          <w:p>
            <w:pPr>
              <w:pStyle w:val="35"/>
              <w:jc w:val="both"/>
            </w:pPr>
            <w:r>
              <w:rPr>
                <w:rFonts w:hint="eastAsia"/>
              </w:rPr>
              <w:t>2021.3.19~2021.3.20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97" w:type="pct"/>
            <w:vAlign w:val="center"/>
          </w:tcPr>
          <w:p>
            <w:pPr>
              <w:pStyle w:val="35"/>
            </w:pPr>
            <w:r>
              <w:rPr>
                <w:rFonts w:hint="eastAsia"/>
              </w:rPr>
              <w:t>地下水</w:t>
            </w:r>
          </w:p>
        </w:tc>
        <w:tc>
          <w:tcPr>
            <w:tcW w:w="1371" w:type="pct"/>
            <w:vAlign w:val="center"/>
          </w:tcPr>
          <w:p>
            <w:pPr>
              <w:pStyle w:val="35"/>
              <w:jc w:val="both"/>
            </w:pPr>
            <w:r>
              <w:rPr>
                <w:rFonts w:hint="eastAsia"/>
              </w:rPr>
              <w:t>上游590米处、新建项目左侧310米处、新建项目西侧180米处、下游1160米处、下游950米处、下游1500米处、新建项目右侧650米处，共计7个水质监测点</w:t>
            </w:r>
          </w:p>
        </w:tc>
        <w:tc>
          <w:tcPr>
            <w:tcW w:w="1931" w:type="pct"/>
            <w:vAlign w:val="center"/>
          </w:tcPr>
          <w:p>
            <w:pPr>
              <w:pStyle w:val="35"/>
              <w:jc w:val="both"/>
            </w:pPr>
            <w:r>
              <w:rPr>
                <w:rFonts w:hint="eastAsia"/>
              </w:rPr>
              <w:t>基本因子：钾、钠、钙、镁、砷、汞、镉、铅、铁、锰、六价铬、碳酸盐、重碳酸盐、氯离子、硫酸根、硝酸盐、亚硝酸盐、氟化物、pH值、氨氮、挥发酚、氰化物、总硬度、溶解性总固体、高锰酸盐指数（耗氧量）、总大肠菌群、细菌总数；</w:t>
            </w:r>
          </w:p>
          <w:p>
            <w:pPr>
              <w:pStyle w:val="35"/>
              <w:jc w:val="both"/>
            </w:pPr>
            <w:r>
              <w:rPr>
                <w:rFonts w:hint="eastAsia"/>
              </w:rPr>
              <w:t>特征因子：石油类、硫化物</w:t>
            </w:r>
          </w:p>
        </w:tc>
        <w:tc>
          <w:tcPr>
            <w:tcW w:w="1098" w:type="pct"/>
            <w:vAlign w:val="center"/>
          </w:tcPr>
          <w:p>
            <w:pPr>
              <w:pStyle w:val="35"/>
              <w:jc w:val="both"/>
            </w:pPr>
            <w:r>
              <w:t>2020</w:t>
            </w:r>
            <w:r>
              <w:rPr>
                <w:rFonts w:hint="eastAsia"/>
              </w:rPr>
              <w:t>.</w:t>
            </w:r>
            <w:r>
              <w:t>3</w:t>
            </w:r>
          </w:p>
        </w:tc>
      </w:tr>
    </w:tbl>
    <w:p>
      <w:pPr>
        <w:pStyle w:val="5"/>
        <w:adjustRightInd w:val="0"/>
        <w:snapToGrid w:val="0"/>
        <w:spacing w:before="0" w:after="0" w:line="520" w:lineRule="exact"/>
        <w:rPr>
          <w:rFonts w:eastAsia="楷体_GB2312"/>
          <w:sz w:val="28"/>
          <w:szCs w:val="22"/>
        </w:rPr>
      </w:pPr>
      <w:r>
        <w:rPr>
          <w:rFonts w:eastAsia="楷体_GB2312"/>
          <w:sz w:val="28"/>
          <w:szCs w:val="22"/>
        </w:rPr>
        <w:t>4.</w:t>
      </w:r>
      <w:r>
        <w:rPr>
          <w:rFonts w:hint="eastAsia" w:eastAsia="楷体_GB2312"/>
          <w:sz w:val="28"/>
          <w:szCs w:val="22"/>
        </w:rPr>
        <w:t>3</w:t>
      </w:r>
      <w:r>
        <w:rPr>
          <w:rFonts w:eastAsia="楷体_GB2312"/>
          <w:sz w:val="28"/>
          <w:szCs w:val="22"/>
        </w:rPr>
        <w:t>.1 环境空气质量现状监测与评价</w:t>
      </w:r>
    </w:p>
    <w:p>
      <w:pPr>
        <w:pStyle w:val="33"/>
      </w:pPr>
      <w:r>
        <w:rPr>
          <w:rFonts w:hint="eastAsia"/>
        </w:rPr>
        <w:t>4.3.1.1 基本情况</w:t>
      </w:r>
    </w:p>
    <w:p>
      <w:pPr>
        <w:pStyle w:val="27"/>
        <w:spacing w:line="500" w:lineRule="exact"/>
        <w:ind w:firstLine="560"/>
      </w:pPr>
      <w:r>
        <w:rPr>
          <w:rFonts w:hint="eastAsia"/>
        </w:rPr>
        <w:t>（1）评价基准年的确定</w:t>
      </w:r>
    </w:p>
    <w:p>
      <w:pPr>
        <w:pStyle w:val="27"/>
        <w:spacing w:line="500" w:lineRule="exact"/>
        <w:ind w:firstLine="560"/>
        <w:rPr>
          <w:szCs w:val="28"/>
        </w:rPr>
      </w:pPr>
      <w:r>
        <w:rPr>
          <w:rFonts w:hint="eastAsia"/>
        </w:rPr>
        <w:t>根据《环境影响评价技术导则 大气环境》（HJ 2.2-2018）要求，本次评价依据评价所需环境空气质量现状、气象资料等数据</w:t>
      </w:r>
      <w:r>
        <w:rPr>
          <w:szCs w:val="28"/>
        </w:rPr>
        <w:t>的可获得性、数据质量、代表性等因素，选择201</w:t>
      </w:r>
      <w:r>
        <w:rPr>
          <w:rFonts w:hint="eastAsia"/>
          <w:szCs w:val="28"/>
        </w:rPr>
        <w:t>9</w:t>
      </w:r>
      <w:r>
        <w:rPr>
          <w:szCs w:val="28"/>
        </w:rPr>
        <w:t>年为评价基准年。</w:t>
      </w:r>
    </w:p>
    <w:p>
      <w:pPr>
        <w:pStyle w:val="27"/>
        <w:spacing w:line="500" w:lineRule="exact"/>
        <w:ind w:firstLine="560"/>
        <w:rPr>
          <w:szCs w:val="28"/>
        </w:rPr>
      </w:pPr>
      <w:r>
        <w:rPr>
          <w:rFonts w:hint="eastAsia"/>
          <w:szCs w:val="28"/>
        </w:rPr>
        <w:t>（2）评价因子的确定</w:t>
      </w:r>
    </w:p>
    <w:p>
      <w:pPr>
        <w:pStyle w:val="27"/>
        <w:spacing w:line="500" w:lineRule="exact"/>
        <w:ind w:firstLine="560"/>
        <w:rPr>
          <w:szCs w:val="28"/>
        </w:rPr>
      </w:pPr>
      <w:r>
        <w:rPr>
          <w:szCs w:val="28"/>
        </w:rPr>
        <w:t>根据导则要求，评价对本项目所在区域的环境空气质量现状进行调查与评价，其中基本</w:t>
      </w:r>
      <w:r>
        <w:rPr>
          <w:rFonts w:hint="eastAsia"/>
        </w:rPr>
        <w:t>污染物</w:t>
      </w:r>
      <w:r>
        <w:rPr>
          <w:szCs w:val="28"/>
        </w:rPr>
        <w:t>为SO</w:t>
      </w:r>
      <w:r>
        <w:rPr>
          <w:szCs w:val="28"/>
          <w:vertAlign w:val="subscript"/>
        </w:rPr>
        <w:t>2</w:t>
      </w:r>
      <w:r>
        <w:rPr>
          <w:szCs w:val="28"/>
        </w:rPr>
        <w:t>、NO</w:t>
      </w:r>
      <w:r>
        <w:rPr>
          <w:szCs w:val="28"/>
          <w:vertAlign w:val="subscript"/>
        </w:rPr>
        <w:t>2</w:t>
      </w:r>
      <w:r>
        <w:rPr>
          <w:szCs w:val="28"/>
        </w:rPr>
        <w:t>、PM</w:t>
      </w:r>
      <w:r>
        <w:rPr>
          <w:szCs w:val="28"/>
          <w:vertAlign w:val="subscript"/>
        </w:rPr>
        <w:t>10</w:t>
      </w:r>
      <w:r>
        <w:rPr>
          <w:szCs w:val="28"/>
        </w:rPr>
        <w:t>、PM</w:t>
      </w:r>
      <w:r>
        <w:rPr>
          <w:szCs w:val="28"/>
          <w:vertAlign w:val="subscript"/>
        </w:rPr>
        <w:t>2.5</w:t>
      </w:r>
      <w:r>
        <w:rPr>
          <w:szCs w:val="28"/>
        </w:rPr>
        <w:t>、CO和O</w:t>
      </w:r>
      <w:r>
        <w:rPr>
          <w:szCs w:val="28"/>
          <w:vertAlign w:val="subscript"/>
        </w:rPr>
        <w:t>3</w:t>
      </w:r>
      <w:r>
        <w:rPr>
          <w:rFonts w:hint="eastAsia"/>
          <w:szCs w:val="28"/>
        </w:rPr>
        <w:t>六个</w:t>
      </w:r>
      <w:r>
        <w:rPr>
          <w:szCs w:val="28"/>
        </w:rPr>
        <w:t>因子，</w:t>
      </w:r>
      <w:r>
        <w:rPr>
          <w:rFonts w:hint="eastAsia"/>
          <w:szCs w:val="28"/>
        </w:rPr>
        <w:t>其他</w:t>
      </w:r>
      <w:r>
        <w:rPr>
          <w:szCs w:val="28"/>
        </w:rPr>
        <w:t>污染物为</w:t>
      </w:r>
      <w:r>
        <w:rPr>
          <w:rFonts w:hint="eastAsia"/>
          <w:szCs w:val="28"/>
        </w:rPr>
        <w:t>甲醇、乙二醇、非甲烷总烃3项</w:t>
      </w:r>
      <w:r>
        <w:rPr>
          <w:szCs w:val="28"/>
        </w:rPr>
        <w:t>。</w:t>
      </w:r>
    </w:p>
    <w:p>
      <w:pPr>
        <w:pStyle w:val="33"/>
      </w:pPr>
      <w:r>
        <w:rPr>
          <w:rFonts w:hint="eastAsia"/>
        </w:rPr>
        <w:t>4.3.1.2 所在区域达标判断</w:t>
      </w:r>
    </w:p>
    <w:p>
      <w:pPr>
        <w:pStyle w:val="27"/>
        <w:ind w:firstLine="560"/>
        <w:rPr>
          <w:szCs w:val="28"/>
        </w:rPr>
      </w:pPr>
      <w:r>
        <w:rPr>
          <w:rFonts w:hint="eastAsia"/>
          <w:szCs w:val="28"/>
        </w:rPr>
        <w:t>根据导则要求，评价按照 HJ 663 中的统计方法对本项目评价范围内2019年度</w:t>
      </w:r>
      <w:r>
        <w:rPr>
          <w:szCs w:val="28"/>
        </w:rPr>
        <w:t>SO</w:t>
      </w:r>
      <w:r>
        <w:rPr>
          <w:szCs w:val="28"/>
          <w:vertAlign w:val="subscript"/>
        </w:rPr>
        <w:t>2</w:t>
      </w:r>
      <w:r>
        <w:rPr>
          <w:szCs w:val="28"/>
        </w:rPr>
        <w:t>、NO</w:t>
      </w:r>
      <w:r>
        <w:rPr>
          <w:szCs w:val="28"/>
          <w:vertAlign w:val="subscript"/>
        </w:rPr>
        <w:t>2</w:t>
      </w:r>
      <w:r>
        <w:rPr>
          <w:szCs w:val="28"/>
        </w:rPr>
        <w:t>、PM</w:t>
      </w:r>
      <w:r>
        <w:rPr>
          <w:szCs w:val="28"/>
          <w:vertAlign w:val="subscript"/>
        </w:rPr>
        <w:t>10</w:t>
      </w:r>
      <w:r>
        <w:rPr>
          <w:szCs w:val="28"/>
        </w:rPr>
        <w:t>、PM</w:t>
      </w:r>
      <w:r>
        <w:rPr>
          <w:szCs w:val="28"/>
          <w:vertAlign w:val="subscript"/>
        </w:rPr>
        <w:t>2.5</w:t>
      </w:r>
      <w:r>
        <w:rPr>
          <w:szCs w:val="28"/>
        </w:rPr>
        <w:t>、CO和O</w:t>
      </w:r>
      <w:r>
        <w:rPr>
          <w:szCs w:val="28"/>
          <w:vertAlign w:val="subscript"/>
        </w:rPr>
        <w:t>3</w:t>
      </w:r>
      <w:r>
        <w:rPr>
          <w:rFonts w:hint="eastAsia"/>
          <w:szCs w:val="28"/>
        </w:rPr>
        <w:t>六项污染物的环境空气质量达标情况进行评价，评价结果表4.3-2。</w:t>
      </w:r>
    </w:p>
    <w:p>
      <w:pPr>
        <w:pStyle w:val="32"/>
        <w:ind w:right="0" w:rightChars="0"/>
      </w:pPr>
      <w:r>
        <w:rPr>
          <w:rFonts w:hint="eastAsia"/>
          <w:szCs w:val="28"/>
        </w:rPr>
        <w:t>表4.3-2</w:t>
      </w:r>
      <w:r>
        <w:t xml:space="preserve"> </w:t>
      </w:r>
      <w:r>
        <w:rPr>
          <w:rFonts w:hint="eastAsia"/>
        </w:rPr>
        <w:t xml:space="preserve">     评价范围内基本污染物环境质量现状达标判断一览表</w:t>
      </w:r>
    </w:p>
    <w:tbl>
      <w:tblPr>
        <w:tblStyle w:val="21"/>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13"/>
        <w:gridCol w:w="3979"/>
        <w:gridCol w:w="1077"/>
        <w:gridCol w:w="1158"/>
        <w:gridCol w:w="1140"/>
        <w:gridCol w:w="81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452" w:type="pct"/>
            <w:shd w:val="clear" w:color="auto" w:fill="auto"/>
            <w:noWrap/>
            <w:tcMar>
              <w:top w:w="15" w:type="dxa"/>
              <w:left w:w="15" w:type="dxa"/>
              <w:right w:w="15" w:type="dxa"/>
            </w:tcMar>
            <w:vAlign w:val="center"/>
          </w:tcPr>
          <w:p>
            <w:pPr>
              <w:pStyle w:val="35"/>
              <w:rPr>
                <w:b/>
                <w:bCs/>
              </w:rPr>
            </w:pPr>
            <w:r>
              <w:rPr>
                <w:b/>
                <w:bCs/>
              </w:rPr>
              <w:t>污染物</w:t>
            </w:r>
          </w:p>
        </w:tc>
        <w:tc>
          <w:tcPr>
            <w:tcW w:w="2213" w:type="pct"/>
            <w:shd w:val="clear" w:color="auto" w:fill="auto"/>
            <w:noWrap/>
            <w:tcMar>
              <w:top w:w="15" w:type="dxa"/>
              <w:left w:w="15" w:type="dxa"/>
              <w:right w:w="15" w:type="dxa"/>
            </w:tcMar>
            <w:vAlign w:val="center"/>
          </w:tcPr>
          <w:p>
            <w:pPr>
              <w:pStyle w:val="35"/>
              <w:rPr>
                <w:b/>
                <w:bCs/>
              </w:rPr>
            </w:pPr>
            <w:r>
              <w:rPr>
                <w:b/>
                <w:bCs/>
              </w:rPr>
              <w:t>年评价指标</w:t>
            </w:r>
          </w:p>
        </w:tc>
        <w:tc>
          <w:tcPr>
            <w:tcW w:w="599" w:type="pct"/>
            <w:shd w:val="clear" w:color="auto" w:fill="auto"/>
            <w:tcMar>
              <w:top w:w="15" w:type="dxa"/>
              <w:left w:w="15" w:type="dxa"/>
              <w:right w:w="15" w:type="dxa"/>
            </w:tcMar>
            <w:vAlign w:val="center"/>
          </w:tcPr>
          <w:p>
            <w:pPr>
              <w:pStyle w:val="35"/>
              <w:rPr>
                <w:b/>
                <w:bCs/>
              </w:rPr>
            </w:pPr>
            <w:r>
              <w:rPr>
                <w:b/>
                <w:bCs/>
              </w:rPr>
              <w:t>现状浓度 (μ</w:t>
            </w:r>
            <w:r>
              <w:rPr>
                <w:rFonts w:hint="eastAsia"/>
                <w:b/>
                <w:bCs/>
              </w:rPr>
              <w:t>g</w:t>
            </w:r>
            <w:r>
              <w:rPr>
                <w:b/>
                <w:bCs/>
              </w:rPr>
              <w:t>/m</w:t>
            </w:r>
            <w:r>
              <w:rPr>
                <w:b/>
                <w:bCs/>
                <w:vertAlign w:val="superscript"/>
              </w:rPr>
              <w:t>3</w:t>
            </w:r>
            <w:r>
              <w:rPr>
                <w:b/>
                <w:bCs/>
              </w:rPr>
              <w:t>)</w:t>
            </w:r>
          </w:p>
        </w:tc>
        <w:tc>
          <w:tcPr>
            <w:tcW w:w="644" w:type="pct"/>
            <w:shd w:val="clear" w:color="auto" w:fill="auto"/>
            <w:tcMar>
              <w:top w:w="15" w:type="dxa"/>
              <w:left w:w="15" w:type="dxa"/>
              <w:right w:w="15" w:type="dxa"/>
            </w:tcMar>
            <w:vAlign w:val="center"/>
          </w:tcPr>
          <w:p>
            <w:pPr>
              <w:pStyle w:val="35"/>
              <w:rPr>
                <w:b/>
                <w:bCs/>
              </w:rPr>
            </w:pPr>
            <w:r>
              <w:rPr>
                <w:b/>
                <w:bCs/>
              </w:rPr>
              <w:t>标准值 (μ</w:t>
            </w:r>
            <w:r>
              <w:rPr>
                <w:rFonts w:hint="eastAsia"/>
                <w:b/>
                <w:bCs/>
              </w:rPr>
              <w:t>g</w:t>
            </w:r>
            <w:r>
              <w:rPr>
                <w:b/>
                <w:bCs/>
              </w:rPr>
              <w:t>/m</w:t>
            </w:r>
            <w:r>
              <w:rPr>
                <w:b/>
                <w:bCs/>
                <w:vertAlign w:val="superscript"/>
              </w:rPr>
              <w:t>3</w:t>
            </w:r>
            <w:r>
              <w:rPr>
                <w:b/>
                <w:bCs/>
              </w:rPr>
              <w:t>)</w:t>
            </w:r>
          </w:p>
        </w:tc>
        <w:tc>
          <w:tcPr>
            <w:tcW w:w="634" w:type="pct"/>
            <w:shd w:val="clear" w:color="auto" w:fill="auto"/>
            <w:tcMar>
              <w:top w:w="15" w:type="dxa"/>
              <w:left w:w="15" w:type="dxa"/>
              <w:right w:w="15" w:type="dxa"/>
            </w:tcMar>
            <w:vAlign w:val="center"/>
          </w:tcPr>
          <w:p>
            <w:pPr>
              <w:pStyle w:val="35"/>
              <w:rPr>
                <w:b/>
                <w:bCs/>
              </w:rPr>
            </w:pPr>
            <w:r>
              <w:rPr>
                <w:b/>
                <w:bCs/>
              </w:rPr>
              <w:t>占标率</w:t>
            </w:r>
          </w:p>
          <w:p>
            <w:pPr>
              <w:pStyle w:val="35"/>
              <w:rPr>
                <w:b/>
                <w:bCs/>
              </w:rPr>
            </w:pPr>
            <w:r>
              <w:rPr>
                <w:b/>
                <w:bCs/>
              </w:rPr>
              <w:t>(%)</w:t>
            </w:r>
          </w:p>
        </w:tc>
        <w:tc>
          <w:tcPr>
            <w:tcW w:w="454" w:type="pct"/>
            <w:shd w:val="clear" w:color="auto" w:fill="auto"/>
            <w:tcMar>
              <w:top w:w="15" w:type="dxa"/>
              <w:left w:w="15" w:type="dxa"/>
              <w:right w:w="15" w:type="dxa"/>
            </w:tcMar>
            <w:vAlign w:val="center"/>
          </w:tcPr>
          <w:p>
            <w:pPr>
              <w:pStyle w:val="35"/>
              <w:rPr>
                <w:b/>
                <w:bCs/>
              </w:rPr>
            </w:pPr>
            <w:r>
              <w:rPr>
                <w:b/>
                <w:bCs/>
              </w:rPr>
              <w:t>达标</w:t>
            </w:r>
          </w:p>
          <w:p>
            <w:pPr>
              <w:pStyle w:val="35"/>
              <w:rPr>
                <w:b/>
                <w:bCs/>
              </w:rPr>
            </w:pPr>
            <w:r>
              <w:rPr>
                <w:b/>
                <w:bCs/>
              </w:rPr>
              <w:t>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restart"/>
            <w:shd w:val="clear" w:color="auto" w:fill="auto"/>
            <w:noWrap/>
            <w:tcMar>
              <w:top w:w="15" w:type="dxa"/>
              <w:left w:w="15" w:type="dxa"/>
              <w:right w:w="15" w:type="dxa"/>
            </w:tcMar>
            <w:vAlign w:val="center"/>
          </w:tcPr>
          <w:p>
            <w:pPr>
              <w:pStyle w:val="35"/>
            </w:pPr>
            <w:r>
              <w:t>SO</w:t>
            </w:r>
            <w:r>
              <w:rPr>
                <w:rFonts w:hint="eastAsia"/>
                <w:vertAlign w:val="subscript"/>
              </w:rPr>
              <w:t>2</w:t>
            </w:r>
          </w:p>
        </w:tc>
        <w:tc>
          <w:tcPr>
            <w:tcW w:w="2213" w:type="pct"/>
            <w:shd w:val="clear" w:color="auto" w:fill="auto"/>
            <w:noWrap/>
            <w:tcMar>
              <w:top w:w="15" w:type="dxa"/>
              <w:left w:w="15" w:type="dxa"/>
              <w:right w:w="15" w:type="dxa"/>
            </w:tcMar>
            <w:vAlign w:val="center"/>
          </w:tcPr>
          <w:p>
            <w:pPr>
              <w:pStyle w:val="35"/>
            </w:pPr>
            <w:r>
              <w:t>年平均质量浓度</w:t>
            </w:r>
          </w:p>
        </w:tc>
        <w:tc>
          <w:tcPr>
            <w:tcW w:w="599" w:type="pct"/>
            <w:shd w:val="clear" w:color="auto" w:fill="auto"/>
            <w:noWrap/>
            <w:tcMar>
              <w:top w:w="15" w:type="dxa"/>
              <w:left w:w="15" w:type="dxa"/>
              <w:right w:w="15" w:type="dxa"/>
            </w:tcMar>
            <w:vAlign w:val="center"/>
          </w:tcPr>
          <w:p>
            <w:pPr>
              <w:pStyle w:val="35"/>
            </w:pPr>
            <w:r>
              <w:t>12</w:t>
            </w:r>
          </w:p>
        </w:tc>
        <w:tc>
          <w:tcPr>
            <w:tcW w:w="644" w:type="pct"/>
            <w:shd w:val="clear" w:color="auto" w:fill="auto"/>
            <w:noWrap/>
            <w:tcMar>
              <w:top w:w="15" w:type="dxa"/>
              <w:left w:w="15" w:type="dxa"/>
              <w:right w:w="15" w:type="dxa"/>
            </w:tcMar>
            <w:vAlign w:val="center"/>
          </w:tcPr>
          <w:p>
            <w:pPr>
              <w:pStyle w:val="35"/>
            </w:pPr>
            <w:r>
              <w:t>60</w:t>
            </w:r>
          </w:p>
        </w:tc>
        <w:tc>
          <w:tcPr>
            <w:tcW w:w="634" w:type="pct"/>
            <w:shd w:val="clear" w:color="auto" w:fill="auto"/>
            <w:noWrap/>
            <w:tcMar>
              <w:top w:w="15" w:type="dxa"/>
              <w:left w:w="15" w:type="dxa"/>
              <w:right w:w="15" w:type="dxa"/>
            </w:tcMar>
            <w:vAlign w:val="center"/>
          </w:tcPr>
          <w:p>
            <w:pPr>
              <w:pStyle w:val="35"/>
            </w:pPr>
            <w:r>
              <w:t>20.0</w:t>
            </w:r>
          </w:p>
        </w:tc>
        <w:tc>
          <w:tcPr>
            <w:tcW w:w="454" w:type="pct"/>
            <w:vMerge w:val="restart"/>
            <w:shd w:val="clear" w:color="auto" w:fill="auto"/>
            <w:noWrap/>
            <w:tcMar>
              <w:top w:w="15" w:type="dxa"/>
              <w:left w:w="15" w:type="dxa"/>
              <w:right w:w="15" w:type="dxa"/>
            </w:tcMar>
            <w:vAlign w:val="center"/>
          </w:tcPr>
          <w:p>
            <w:pPr>
              <w:pStyle w:val="35"/>
            </w:pPr>
            <w: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continue"/>
            <w:shd w:val="clear" w:color="auto" w:fill="auto"/>
            <w:noWrap/>
            <w:tcMar>
              <w:top w:w="15" w:type="dxa"/>
              <w:left w:w="15" w:type="dxa"/>
              <w:right w:w="15" w:type="dxa"/>
            </w:tcMar>
            <w:vAlign w:val="center"/>
          </w:tcPr>
          <w:p>
            <w:pPr>
              <w:pStyle w:val="35"/>
            </w:pPr>
          </w:p>
        </w:tc>
        <w:tc>
          <w:tcPr>
            <w:tcW w:w="2213" w:type="pct"/>
            <w:shd w:val="clear" w:color="auto" w:fill="auto"/>
            <w:noWrap/>
            <w:tcMar>
              <w:top w:w="15" w:type="dxa"/>
              <w:left w:w="15" w:type="dxa"/>
              <w:right w:w="15" w:type="dxa"/>
            </w:tcMar>
            <w:vAlign w:val="bottom"/>
          </w:tcPr>
          <w:p>
            <w:pPr>
              <w:pStyle w:val="35"/>
            </w:pPr>
            <w:r>
              <w:t>第98百分位数日平均质量浓度</w:t>
            </w:r>
          </w:p>
        </w:tc>
        <w:tc>
          <w:tcPr>
            <w:tcW w:w="599" w:type="pct"/>
            <w:shd w:val="clear" w:color="auto" w:fill="auto"/>
            <w:noWrap/>
            <w:tcMar>
              <w:top w:w="15" w:type="dxa"/>
              <w:left w:w="15" w:type="dxa"/>
              <w:right w:w="15" w:type="dxa"/>
            </w:tcMar>
            <w:vAlign w:val="bottom"/>
          </w:tcPr>
          <w:p>
            <w:pPr>
              <w:pStyle w:val="35"/>
            </w:pPr>
            <w:r>
              <w:t>30</w:t>
            </w:r>
          </w:p>
        </w:tc>
        <w:tc>
          <w:tcPr>
            <w:tcW w:w="644" w:type="pct"/>
            <w:shd w:val="clear" w:color="auto" w:fill="auto"/>
            <w:noWrap/>
            <w:tcMar>
              <w:top w:w="15" w:type="dxa"/>
              <w:left w:w="15" w:type="dxa"/>
              <w:right w:w="15" w:type="dxa"/>
            </w:tcMar>
            <w:vAlign w:val="bottom"/>
          </w:tcPr>
          <w:p>
            <w:pPr>
              <w:pStyle w:val="35"/>
            </w:pPr>
            <w:r>
              <w:t>150</w:t>
            </w:r>
          </w:p>
        </w:tc>
        <w:tc>
          <w:tcPr>
            <w:tcW w:w="634" w:type="pct"/>
            <w:shd w:val="clear" w:color="auto" w:fill="auto"/>
            <w:noWrap/>
            <w:tcMar>
              <w:top w:w="15" w:type="dxa"/>
              <w:left w:w="15" w:type="dxa"/>
              <w:right w:w="15" w:type="dxa"/>
            </w:tcMar>
            <w:vAlign w:val="bottom"/>
          </w:tcPr>
          <w:p>
            <w:pPr>
              <w:pStyle w:val="35"/>
            </w:pPr>
            <w:r>
              <w:t>20.0</w:t>
            </w:r>
          </w:p>
        </w:tc>
        <w:tc>
          <w:tcPr>
            <w:tcW w:w="454"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restart"/>
            <w:shd w:val="clear" w:color="auto" w:fill="auto"/>
            <w:noWrap/>
            <w:tcMar>
              <w:top w:w="15" w:type="dxa"/>
              <w:left w:w="15" w:type="dxa"/>
              <w:right w:w="15" w:type="dxa"/>
            </w:tcMar>
            <w:vAlign w:val="center"/>
          </w:tcPr>
          <w:p>
            <w:pPr>
              <w:pStyle w:val="35"/>
            </w:pPr>
            <w:r>
              <w:t>NO</w:t>
            </w:r>
            <w:r>
              <w:rPr>
                <w:vertAlign w:val="subscript"/>
              </w:rPr>
              <w:t>2</w:t>
            </w:r>
          </w:p>
        </w:tc>
        <w:tc>
          <w:tcPr>
            <w:tcW w:w="2213" w:type="pct"/>
            <w:shd w:val="clear" w:color="auto" w:fill="auto"/>
            <w:noWrap/>
            <w:tcMar>
              <w:top w:w="15" w:type="dxa"/>
              <w:left w:w="15" w:type="dxa"/>
              <w:right w:w="15" w:type="dxa"/>
            </w:tcMar>
            <w:vAlign w:val="bottom"/>
          </w:tcPr>
          <w:p>
            <w:pPr>
              <w:pStyle w:val="35"/>
            </w:pPr>
            <w:r>
              <w:t>年平均质量浓度</w:t>
            </w:r>
          </w:p>
        </w:tc>
        <w:tc>
          <w:tcPr>
            <w:tcW w:w="599" w:type="pct"/>
            <w:shd w:val="clear" w:color="auto" w:fill="auto"/>
            <w:noWrap/>
            <w:tcMar>
              <w:top w:w="15" w:type="dxa"/>
              <w:left w:w="15" w:type="dxa"/>
              <w:right w:w="15" w:type="dxa"/>
            </w:tcMar>
            <w:vAlign w:val="bottom"/>
          </w:tcPr>
          <w:p>
            <w:pPr>
              <w:pStyle w:val="35"/>
            </w:pPr>
            <w:r>
              <w:t>34</w:t>
            </w:r>
          </w:p>
        </w:tc>
        <w:tc>
          <w:tcPr>
            <w:tcW w:w="644" w:type="pct"/>
            <w:shd w:val="clear" w:color="auto" w:fill="auto"/>
            <w:noWrap/>
            <w:tcMar>
              <w:top w:w="15" w:type="dxa"/>
              <w:left w:w="15" w:type="dxa"/>
              <w:right w:w="15" w:type="dxa"/>
            </w:tcMar>
            <w:vAlign w:val="bottom"/>
          </w:tcPr>
          <w:p>
            <w:pPr>
              <w:pStyle w:val="35"/>
            </w:pPr>
            <w:r>
              <w:t>40</w:t>
            </w:r>
          </w:p>
        </w:tc>
        <w:tc>
          <w:tcPr>
            <w:tcW w:w="634" w:type="pct"/>
            <w:shd w:val="clear" w:color="auto" w:fill="auto"/>
            <w:noWrap/>
            <w:tcMar>
              <w:top w:w="15" w:type="dxa"/>
              <w:left w:w="15" w:type="dxa"/>
              <w:right w:w="15" w:type="dxa"/>
            </w:tcMar>
            <w:vAlign w:val="bottom"/>
          </w:tcPr>
          <w:p>
            <w:pPr>
              <w:pStyle w:val="35"/>
            </w:pPr>
            <w:r>
              <w:t>85.0</w:t>
            </w:r>
          </w:p>
        </w:tc>
        <w:tc>
          <w:tcPr>
            <w:tcW w:w="454" w:type="pct"/>
            <w:vMerge w:val="restart"/>
            <w:shd w:val="clear" w:color="auto" w:fill="auto"/>
            <w:noWrap/>
            <w:tcMar>
              <w:top w:w="15" w:type="dxa"/>
              <w:left w:w="15" w:type="dxa"/>
              <w:right w:w="15" w:type="dxa"/>
            </w:tcMar>
            <w:vAlign w:val="center"/>
          </w:tcPr>
          <w:p>
            <w:pPr>
              <w:pStyle w:val="35"/>
            </w:pPr>
            <w: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continue"/>
            <w:shd w:val="clear" w:color="auto" w:fill="auto"/>
            <w:noWrap/>
            <w:tcMar>
              <w:top w:w="15" w:type="dxa"/>
              <w:left w:w="15" w:type="dxa"/>
              <w:right w:w="15" w:type="dxa"/>
            </w:tcMar>
            <w:vAlign w:val="center"/>
          </w:tcPr>
          <w:p>
            <w:pPr>
              <w:pStyle w:val="35"/>
            </w:pPr>
          </w:p>
        </w:tc>
        <w:tc>
          <w:tcPr>
            <w:tcW w:w="2213" w:type="pct"/>
            <w:shd w:val="clear" w:color="auto" w:fill="auto"/>
            <w:noWrap/>
            <w:tcMar>
              <w:top w:w="15" w:type="dxa"/>
              <w:left w:w="15" w:type="dxa"/>
              <w:right w:w="15" w:type="dxa"/>
            </w:tcMar>
            <w:vAlign w:val="center"/>
          </w:tcPr>
          <w:p>
            <w:pPr>
              <w:pStyle w:val="35"/>
            </w:pPr>
            <w:r>
              <w:t>第98百分位数日平均质量浓度</w:t>
            </w:r>
          </w:p>
        </w:tc>
        <w:tc>
          <w:tcPr>
            <w:tcW w:w="599" w:type="pct"/>
            <w:shd w:val="clear" w:color="auto" w:fill="auto"/>
            <w:noWrap/>
            <w:tcMar>
              <w:top w:w="15" w:type="dxa"/>
              <w:left w:w="15" w:type="dxa"/>
              <w:right w:w="15" w:type="dxa"/>
            </w:tcMar>
            <w:vAlign w:val="center"/>
          </w:tcPr>
          <w:p>
            <w:pPr>
              <w:pStyle w:val="35"/>
            </w:pPr>
            <w:r>
              <w:t>76</w:t>
            </w:r>
          </w:p>
        </w:tc>
        <w:tc>
          <w:tcPr>
            <w:tcW w:w="644" w:type="pct"/>
            <w:shd w:val="clear" w:color="auto" w:fill="auto"/>
            <w:noWrap/>
            <w:tcMar>
              <w:top w:w="15" w:type="dxa"/>
              <w:left w:w="15" w:type="dxa"/>
              <w:right w:w="15" w:type="dxa"/>
            </w:tcMar>
            <w:vAlign w:val="center"/>
          </w:tcPr>
          <w:p>
            <w:pPr>
              <w:pStyle w:val="35"/>
            </w:pPr>
            <w:r>
              <w:t>80</w:t>
            </w:r>
          </w:p>
        </w:tc>
        <w:tc>
          <w:tcPr>
            <w:tcW w:w="634" w:type="pct"/>
            <w:shd w:val="clear" w:color="auto" w:fill="auto"/>
            <w:noWrap/>
            <w:tcMar>
              <w:top w:w="15" w:type="dxa"/>
              <w:left w:w="15" w:type="dxa"/>
              <w:right w:w="15" w:type="dxa"/>
            </w:tcMar>
            <w:vAlign w:val="center"/>
          </w:tcPr>
          <w:p>
            <w:pPr>
              <w:pStyle w:val="35"/>
            </w:pPr>
            <w:r>
              <w:t>95.0</w:t>
            </w:r>
          </w:p>
        </w:tc>
        <w:tc>
          <w:tcPr>
            <w:tcW w:w="454"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restart"/>
            <w:shd w:val="clear" w:color="auto" w:fill="auto"/>
            <w:noWrap/>
            <w:tcMar>
              <w:top w:w="15" w:type="dxa"/>
              <w:left w:w="15" w:type="dxa"/>
              <w:right w:w="15" w:type="dxa"/>
            </w:tcMar>
            <w:vAlign w:val="center"/>
          </w:tcPr>
          <w:p>
            <w:pPr>
              <w:pStyle w:val="35"/>
            </w:pPr>
            <w:r>
              <w:t>PM</w:t>
            </w:r>
            <w:r>
              <w:rPr>
                <w:vertAlign w:val="subscript"/>
              </w:rPr>
              <w:t>10</w:t>
            </w:r>
          </w:p>
        </w:tc>
        <w:tc>
          <w:tcPr>
            <w:tcW w:w="2213" w:type="pct"/>
            <w:shd w:val="clear" w:color="auto" w:fill="auto"/>
            <w:noWrap/>
            <w:tcMar>
              <w:top w:w="15" w:type="dxa"/>
              <w:left w:w="15" w:type="dxa"/>
              <w:right w:w="15" w:type="dxa"/>
            </w:tcMar>
            <w:vAlign w:val="center"/>
          </w:tcPr>
          <w:p>
            <w:pPr>
              <w:pStyle w:val="35"/>
            </w:pPr>
            <w:r>
              <w:t>年平均质量浓度</w:t>
            </w:r>
          </w:p>
        </w:tc>
        <w:tc>
          <w:tcPr>
            <w:tcW w:w="599" w:type="pct"/>
            <w:shd w:val="clear" w:color="auto" w:fill="auto"/>
            <w:noWrap/>
            <w:tcMar>
              <w:top w:w="15" w:type="dxa"/>
              <w:left w:w="15" w:type="dxa"/>
              <w:right w:w="15" w:type="dxa"/>
            </w:tcMar>
            <w:vAlign w:val="center"/>
          </w:tcPr>
          <w:p>
            <w:pPr>
              <w:pStyle w:val="35"/>
            </w:pPr>
            <w:r>
              <w:t>104</w:t>
            </w:r>
          </w:p>
        </w:tc>
        <w:tc>
          <w:tcPr>
            <w:tcW w:w="644" w:type="pct"/>
            <w:shd w:val="clear" w:color="auto" w:fill="auto"/>
            <w:noWrap/>
            <w:tcMar>
              <w:top w:w="15" w:type="dxa"/>
              <w:left w:w="15" w:type="dxa"/>
              <w:right w:w="15" w:type="dxa"/>
            </w:tcMar>
            <w:vAlign w:val="center"/>
          </w:tcPr>
          <w:p>
            <w:pPr>
              <w:pStyle w:val="35"/>
            </w:pPr>
            <w:r>
              <w:t>70</w:t>
            </w:r>
          </w:p>
        </w:tc>
        <w:tc>
          <w:tcPr>
            <w:tcW w:w="634" w:type="pct"/>
            <w:shd w:val="clear" w:color="auto" w:fill="auto"/>
            <w:noWrap/>
            <w:tcMar>
              <w:top w:w="15" w:type="dxa"/>
              <w:left w:w="15" w:type="dxa"/>
              <w:right w:w="15" w:type="dxa"/>
            </w:tcMar>
            <w:vAlign w:val="center"/>
          </w:tcPr>
          <w:p>
            <w:pPr>
              <w:pStyle w:val="35"/>
            </w:pPr>
            <w:r>
              <w:t>148.6</w:t>
            </w:r>
          </w:p>
        </w:tc>
        <w:tc>
          <w:tcPr>
            <w:tcW w:w="454"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continue"/>
            <w:shd w:val="clear" w:color="auto" w:fill="auto"/>
            <w:noWrap/>
            <w:tcMar>
              <w:top w:w="15" w:type="dxa"/>
              <w:left w:w="15" w:type="dxa"/>
              <w:right w:w="15" w:type="dxa"/>
            </w:tcMar>
            <w:vAlign w:val="center"/>
          </w:tcPr>
          <w:p>
            <w:pPr>
              <w:pStyle w:val="35"/>
            </w:pPr>
          </w:p>
        </w:tc>
        <w:tc>
          <w:tcPr>
            <w:tcW w:w="2213" w:type="pct"/>
            <w:shd w:val="clear" w:color="auto" w:fill="auto"/>
            <w:noWrap/>
            <w:tcMar>
              <w:top w:w="15" w:type="dxa"/>
              <w:left w:w="15" w:type="dxa"/>
              <w:right w:w="15" w:type="dxa"/>
            </w:tcMar>
            <w:vAlign w:val="bottom"/>
          </w:tcPr>
          <w:p>
            <w:pPr>
              <w:pStyle w:val="35"/>
            </w:pPr>
            <w:r>
              <w:t>第95百分位数日平均质量浓度</w:t>
            </w:r>
          </w:p>
        </w:tc>
        <w:tc>
          <w:tcPr>
            <w:tcW w:w="599" w:type="pct"/>
            <w:shd w:val="clear" w:color="auto" w:fill="auto"/>
            <w:noWrap/>
            <w:tcMar>
              <w:top w:w="15" w:type="dxa"/>
              <w:left w:w="15" w:type="dxa"/>
              <w:right w:w="15" w:type="dxa"/>
            </w:tcMar>
            <w:vAlign w:val="bottom"/>
          </w:tcPr>
          <w:p>
            <w:pPr>
              <w:pStyle w:val="35"/>
            </w:pPr>
            <w:r>
              <w:t>226</w:t>
            </w:r>
          </w:p>
        </w:tc>
        <w:tc>
          <w:tcPr>
            <w:tcW w:w="644" w:type="pct"/>
            <w:shd w:val="clear" w:color="auto" w:fill="auto"/>
            <w:noWrap/>
            <w:tcMar>
              <w:top w:w="15" w:type="dxa"/>
              <w:left w:w="15" w:type="dxa"/>
              <w:right w:w="15" w:type="dxa"/>
            </w:tcMar>
            <w:vAlign w:val="bottom"/>
          </w:tcPr>
          <w:p>
            <w:pPr>
              <w:pStyle w:val="35"/>
            </w:pPr>
            <w:r>
              <w:t>150</w:t>
            </w:r>
          </w:p>
        </w:tc>
        <w:tc>
          <w:tcPr>
            <w:tcW w:w="634" w:type="pct"/>
            <w:shd w:val="clear" w:color="auto" w:fill="auto"/>
            <w:noWrap/>
            <w:tcMar>
              <w:top w:w="15" w:type="dxa"/>
              <w:left w:w="15" w:type="dxa"/>
              <w:right w:w="15" w:type="dxa"/>
            </w:tcMar>
            <w:vAlign w:val="bottom"/>
          </w:tcPr>
          <w:p>
            <w:pPr>
              <w:pStyle w:val="35"/>
            </w:pPr>
            <w:r>
              <w:t>150.7</w:t>
            </w:r>
          </w:p>
        </w:tc>
        <w:tc>
          <w:tcPr>
            <w:tcW w:w="454"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restart"/>
            <w:shd w:val="clear" w:color="auto" w:fill="auto"/>
            <w:noWrap/>
            <w:tcMar>
              <w:top w:w="15" w:type="dxa"/>
              <w:left w:w="15" w:type="dxa"/>
              <w:right w:w="15" w:type="dxa"/>
            </w:tcMar>
            <w:vAlign w:val="center"/>
          </w:tcPr>
          <w:p>
            <w:pPr>
              <w:pStyle w:val="35"/>
            </w:pPr>
            <w:r>
              <w:t>PM</w:t>
            </w:r>
            <w:r>
              <w:rPr>
                <w:vertAlign w:val="subscript"/>
              </w:rPr>
              <w:t>2.5</w:t>
            </w:r>
          </w:p>
        </w:tc>
        <w:tc>
          <w:tcPr>
            <w:tcW w:w="2213" w:type="pct"/>
            <w:shd w:val="clear" w:color="auto" w:fill="auto"/>
            <w:noWrap/>
            <w:tcMar>
              <w:top w:w="15" w:type="dxa"/>
              <w:left w:w="15" w:type="dxa"/>
              <w:right w:w="15" w:type="dxa"/>
            </w:tcMar>
            <w:vAlign w:val="bottom"/>
          </w:tcPr>
          <w:p>
            <w:pPr>
              <w:pStyle w:val="35"/>
            </w:pPr>
            <w:r>
              <w:t>年平均质量浓度</w:t>
            </w:r>
          </w:p>
        </w:tc>
        <w:tc>
          <w:tcPr>
            <w:tcW w:w="599" w:type="pct"/>
            <w:shd w:val="clear" w:color="auto" w:fill="auto"/>
            <w:noWrap/>
            <w:tcMar>
              <w:top w:w="15" w:type="dxa"/>
              <w:left w:w="15" w:type="dxa"/>
              <w:right w:w="15" w:type="dxa"/>
            </w:tcMar>
            <w:vAlign w:val="bottom"/>
          </w:tcPr>
          <w:p>
            <w:pPr>
              <w:pStyle w:val="35"/>
            </w:pPr>
            <w:r>
              <w:t>64</w:t>
            </w:r>
          </w:p>
        </w:tc>
        <w:tc>
          <w:tcPr>
            <w:tcW w:w="644" w:type="pct"/>
            <w:shd w:val="clear" w:color="auto" w:fill="auto"/>
            <w:noWrap/>
            <w:tcMar>
              <w:top w:w="15" w:type="dxa"/>
              <w:left w:w="15" w:type="dxa"/>
              <w:right w:w="15" w:type="dxa"/>
            </w:tcMar>
            <w:vAlign w:val="bottom"/>
          </w:tcPr>
          <w:p>
            <w:pPr>
              <w:pStyle w:val="35"/>
            </w:pPr>
            <w:r>
              <w:t>35</w:t>
            </w:r>
          </w:p>
        </w:tc>
        <w:tc>
          <w:tcPr>
            <w:tcW w:w="634" w:type="pct"/>
            <w:shd w:val="clear" w:color="auto" w:fill="auto"/>
            <w:noWrap/>
            <w:tcMar>
              <w:top w:w="15" w:type="dxa"/>
              <w:left w:w="15" w:type="dxa"/>
              <w:right w:w="15" w:type="dxa"/>
            </w:tcMar>
            <w:vAlign w:val="bottom"/>
          </w:tcPr>
          <w:p>
            <w:pPr>
              <w:pStyle w:val="35"/>
            </w:pPr>
            <w:r>
              <w:t>182.9</w:t>
            </w:r>
          </w:p>
        </w:tc>
        <w:tc>
          <w:tcPr>
            <w:tcW w:w="454"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vMerge w:val="continue"/>
            <w:shd w:val="clear" w:color="auto" w:fill="auto"/>
            <w:noWrap/>
            <w:tcMar>
              <w:top w:w="15" w:type="dxa"/>
              <w:left w:w="15" w:type="dxa"/>
              <w:right w:w="15" w:type="dxa"/>
            </w:tcMar>
            <w:vAlign w:val="center"/>
          </w:tcPr>
          <w:p>
            <w:pPr>
              <w:pStyle w:val="35"/>
            </w:pPr>
          </w:p>
        </w:tc>
        <w:tc>
          <w:tcPr>
            <w:tcW w:w="2213" w:type="pct"/>
            <w:shd w:val="clear" w:color="auto" w:fill="auto"/>
            <w:noWrap/>
            <w:tcMar>
              <w:top w:w="15" w:type="dxa"/>
              <w:left w:w="15" w:type="dxa"/>
              <w:right w:w="15" w:type="dxa"/>
            </w:tcMar>
            <w:vAlign w:val="bottom"/>
          </w:tcPr>
          <w:p>
            <w:pPr>
              <w:pStyle w:val="35"/>
            </w:pPr>
            <w:r>
              <w:t>第95百分位数日平均质量浓度</w:t>
            </w:r>
          </w:p>
        </w:tc>
        <w:tc>
          <w:tcPr>
            <w:tcW w:w="599" w:type="pct"/>
            <w:shd w:val="clear" w:color="auto" w:fill="auto"/>
            <w:noWrap/>
            <w:tcMar>
              <w:top w:w="15" w:type="dxa"/>
              <w:left w:w="15" w:type="dxa"/>
              <w:right w:w="15" w:type="dxa"/>
            </w:tcMar>
            <w:vAlign w:val="bottom"/>
          </w:tcPr>
          <w:p>
            <w:pPr>
              <w:pStyle w:val="35"/>
            </w:pPr>
            <w:r>
              <w:t>189</w:t>
            </w:r>
          </w:p>
        </w:tc>
        <w:tc>
          <w:tcPr>
            <w:tcW w:w="644" w:type="pct"/>
            <w:shd w:val="clear" w:color="auto" w:fill="auto"/>
            <w:noWrap/>
            <w:tcMar>
              <w:top w:w="15" w:type="dxa"/>
              <w:left w:w="15" w:type="dxa"/>
              <w:right w:w="15" w:type="dxa"/>
            </w:tcMar>
            <w:vAlign w:val="bottom"/>
          </w:tcPr>
          <w:p>
            <w:pPr>
              <w:pStyle w:val="35"/>
            </w:pPr>
            <w:r>
              <w:t>75</w:t>
            </w:r>
          </w:p>
        </w:tc>
        <w:tc>
          <w:tcPr>
            <w:tcW w:w="634" w:type="pct"/>
            <w:shd w:val="clear" w:color="auto" w:fill="auto"/>
            <w:noWrap/>
            <w:tcMar>
              <w:top w:w="15" w:type="dxa"/>
              <w:left w:w="15" w:type="dxa"/>
              <w:right w:w="15" w:type="dxa"/>
            </w:tcMar>
            <w:vAlign w:val="bottom"/>
          </w:tcPr>
          <w:p>
            <w:pPr>
              <w:pStyle w:val="35"/>
            </w:pPr>
            <w:r>
              <w:t>252.0</w:t>
            </w:r>
          </w:p>
        </w:tc>
        <w:tc>
          <w:tcPr>
            <w:tcW w:w="454"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shd w:val="clear" w:color="auto" w:fill="auto"/>
            <w:noWrap/>
            <w:tcMar>
              <w:top w:w="15" w:type="dxa"/>
              <w:left w:w="15" w:type="dxa"/>
              <w:right w:w="15" w:type="dxa"/>
            </w:tcMar>
            <w:vAlign w:val="bottom"/>
          </w:tcPr>
          <w:p>
            <w:pPr>
              <w:pStyle w:val="35"/>
            </w:pPr>
            <w:r>
              <w:t>CO</w:t>
            </w:r>
          </w:p>
        </w:tc>
        <w:tc>
          <w:tcPr>
            <w:tcW w:w="2213" w:type="pct"/>
            <w:shd w:val="clear" w:color="auto" w:fill="auto"/>
            <w:noWrap/>
            <w:tcMar>
              <w:top w:w="15" w:type="dxa"/>
              <w:left w:w="15" w:type="dxa"/>
              <w:right w:w="15" w:type="dxa"/>
            </w:tcMar>
            <w:vAlign w:val="bottom"/>
          </w:tcPr>
          <w:p>
            <w:pPr>
              <w:pStyle w:val="35"/>
            </w:pPr>
            <w:r>
              <w:t>第95百分位数日平均质量浓度</w:t>
            </w:r>
          </w:p>
        </w:tc>
        <w:tc>
          <w:tcPr>
            <w:tcW w:w="599" w:type="pct"/>
            <w:shd w:val="clear" w:color="auto" w:fill="auto"/>
            <w:noWrap/>
            <w:tcMar>
              <w:top w:w="15" w:type="dxa"/>
              <w:left w:w="15" w:type="dxa"/>
              <w:right w:w="15" w:type="dxa"/>
            </w:tcMar>
            <w:vAlign w:val="bottom"/>
          </w:tcPr>
          <w:p>
            <w:pPr>
              <w:pStyle w:val="35"/>
            </w:pPr>
            <w:r>
              <w:t>1.8mg/m</w:t>
            </w:r>
            <w:r>
              <w:rPr>
                <w:vertAlign w:val="superscript"/>
              </w:rPr>
              <w:t>3</w:t>
            </w:r>
          </w:p>
        </w:tc>
        <w:tc>
          <w:tcPr>
            <w:tcW w:w="644" w:type="pct"/>
            <w:shd w:val="clear" w:color="auto" w:fill="auto"/>
            <w:noWrap/>
            <w:tcMar>
              <w:top w:w="15" w:type="dxa"/>
              <w:left w:w="15" w:type="dxa"/>
              <w:right w:w="15" w:type="dxa"/>
            </w:tcMar>
            <w:vAlign w:val="bottom"/>
          </w:tcPr>
          <w:p>
            <w:pPr>
              <w:pStyle w:val="35"/>
            </w:pPr>
            <w:r>
              <w:t>4mg/m</w:t>
            </w:r>
            <w:r>
              <w:rPr>
                <w:vertAlign w:val="superscript"/>
              </w:rPr>
              <w:t>3</w:t>
            </w:r>
          </w:p>
        </w:tc>
        <w:tc>
          <w:tcPr>
            <w:tcW w:w="634" w:type="pct"/>
            <w:shd w:val="clear" w:color="auto" w:fill="auto"/>
            <w:noWrap/>
            <w:tcMar>
              <w:top w:w="15" w:type="dxa"/>
              <w:left w:w="15" w:type="dxa"/>
              <w:right w:w="15" w:type="dxa"/>
            </w:tcMar>
            <w:vAlign w:val="bottom"/>
          </w:tcPr>
          <w:p>
            <w:pPr>
              <w:pStyle w:val="35"/>
            </w:pPr>
            <w:r>
              <w:t>45.0</w:t>
            </w:r>
          </w:p>
        </w:tc>
        <w:tc>
          <w:tcPr>
            <w:tcW w:w="454" w:type="pct"/>
            <w:shd w:val="clear" w:color="auto" w:fill="auto"/>
            <w:noWrap/>
            <w:tcMar>
              <w:top w:w="15" w:type="dxa"/>
              <w:left w:w="15" w:type="dxa"/>
              <w:right w:w="15" w:type="dxa"/>
            </w:tcMar>
            <w:vAlign w:val="bottom"/>
          </w:tcPr>
          <w:p>
            <w:pPr>
              <w:pStyle w:val="35"/>
            </w:pPr>
            <w: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452" w:type="pct"/>
            <w:shd w:val="clear" w:color="auto" w:fill="auto"/>
            <w:noWrap/>
            <w:tcMar>
              <w:top w:w="15" w:type="dxa"/>
              <w:left w:w="15" w:type="dxa"/>
              <w:right w:w="15" w:type="dxa"/>
            </w:tcMar>
            <w:vAlign w:val="bottom"/>
          </w:tcPr>
          <w:p>
            <w:pPr>
              <w:pStyle w:val="35"/>
            </w:pPr>
            <w:r>
              <w:t>O</w:t>
            </w:r>
            <w:r>
              <w:rPr>
                <w:vertAlign w:val="subscript"/>
              </w:rPr>
              <w:t>3</w:t>
            </w:r>
          </w:p>
        </w:tc>
        <w:tc>
          <w:tcPr>
            <w:tcW w:w="2213" w:type="pct"/>
            <w:shd w:val="clear" w:color="auto" w:fill="auto"/>
            <w:noWrap/>
            <w:tcMar>
              <w:top w:w="15" w:type="dxa"/>
              <w:left w:w="15" w:type="dxa"/>
              <w:right w:w="15" w:type="dxa"/>
            </w:tcMar>
            <w:vAlign w:val="bottom"/>
          </w:tcPr>
          <w:p>
            <w:pPr>
              <w:pStyle w:val="35"/>
            </w:pPr>
            <w:r>
              <w:t>第90百分位数最大8小时平均质量浓度</w:t>
            </w:r>
          </w:p>
        </w:tc>
        <w:tc>
          <w:tcPr>
            <w:tcW w:w="599" w:type="pct"/>
            <w:shd w:val="clear" w:color="auto" w:fill="auto"/>
            <w:noWrap/>
            <w:tcMar>
              <w:top w:w="15" w:type="dxa"/>
              <w:left w:w="15" w:type="dxa"/>
              <w:right w:w="15" w:type="dxa"/>
            </w:tcMar>
            <w:vAlign w:val="bottom"/>
          </w:tcPr>
          <w:p>
            <w:pPr>
              <w:pStyle w:val="35"/>
            </w:pPr>
            <w:r>
              <w:t>187</w:t>
            </w:r>
          </w:p>
        </w:tc>
        <w:tc>
          <w:tcPr>
            <w:tcW w:w="644" w:type="pct"/>
            <w:shd w:val="clear" w:color="auto" w:fill="auto"/>
            <w:noWrap/>
            <w:tcMar>
              <w:top w:w="15" w:type="dxa"/>
              <w:left w:w="15" w:type="dxa"/>
              <w:right w:w="15" w:type="dxa"/>
            </w:tcMar>
            <w:vAlign w:val="bottom"/>
          </w:tcPr>
          <w:p>
            <w:pPr>
              <w:pStyle w:val="35"/>
            </w:pPr>
            <w:r>
              <w:t>160</w:t>
            </w:r>
          </w:p>
        </w:tc>
        <w:tc>
          <w:tcPr>
            <w:tcW w:w="634" w:type="pct"/>
            <w:shd w:val="clear" w:color="auto" w:fill="auto"/>
            <w:noWrap/>
            <w:tcMar>
              <w:top w:w="15" w:type="dxa"/>
              <w:left w:w="15" w:type="dxa"/>
              <w:right w:w="15" w:type="dxa"/>
            </w:tcMar>
            <w:vAlign w:val="bottom"/>
          </w:tcPr>
          <w:p>
            <w:pPr>
              <w:pStyle w:val="35"/>
            </w:pPr>
            <w:r>
              <w:t>116.9</w:t>
            </w:r>
          </w:p>
        </w:tc>
        <w:tc>
          <w:tcPr>
            <w:tcW w:w="454" w:type="pct"/>
            <w:shd w:val="clear" w:color="auto" w:fill="auto"/>
            <w:noWrap/>
            <w:tcMar>
              <w:top w:w="15" w:type="dxa"/>
              <w:left w:w="15" w:type="dxa"/>
              <w:right w:w="15" w:type="dxa"/>
            </w:tcMar>
            <w:vAlign w:val="bottom"/>
          </w:tcPr>
          <w:p>
            <w:pPr>
              <w:pStyle w:val="35"/>
            </w:pPr>
            <w:r>
              <w:t>不达标</w:t>
            </w:r>
          </w:p>
        </w:tc>
      </w:tr>
    </w:tbl>
    <w:p>
      <w:pPr>
        <w:pStyle w:val="27"/>
        <w:ind w:firstLine="560"/>
        <w:rPr>
          <w:szCs w:val="28"/>
        </w:rPr>
      </w:pPr>
      <w:r>
        <w:rPr>
          <w:rFonts w:hint="eastAsia"/>
          <w:szCs w:val="28"/>
        </w:rPr>
        <w:t>由表4.3-2可知，本项目评价范围内2019年的环境质量现状SO</w:t>
      </w:r>
      <w:r>
        <w:rPr>
          <w:rFonts w:hint="eastAsia"/>
          <w:szCs w:val="28"/>
          <w:vertAlign w:val="subscript"/>
        </w:rPr>
        <w:t>2</w:t>
      </w:r>
      <w:r>
        <w:rPr>
          <w:rFonts w:hint="eastAsia"/>
          <w:szCs w:val="28"/>
        </w:rPr>
        <w:t>、NO</w:t>
      </w:r>
      <w:r>
        <w:rPr>
          <w:rFonts w:hint="eastAsia"/>
          <w:szCs w:val="28"/>
          <w:vertAlign w:val="subscript"/>
        </w:rPr>
        <w:t>2</w:t>
      </w:r>
      <w:r>
        <w:rPr>
          <w:rFonts w:hint="eastAsia"/>
          <w:szCs w:val="28"/>
        </w:rPr>
        <w:t>和CO的年评价项目均达标，PM</w:t>
      </w:r>
      <w:r>
        <w:rPr>
          <w:rFonts w:hint="eastAsia"/>
          <w:szCs w:val="28"/>
          <w:vertAlign w:val="subscript"/>
        </w:rPr>
        <w:t>10</w:t>
      </w:r>
      <w:r>
        <w:rPr>
          <w:rFonts w:hint="eastAsia"/>
          <w:szCs w:val="28"/>
        </w:rPr>
        <w:t>、PM</w:t>
      </w:r>
      <w:r>
        <w:rPr>
          <w:rFonts w:hint="eastAsia"/>
          <w:szCs w:val="28"/>
          <w:vertAlign w:val="subscript"/>
        </w:rPr>
        <w:t>2.5</w:t>
      </w:r>
      <w:r>
        <w:rPr>
          <w:rFonts w:hint="eastAsia"/>
          <w:szCs w:val="28"/>
        </w:rPr>
        <w:t>和O</w:t>
      </w:r>
      <w:r>
        <w:rPr>
          <w:rFonts w:hint="eastAsia"/>
          <w:szCs w:val="28"/>
          <w:vertAlign w:val="subscript"/>
        </w:rPr>
        <w:t>3</w:t>
      </w:r>
      <w:r>
        <w:rPr>
          <w:rFonts w:hint="eastAsia"/>
          <w:szCs w:val="28"/>
        </w:rPr>
        <w:t>的年评价项目均不达标，因此本项目所在区域为不达标区。</w:t>
      </w:r>
    </w:p>
    <w:p>
      <w:pPr>
        <w:pStyle w:val="33"/>
      </w:pPr>
      <w:r>
        <w:rPr>
          <w:rFonts w:hint="eastAsia"/>
        </w:rPr>
        <w:t xml:space="preserve">4.3.1.3 基本污染物环境质量现状评价 </w:t>
      </w:r>
    </w:p>
    <w:p>
      <w:pPr>
        <w:pStyle w:val="27"/>
        <w:ind w:firstLine="560"/>
      </w:pPr>
      <w:r>
        <w:rPr>
          <w:rFonts w:hint="eastAsia"/>
          <w:szCs w:val="28"/>
        </w:rPr>
        <w:t>根据《环境影响评价技术导则 大气环境》（HJ 2.2-2018），项目所在区域基本污染物环境质量现状评价采用 2019 年濮阳市城区环境空气质量监测网的环境空气质量数据。据此评价对本项目所在区域基本污染物环境质量现状进行评价，具体见表4.3-3。</w:t>
      </w:r>
    </w:p>
    <w:p>
      <w:pPr>
        <w:pStyle w:val="27"/>
        <w:ind w:firstLine="560"/>
        <w:rPr>
          <w:szCs w:val="28"/>
        </w:rPr>
      </w:pPr>
    </w:p>
    <w:p>
      <w:pPr>
        <w:pStyle w:val="27"/>
        <w:ind w:firstLine="560"/>
        <w:rPr>
          <w:szCs w:val="28"/>
        </w:rPr>
        <w:sectPr>
          <w:headerReference r:id="rId9" w:type="default"/>
          <w:footerReference r:id="rId10" w:type="default"/>
          <w:footerReference r:id="rId11" w:type="even"/>
          <w:pgSz w:w="11906" w:h="16838"/>
          <w:pgMar w:top="1474" w:right="1474" w:bottom="1474" w:left="1474" w:header="851" w:footer="851" w:gutter="0"/>
          <w:cols w:space="720" w:num="1"/>
          <w:docGrid w:linePitch="312" w:charSpace="0"/>
        </w:sectPr>
      </w:pPr>
    </w:p>
    <w:p>
      <w:pPr>
        <w:pStyle w:val="32"/>
        <w:tabs>
          <w:tab w:val="left" w:pos="4540"/>
          <w:tab w:val="clear" w:pos="900"/>
        </w:tabs>
      </w:pPr>
      <w:r>
        <w:rPr>
          <w:rFonts w:hint="eastAsia"/>
        </w:rPr>
        <w:t>表4.3-3                                 区域基本污染物环境质量现状评价表</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78"/>
        <w:gridCol w:w="688"/>
        <w:gridCol w:w="693"/>
        <w:gridCol w:w="791"/>
        <w:gridCol w:w="3514"/>
        <w:gridCol w:w="975"/>
        <w:gridCol w:w="1559"/>
        <w:gridCol w:w="1111"/>
        <w:gridCol w:w="1030"/>
        <w:gridCol w:w="1136"/>
        <w:gridCol w:w="11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restart"/>
            <w:shd w:val="clear" w:color="auto" w:fill="auto"/>
            <w:noWrap/>
            <w:tcMar>
              <w:top w:w="15" w:type="dxa"/>
              <w:left w:w="15" w:type="dxa"/>
              <w:right w:w="15" w:type="dxa"/>
            </w:tcMar>
            <w:vAlign w:val="center"/>
          </w:tcPr>
          <w:p>
            <w:pPr>
              <w:pStyle w:val="35"/>
              <w:rPr>
                <w:b/>
                <w:bCs/>
              </w:rPr>
            </w:pPr>
            <w:r>
              <w:rPr>
                <w:b/>
                <w:bCs/>
              </w:rPr>
              <w:t>点位名称</w:t>
            </w:r>
          </w:p>
        </w:tc>
        <w:tc>
          <w:tcPr>
            <w:tcW w:w="496" w:type="pct"/>
            <w:gridSpan w:val="2"/>
            <w:shd w:val="clear" w:color="auto" w:fill="auto"/>
            <w:noWrap/>
            <w:tcMar>
              <w:top w:w="15" w:type="dxa"/>
              <w:left w:w="15" w:type="dxa"/>
              <w:right w:w="15" w:type="dxa"/>
            </w:tcMar>
            <w:vAlign w:val="bottom"/>
          </w:tcPr>
          <w:p>
            <w:pPr>
              <w:pStyle w:val="35"/>
              <w:rPr>
                <w:b/>
                <w:bCs/>
              </w:rPr>
            </w:pPr>
            <w:r>
              <w:rPr>
                <w:b/>
                <w:bCs/>
              </w:rPr>
              <w:t>监测点坐标/m</w:t>
            </w:r>
          </w:p>
        </w:tc>
        <w:tc>
          <w:tcPr>
            <w:tcW w:w="284" w:type="pct"/>
            <w:vMerge w:val="restart"/>
            <w:shd w:val="clear" w:color="auto" w:fill="auto"/>
            <w:noWrap/>
            <w:tcMar>
              <w:top w:w="15" w:type="dxa"/>
              <w:left w:w="15" w:type="dxa"/>
              <w:right w:w="15" w:type="dxa"/>
            </w:tcMar>
            <w:vAlign w:val="center"/>
          </w:tcPr>
          <w:p>
            <w:pPr>
              <w:pStyle w:val="35"/>
              <w:rPr>
                <w:b/>
                <w:bCs/>
              </w:rPr>
            </w:pPr>
            <w:r>
              <w:rPr>
                <w:b/>
                <w:bCs/>
              </w:rPr>
              <w:t>汚染物</w:t>
            </w:r>
          </w:p>
        </w:tc>
        <w:tc>
          <w:tcPr>
            <w:tcW w:w="1262" w:type="pct"/>
            <w:vMerge w:val="restart"/>
            <w:shd w:val="clear" w:color="auto" w:fill="auto"/>
            <w:noWrap/>
            <w:tcMar>
              <w:top w:w="15" w:type="dxa"/>
              <w:left w:w="15" w:type="dxa"/>
              <w:right w:w="15" w:type="dxa"/>
            </w:tcMar>
            <w:vAlign w:val="center"/>
          </w:tcPr>
          <w:p>
            <w:pPr>
              <w:pStyle w:val="35"/>
              <w:rPr>
                <w:b/>
                <w:bCs/>
              </w:rPr>
            </w:pPr>
            <w:r>
              <w:rPr>
                <w:b/>
                <w:bCs/>
              </w:rPr>
              <w:t>平均时间</w:t>
            </w:r>
          </w:p>
        </w:tc>
        <w:tc>
          <w:tcPr>
            <w:tcW w:w="350" w:type="pct"/>
            <w:vMerge w:val="restart"/>
            <w:shd w:val="clear" w:color="auto" w:fill="auto"/>
            <w:tcMar>
              <w:top w:w="15" w:type="dxa"/>
              <w:left w:w="15" w:type="dxa"/>
              <w:right w:w="15" w:type="dxa"/>
            </w:tcMar>
            <w:vAlign w:val="center"/>
          </w:tcPr>
          <w:p>
            <w:pPr>
              <w:pStyle w:val="35"/>
              <w:rPr>
                <w:b/>
                <w:bCs/>
              </w:rPr>
            </w:pPr>
            <w:r>
              <w:rPr>
                <w:b/>
                <w:bCs/>
              </w:rPr>
              <w:t>评价标准 (μg/m</w:t>
            </w:r>
            <w:r>
              <w:rPr>
                <w:b/>
                <w:bCs/>
                <w:vertAlign w:val="superscript"/>
              </w:rPr>
              <w:t>3</w:t>
            </w:r>
            <w:r>
              <w:rPr>
                <w:b/>
                <w:bCs/>
              </w:rPr>
              <w:t>)</w:t>
            </w:r>
          </w:p>
        </w:tc>
        <w:tc>
          <w:tcPr>
            <w:tcW w:w="560" w:type="pct"/>
            <w:vMerge w:val="restart"/>
            <w:shd w:val="clear" w:color="auto" w:fill="auto"/>
            <w:tcMar>
              <w:top w:w="15" w:type="dxa"/>
              <w:left w:w="15" w:type="dxa"/>
              <w:right w:w="15" w:type="dxa"/>
            </w:tcMar>
            <w:vAlign w:val="center"/>
          </w:tcPr>
          <w:p>
            <w:pPr>
              <w:pStyle w:val="35"/>
              <w:rPr>
                <w:b/>
                <w:bCs/>
              </w:rPr>
            </w:pPr>
            <w:r>
              <w:rPr>
                <w:b/>
                <w:bCs/>
              </w:rPr>
              <w:t>现状浓度 (μg/m</w:t>
            </w:r>
            <w:r>
              <w:rPr>
                <w:b/>
                <w:bCs/>
                <w:vertAlign w:val="superscript"/>
              </w:rPr>
              <w:t>3</w:t>
            </w:r>
            <w:r>
              <w:rPr>
                <w:b/>
                <w:bCs/>
              </w:rPr>
              <w:t>)</w:t>
            </w:r>
          </w:p>
        </w:tc>
        <w:tc>
          <w:tcPr>
            <w:tcW w:w="399" w:type="pct"/>
            <w:vMerge w:val="restart"/>
            <w:shd w:val="clear" w:color="auto" w:fill="auto"/>
            <w:tcMar>
              <w:top w:w="15" w:type="dxa"/>
              <w:left w:w="15" w:type="dxa"/>
              <w:right w:w="15" w:type="dxa"/>
            </w:tcMar>
            <w:vAlign w:val="bottom"/>
          </w:tcPr>
          <w:p>
            <w:pPr>
              <w:pStyle w:val="35"/>
              <w:rPr>
                <w:b/>
                <w:bCs/>
              </w:rPr>
            </w:pPr>
            <w:r>
              <w:rPr>
                <w:b/>
                <w:bCs/>
              </w:rPr>
              <w:t>最大浓度占标率(%)</w:t>
            </w:r>
          </w:p>
        </w:tc>
        <w:tc>
          <w:tcPr>
            <w:tcW w:w="370" w:type="pct"/>
            <w:vMerge w:val="restart"/>
            <w:shd w:val="clear" w:color="auto" w:fill="auto"/>
            <w:tcMar>
              <w:top w:w="15" w:type="dxa"/>
              <w:left w:w="15" w:type="dxa"/>
              <w:right w:w="15" w:type="dxa"/>
            </w:tcMar>
            <w:vAlign w:val="center"/>
          </w:tcPr>
          <w:p>
            <w:pPr>
              <w:pStyle w:val="35"/>
              <w:rPr>
                <w:b/>
                <w:bCs/>
              </w:rPr>
            </w:pPr>
            <w:r>
              <w:rPr>
                <w:b/>
                <w:bCs/>
              </w:rPr>
              <w:t>超标频率(%)</w:t>
            </w:r>
          </w:p>
        </w:tc>
        <w:tc>
          <w:tcPr>
            <w:tcW w:w="408" w:type="pct"/>
            <w:vMerge w:val="restart"/>
            <w:shd w:val="clear" w:color="auto" w:fill="auto"/>
            <w:noWrap/>
            <w:tcMar>
              <w:top w:w="15" w:type="dxa"/>
              <w:left w:w="15" w:type="dxa"/>
              <w:right w:w="15" w:type="dxa"/>
            </w:tcMar>
            <w:vAlign w:val="center"/>
          </w:tcPr>
          <w:p>
            <w:pPr>
              <w:pStyle w:val="35"/>
              <w:rPr>
                <w:b/>
                <w:bCs/>
              </w:rPr>
            </w:pPr>
            <w:r>
              <w:rPr>
                <w:b/>
                <w:bCs/>
              </w:rPr>
              <w:t>超标倍数</w:t>
            </w:r>
          </w:p>
        </w:tc>
        <w:tc>
          <w:tcPr>
            <w:tcW w:w="408" w:type="pct"/>
            <w:vMerge w:val="restart"/>
            <w:shd w:val="clear" w:color="auto" w:fill="auto"/>
            <w:noWrap/>
            <w:tcMar>
              <w:top w:w="15" w:type="dxa"/>
              <w:left w:w="15" w:type="dxa"/>
              <w:right w:w="15" w:type="dxa"/>
            </w:tcMar>
            <w:vAlign w:val="center"/>
          </w:tcPr>
          <w:p>
            <w:pPr>
              <w:pStyle w:val="35"/>
              <w:rPr>
                <w:b/>
                <w:bCs/>
              </w:rPr>
            </w:pPr>
            <w:r>
              <w:rPr>
                <w:b/>
                <w:bCs/>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noWrap/>
            <w:tcMar>
              <w:top w:w="15" w:type="dxa"/>
              <w:left w:w="15" w:type="dxa"/>
              <w:right w:w="15" w:type="dxa"/>
            </w:tcMar>
            <w:vAlign w:val="center"/>
          </w:tcPr>
          <w:p>
            <w:pPr>
              <w:pStyle w:val="35"/>
              <w:rPr>
                <w:b/>
                <w:bCs/>
              </w:rPr>
            </w:pPr>
          </w:p>
        </w:tc>
        <w:tc>
          <w:tcPr>
            <w:tcW w:w="247" w:type="pct"/>
            <w:shd w:val="clear" w:color="auto" w:fill="auto"/>
            <w:noWrap/>
            <w:tcMar>
              <w:top w:w="15" w:type="dxa"/>
              <w:left w:w="15" w:type="dxa"/>
              <w:right w:w="15" w:type="dxa"/>
            </w:tcMar>
            <w:vAlign w:val="center"/>
          </w:tcPr>
          <w:p>
            <w:pPr>
              <w:pStyle w:val="35"/>
              <w:rPr>
                <w:b/>
                <w:bCs/>
              </w:rPr>
            </w:pPr>
            <w:r>
              <w:rPr>
                <w:b/>
                <w:bCs/>
              </w:rPr>
              <w:t>X</w:t>
            </w:r>
          </w:p>
        </w:tc>
        <w:tc>
          <w:tcPr>
            <w:tcW w:w="248" w:type="pct"/>
            <w:shd w:val="clear" w:color="auto" w:fill="auto"/>
            <w:noWrap/>
            <w:tcMar>
              <w:top w:w="15" w:type="dxa"/>
              <w:left w:w="15" w:type="dxa"/>
              <w:right w:w="15" w:type="dxa"/>
            </w:tcMar>
            <w:vAlign w:val="center"/>
          </w:tcPr>
          <w:p>
            <w:pPr>
              <w:pStyle w:val="35"/>
              <w:rPr>
                <w:b/>
                <w:bCs/>
              </w:rPr>
            </w:pPr>
            <w:r>
              <w:rPr>
                <w:b/>
                <w:bCs/>
              </w:rPr>
              <w:t>Y</w:t>
            </w:r>
          </w:p>
        </w:tc>
        <w:tc>
          <w:tcPr>
            <w:tcW w:w="284" w:type="pct"/>
            <w:vMerge w:val="continue"/>
            <w:shd w:val="clear" w:color="auto" w:fill="auto"/>
            <w:noWrap/>
            <w:tcMar>
              <w:top w:w="15" w:type="dxa"/>
              <w:left w:w="15" w:type="dxa"/>
              <w:right w:w="15" w:type="dxa"/>
            </w:tcMar>
            <w:vAlign w:val="center"/>
          </w:tcPr>
          <w:p>
            <w:pPr>
              <w:pStyle w:val="35"/>
              <w:rPr>
                <w:b/>
                <w:bCs/>
              </w:rPr>
            </w:pPr>
          </w:p>
        </w:tc>
        <w:tc>
          <w:tcPr>
            <w:tcW w:w="1262" w:type="pct"/>
            <w:vMerge w:val="continue"/>
            <w:shd w:val="clear" w:color="auto" w:fill="auto"/>
            <w:noWrap/>
            <w:tcMar>
              <w:top w:w="15" w:type="dxa"/>
              <w:left w:w="15" w:type="dxa"/>
              <w:right w:w="15" w:type="dxa"/>
            </w:tcMar>
            <w:vAlign w:val="center"/>
          </w:tcPr>
          <w:p>
            <w:pPr>
              <w:pStyle w:val="35"/>
              <w:rPr>
                <w:b/>
                <w:bCs/>
              </w:rPr>
            </w:pPr>
          </w:p>
        </w:tc>
        <w:tc>
          <w:tcPr>
            <w:tcW w:w="350" w:type="pct"/>
            <w:vMerge w:val="continue"/>
            <w:shd w:val="clear" w:color="auto" w:fill="auto"/>
            <w:tcMar>
              <w:top w:w="15" w:type="dxa"/>
              <w:left w:w="15" w:type="dxa"/>
              <w:right w:w="15" w:type="dxa"/>
            </w:tcMar>
            <w:vAlign w:val="center"/>
          </w:tcPr>
          <w:p>
            <w:pPr>
              <w:pStyle w:val="35"/>
              <w:rPr>
                <w:b/>
                <w:bCs/>
              </w:rPr>
            </w:pPr>
          </w:p>
        </w:tc>
        <w:tc>
          <w:tcPr>
            <w:tcW w:w="560" w:type="pct"/>
            <w:vMerge w:val="continue"/>
            <w:shd w:val="clear" w:color="auto" w:fill="auto"/>
            <w:tcMar>
              <w:top w:w="15" w:type="dxa"/>
              <w:left w:w="15" w:type="dxa"/>
              <w:right w:w="15" w:type="dxa"/>
            </w:tcMar>
            <w:vAlign w:val="center"/>
          </w:tcPr>
          <w:p>
            <w:pPr>
              <w:pStyle w:val="35"/>
              <w:rPr>
                <w:b/>
                <w:bCs/>
              </w:rPr>
            </w:pPr>
          </w:p>
        </w:tc>
        <w:tc>
          <w:tcPr>
            <w:tcW w:w="399" w:type="pct"/>
            <w:vMerge w:val="continue"/>
            <w:shd w:val="clear" w:color="auto" w:fill="auto"/>
            <w:tcMar>
              <w:top w:w="15" w:type="dxa"/>
              <w:left w:w="15" w:type="dxa"/>
              <w:right w:w="15" w:type="dxa"/>
            </w:tcMar>
            <w:vAlign w:val="bottom"/>
          </w:tcPr>
          <w:p>
            <w:pPr>
              <w:pStyle w:val="35"/>
              <w:rPr>
                <w:b/>
                <w:bCs/>
              </w:rPr>
            </w:pPr>
          </w:p>
        </w:tc>
        <w:tc>
          <w:tcPr>
            <w:tcW w:w="370" w:type="pct"/>
            <w:vMerge w:val="continue"/>
            <w:shd w:val="clear" w:color="auto" w:fill="auto"/>
            <w:tcMar>
              <w:top w:w="15" w:type="dxa"/>
              <w:left w:w="15" w:type="dxa"/>
              <w:right w:w="15" w:type="dxa"/>
            </w:tcMar>
            <w:vAlign w:val="center"/>
          </w:tcPr>
          <w:p>
            <w:pPr>
              <w:pStyle w:val="35"/>
              <w:rPr>
                <w:b/>
                <w:bCs/>
              </w:rPr>
            </w:pPr>
          </w:p>
        </w:tc>
        <w:tc>
          <w:tcPr>
            <w:tcW w:w="408" w:type="pct"/>
            <w:vMerge w:val="continue"/>
            <w:shd w:val="clear" w:color="auto" w:fill="auto"/>
            <w:noWrap/>
            <w:tcMar>
              <w:top w:w="15" w:type="dxa"/>
              <w:left w:w="15" w:type="dxa"/>
              <w:right w:w="15" w:type="dxa"/>
            </w:tcMar>
            <w:vAlign w:val="center"/>
          </w:tcPr>
          <w:p>
            <w:pPr>
              <w:pStyle w:val="35"/>
              <w:rPr>
                <w:b/>
                <w:bCs/>
              </w:rPr>
            </w:pPr>
          </w:p>
        </w:tc>
        <w:tc>
          <w:tcPr>
            <w:tcW w:w="408" w:type="pct"/>
            <w:vMerge w:val="continue"/>
            <w:shd w:val="clear" w:color="auto" w:fill="auto"/>
            <w:noWrap/>
            <w:tcMar>
              <w:top w:w="15" w:type="dxa"/>
              <w:left w:w="15" w:type="dxa"/>
              <w:right w:w="15" w:type="dxa"/>
            </w:tcMar>
            <w:vAlign w:val="center"/>
          </w:tcPr>
          <w:p>
            <w:pPr>
              <w:pStyle w:val="35"/>
              <w:rPr>
                <w:b/>
                <w:bCs/>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restart"/>
            <w:shd w:val="clear" w:color="auto" w:fill="auto"/>
            <w:tcMar>
              <w:top w:w="15" w:type="dxa"/>
              <w:left w:w="15" w:type="dxa"/>
              <w:right w:w="15" w:type="dxa"/>
            </w:tcMar>
            <w:vAlign w:val="center"/>
          </w:tcPr>
          <w:p>
            <w:pPr>
              <w:pStyle w:val="35"/>
            </w:pPr>
            <w:r>
              <w:t>濮阳市生态环境局国控监测点</w:t>
            </w:r>
          </w:p>
        </w:tc>
        <w:tc>
          <w:tcPr>
            <w:tcW w:w="496" w:type="pct"/>
            <w:gridSpan w:val="2"/>
            <w:vMerge w:val="restart"/>
            <w:shd w:val="clear" w:color="auto" w:fill="auto"/>
            <w:noWrap/>
            <w:tcMar>
              <w:top w:w="15" w:type="dxa"/>
              <w:left w:w="15" w:type="dxa"/>
              <w:right w:w="15" w:type="dxa"/>
            </w:tcMar>
            <w:vAlign w:val="center"/>
          </w:tcPr>
          <w:p>
            <w:pPr>
              <w:pStyle w:val="35"/>
            </w:pPr>
            <w:r>
              <w:t>-14500</w:t>
            </w:r>
            <w:r>
              <w:rPr>
                <w:rFonts w:hint="eastAsia"/>
              </w:rPr>
              <w:t>，</w:t>
            </w:r>
            <w:r>
              <w:t>1200</w:t>
            </w:r>
          </w:p>
        </w:tc>
        <w:tc>
          <w:tcPr>
            <w:tcW w:w="284" w:type="pct"/>
            <w:vMerge w:val="restart"/>
            <w:shd w:val="clear" w:color="auto" w:fill="auto"/>
            <w:noWrap/>
            <w:tcMar>
              <w:top w:w="15" w:type="dxa"/>
              <w:left w:w="15" w:type="dxa"/>
              <w:right w:w="15" w:type="dxa"/>
            </w:tcMar>
            <w:vAlign w:val="center"/>
          </w:tcPr>
          <w:p>
            <w:pPr>
              <w:pStyle w:val="35"/>
            </w:pPr>
            <w:r>
              <w:rPr>
                <w:rFonts w:hint="eastAsia"/>
              </w:rPr>
              <w:t>SO</w:t>
            </w:r>
            <w:r>
              <w:rPr>
                <w:vertAlign w:val="subscript"/>
              </w:rPr>
              <w:t>2</w:t>
            </w:r>
          </w:p>
        </w:tc>
        <w:tc>
          <w:tcPr>
            <w:tcW w:w="1262" w:type="pct"/>
            <w:shd w:val="clear" w:color="auto" w:fill="auto"/>
            <w:noWrap/>
            <w:tcMar>
              <w:top w:w="15" w:type="dxa"/>
              <w:left w:w="15" w:type="dxa"/>
              <w:right w:w="15" w:type="dxa"/>
            </w:tcMar>
            <w:vAlign w:val="center"/>
          </w:tcPr>
          <w:p>
            <w:pPr>
              <w:pStyle w:val="35"/>
            </w:pPr>
            <w:r>
              <w:t>年平均质量浓度</w:t>
            </w:r>
          </w:p>
        </w:tc>
        <w:tc>
          <w:tcPr>
            <w:tcW w:w="350" w:type="pct"/>
            <w:shd w:val="clear" w:color="auto" w:fill="auto"/>
            <w:noWrap/>
            <w:tcMar>
              <w:top w:w="15" w:type="dxa"/>
              <w:left w:w="15" w:type="dxa"/>
              <w:right w:w="15" w:type="dxa"/>
            </w:tcMar>
            <w:vAlign w:val="center"/>
          </w:tcPr>
          <w:p>
            <w:pPr>
              <w:pStyle w:val="35"/>
            </w:pPr>
            <w:r>
              <w:t>60</w:t>
            </w:r>
          </w:p>
        </w:tc>
        <w:tc>
          <w:tcPr>
            <w:tcW w:w="560" w:type="pct"/>
            <w:shd w:val="clear" w:color="auto" w:fill="auto"/>
            <w:noWrap/>
            <w:tcMar>
              <w:top w:w="15" w:type="dxa"/>
              <w:left w:w="15" w:type="dxa"/>
              <w:right w:w="15" w:type="dxa"/>
            </w:tcMar>
            <w:vAlign w:val="center"/>
          </w:tcPr>
          <w:p>
            <w:pPr>
              <w:pStyle w:val="35"/>
            </w:pPr>
            <w:r>
              <w:t>12</w:t>
            </w:r>
          </w:p>
        </w:tc>
        <w:tc>
          <w:tcPr>
            <w:tcW w:w="399" w:type="pct"/>
            <w:shd w:val="clear" w:color="auto" w:fill="auto"/>
            <w:noWrap/>
            <w:tcMar>
              <w:top w:w="15" w:type="dxa"/>
              <w:left w:w="15" w:type="dxa"/>
              <w:right w:w="15" w:type="dxa"/>
            </w:tcMar>
            <w:vAlign w:val="center"/>
          </w:tcPr>
          <w:p>
            <w:pPr>
              <w:pStyle w:val="35"/>
            </w:pPr>
            <w:r>
              <w:t>20</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restart"/>
            <w:shd w:val="clear" w:color="auto" w:fill="auto"/>
            <w:noWrap/>
            <w:tcMar>
              <w:top w:w="15" w:type="dxa"/>
              <w:left w:w="15" w:type="dxa"/>
              <w:right w:w="15" w:type="dxa"/>
            </w:tcMar>
            <w:vAlign w:val="center"/>
          </w:tcPr>
          <w:p>
            <w:pPr>
              <w:pStyle w:val="35"/>
            </w:pPr>
            <w: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日平均质量浓度</w:t>
            </w:r>
          </w:p>
        </w:tc>
        <w:tc>
          <w:tcPr>
            <w:tcW w:w="350" w:type="pct"/>
            <w:shd w:val="clear" w:color="auto" w:fill="auto"/>
            <w:noWrap/>
            <w:tcMar>
              <w:top w:w="15" w:type="dxa"/>
              <w:left w:w="15" w:type="dxa"/>
              <w:right w:w="15" w:type="dxa"/>
            </w:tcMar>
            <w:vAlign w:val="center"/>
          </w:tcPr>
          <w:p>
            <w:pPr>
              <w:pStyle w:val="35"/>
            </w:pPr>
            <w:r>
              <w:t>150</w:t>
            </w:r>
          </w:p>
        </w:tc>
        <w:tc>
          <w:tcPr>
            <w:tcW w:w="560" w:type="pct"/>
            <w:shd w:val="clear" w:color="auto" w:fill="auto"/>
            <w:noWrap/>
            <w:tcMar>
              <w:top w:w="15" w:type="dxa"/>
              <w:left w:w="15" w:type="dxa"/>
              <w:right w:w="15" w:type="dxa"/>
            </w:tcMar>
            <w:vAlign w:val="center"/>
          </w:tcPr>
          <w:p>
            <w:pPr>
              <w:pStyle w:val="35"/>
            </w:pPr>
            <w:r>
              <w:t>2.5</w:t>
            </w:r>
            <w:r>
              <w:rPr>
                <w:rFonts w:hint="eastAsia"/>
              </w:rPr>
              <w:t>~</w:t>
            </w:r>
            <w:r>
              <w:t>36.75</w:t>
            </w:r>
          </w:p>
        </w:tc>
        <w:tc>
          <w:tcPr>
            <w:tcW w:w="399" w:type="pct"/>
            <w:shd w:val="clear" w:color="auto" w:fill="auto"/>
            <w:noWrap/>
            <w:tcMar>
              <w:top w:w="15" w:type="dxa"/>
              <w:left w:w="15" w:type="dxa"/>
              <w:right w:w="15" w:type="dxa"/>
            </w:tcMar>
            <w:vAlign w:val="center"/>
          </w:tcPr>
          <w:p>
            <w:pPr>
              <w:pStyle w:val="35"/>
            </w:pPr>
            <w:r>
              <w:t>24.5</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第98百分位数日平均质量浓度</w:t>
            </w:r>
          </w:p>
        </w:tc>
        <w:tc>
          <w:tcPr>
            <w:tcW w:w="350" w:type="pct"/>
            <w:shd w:val="clear" w:color="auto" w:fill="auto"/>
            <w:noWrap/>
            <w:tcMar>
              <w:top w:w="15" w:type="dxa"/>
              <w:left w:w="15" w:type="dxa"/>
              <w:right w:w="15" w:type="dxa"/>
            </w:tcMar>
            <w:vAlign w:val="center"/>
          </w:tcPr>
          <w:p>
            <w:pPr>
              <w:pStyle w:val="35"/>
            </w:pPr>
            <w:r>
              <w:t>150</w:t>
            </w:r>
          </w:p>
        </w:tc>
        <w:tc>
          <w:tcPr>
            <w:tcW w:w="560" w:type="pct"/>
            <w:shd w:val="clear" w:color="auto" w:fill="auto"/>
            <w:noWrap/>
            <w:tcMar>
              <w:top w:w="15" w:type="dxa"/>
              <w:left w:w="15" w:type="dxa"/>
              <w:right w:w="15" w:type="dxa"/>
            </w:tcMar>
            <w:vAlign w:val="center"/>
          </w:tcPr>
          <w:p>
            <w:pPr>
              <w:pStyle w:val="35"/>
            </w:pPr>
            <w:r>
              <w:t>30</w:t>
            </w:r>
          </w:p>
        </w:tc>
        <w:tc>
          <w:tcPr>
            <w:tcW w:w="399" w:type="pct"/>
            <w:shd w:val="clear" w:color="auto" w:fill="auto"/>
            <w:noWrap/>
            <w:tcMar>
              <w:top w:w="15" w:type="dxa"/>
              <w:left w:w="15" w:type="dxa"/>
              <w:right w:w="15" w:type="dxa"/>
            </w:tcMar>
            <w:vAlign w:val="center"/>
          </w:tcPr>
          <w:p>
            <w:pPr>
              <w:pStyle w:val="35"/>
            </w:pPr>
            <w:r>
              <w:t>20</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restart"/>
            <w:shd w:val="clear" w:color="auto" w:fill="auto"/>
            <w:noWrap/>
            <w:tcMar>
              <w:top w:w="15" w:type="dxa"/>
              <w:left w:w="15" w:type="dxa"/>
              <w:right w:w="15" w:type="dxa"/>
            </w:tcMar>
            <w:vAlign w:val="center"/>
          </w:tcPr>
          <w:p>
            <w:pPr>
              <w:pStyle w:val="35"/>
            </w:pPr>
            <w:r>
              <w:t>NO</w:t>
            </w:r>
            <w:r>
              <w:rPr>
                <w:vertAlign w:val="subscript"/>
              </w:rPr>
              <w:t>2</w:t>
            </w:r>
          </w:p>
        </w:tc>
        <w:tc>
          <w:tcPr>
            <w:tcW w:w="1262" w:type="pct"/>
            <w:shd w:val="clear" w:color="auto" w:fill="auto"/>
            <w:noWrap/>
            <w:tcMar>
              <w:top w:w="15" w:type="dxa"/>
              <w:left w:w="15" w:type="dxa"/>
              <w:right w:w="15" w:type="dxa"/>
            </w:tcMar>
            <w:vAlign w:val="center"/>
          </w:tcPr>
          <w:p>
            <w:pPr>
              <w:pStyle w:val="35"/>
            </w:pPr>
            <w:r>
              <w:t>年平均质量浓度</w:t>
            </w:r>
          </w:p>
        </w:tc>
        <w:tc>
          <w:tcPr>
            <w:tcW w:w="350" w:type="pct"/>
            <w:shd w:val="clear" w:color="auto" w:fill="auto"/>
            <w:noWrap/>
            <w:tcMar>
              <w:top w:w="15" w:type="dxa"/>
              <w:left w:w="15" w:type="dxa"/>
              <w:right w:w="15" w:type="dxa"/>
            </w:tcMar>
            <w:vAlign w:val="center"/>
          </w:tcPr>
          <w:p>
            <w:pPr>
              <w:pStyle w:val="35"/>
            </w:pPr>
            <w:r>
              <w:t>40</w:t>
            </w:r>
          </w:p>
        </w:tc>
        <w:tc>
          <w:tcPr>
            <w:tcW w:w="560" w:type="pct"/>
            <w:shd w:val="clear" w:color="auto" w:fill="auto"/>
            <w:noWrap/>
            <w:tcMar>
              <w:top w:w="15" w:type="dxa"/>
              <w:left w:w="15" w:type="dxa"/>
              <w:right w:w="15" w:type="dxa"/>
            </w:tcMar>
            <w:vAlign w:val="center"/>
          </w:tcPr>
          <w:p>
            <w:pPr>
              <w:pStyle w:val="35"/>
            </w:pPr>
            <w:r>
              <w:t>34</w:t>
            </w:r>
          </w:p>
        </w:tc>
        <w:tc>
          <w:tcPr>
            <w:tcW w:w="399" w:type="pct"/>
            <w:shd w:val="clear" w:color="auto" w:fill="auto"/>
            <w:noWrap/>
            <w:tcMar>
              <w:top w:w="15" w:type="dxa"/>
              <w:left w:w="15" w:type="dxa"/>
              <w:right w:w="15" w:type="dxa"/>
            </w:tcMar>
            <w:vAlign w:val="center"/>
          </w:tcPr>
          <w:p>
            <w:pPr>
              <w:pStyle w:val="35"/>
            </w:pPr>
            <w:r>
              <w:t>85</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日平均质量浓度</w:t>
            </w:r>
          </w:p>
        </w:tc>
        <w:tc>
          <w:tcPr>
            <w:tcW w:w="350" w:type="pct"/>
            <w:shd w:val="clear" w:color="auto" w:fill="auto"/>
            <w:noWrap/>
            <w:tcMar>
              <w:top w:w="15" w:type="dxa"/>
              <w:left w:w="15" w:type="dxa"/>
              <w:right w:w="15" w:type="dxa"/>
            </w:tcMar>
            <w:vAlign w:val="center"/>
          </w:tcPr>
          <w:p>
            <w:pPr>
              <w:pStyle w:val="35"/>
            </w:pPr>
            <w:r>
              <w:t>80</w:t>
            </w:r>
          </w:p>
        </w:tc>
        <w:tc>
          <w:tcPr>
            <w:tcW w:w="560" w:type="pct"/>
            <w:shd w:val="clear" w:color="auto" w:fill="auto"/>
            <w:noWrap/>
            <w:tcMar>
              <w:top w:w="15" w:type="dxa"/>
              <w:left w:w="15" w:type="dxa"/>
              <w:right w:w="15" w:type="dxa"/>
            </w:tcMar>
            <w:vAlign w:val="center"/>
          </w:tcPr>
          <w:p>
            <w:pPr>
              <w:pStyle w:val="35"/>
            </w:pPr>
            <w:r>
              <w:t>8.75</w:t>
            </w:r>
            <w:r>
              <w:rPr>
                <w:rFonts w:hint="eastAsia"/>
              </w:rPr>
              <w:t>~99</w:t>
            </w:r>
            <w:r>
              <w:t>.25</w:t>
            </w:r>
          </w:p>
        </w:tc>
        <w:tc>
          <w:tcPr>
            <w:tcW w:w="399" w:type="pct"/>
            <w:shd w:val="clear" w:color="auto" w:fill="auto"/>
            <w:noWrap/>
            <w:tcMar>
              <w:top w:w="15" w:type="dxa"/>
              <w:left w:w="15" w:type="dxa"/>
              <w:right w:w="15" w:type="dxa"/>
            </w:tcMar>
            <w:vAlign w:val="center"/>
          </w:tcPr>
          <w:p>
            <w:pPr>
              <w:pStyle w:val="35"/>
            </w:pPr>
            <w:r>
              <w:t>124.1</w:t>
            </w:r>
          </w:p>
        </w:tc>
        <w:tc>
          <w:tcPr>
            <w:tcW w:w="370" w:type="pct"/>
            <w:shd w:val="clear" w:color="auto" w:fill="auto"/>
            <w:noWrap/>
            <w:tcMar>
              <w:top w:w="15" w:type="dxa"/>
              <w:left w:w="15" w:type="dxa"/>
              <w:right w:w="15" w:type="dxa"/>
            </w:tcMar>
            <w:vAlign w:val="center"/>
          </w:tcPr>
          <w:p>
            <w:pPr>
              <w:pStyle w:val="35"/>
            </w:pPr>
            <w:r>
              <w:t>1.4</w:t>
            </w:r>
          </w:p>
        </w:tc>
        <w:tc>
          <w:tcPr>
            <w:tcW w:w="408" w:type="pct"/>
            <w:shd w:val="clear" w:color="auto" w:fill="auto"/>
            <w:noWrap/>
            <w:tcMar>
              <w:top w:w="15" w:type="dxa"/>
              <w:left w:w="15" w:type="dxa"/>
              <w:right w:w="15" w:type="dxa"/>
            </w:tcMar>
            <w:vAlign w:val="center"/>
          </w:tcPr>
          <w:p>
            <w:pPr>
              <w:pStyle w:val="35"/>
            </w:pPr>
            <w:r>
              <w:t>0.24</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第98百分位数日平均质量浓度</w:t>
            </w:r>
          </w:p>
        </w:tc>
        <w:tc>
          <w:tcPr>
            <w:tcW w:w="350" w:type="pct"/>
            <w:shd w:val="clear" w:color="auto" w:fill="auto"/>
            <w:noWrap/>
            <w:tcMar>
              <w:top w:w="15" w:type="dxa"/>
              <w:left w:w="15" w:type="dxa"/>
              <w:right w:w="15" w:type="dxa"/>
            </w:tcMar>
            <w:vAlign w:val="center"/>
          </w:tcPr>
          <w:p>
            <w:pPr>
              <w:pStyle w:val="35"/>
            </w:pPr>
            <w:r>
              <w:t>80</w:t>
            </w:r>
          </w:p>
        </w:tc>
        <w:tc>
          <w:tcPr>
            <w:tcW w:w="560" w:type="pct"/>
            <w:shd w:val="clear" w:color="auto" w:fill="auto"/>
            <w:noWrap/>
            <w:tcMar>
              <w:top w:w="15" w:type="dxa"/>
              <w:left w:w="15" w:type="dxa"/>
              <w:right w:w="15" w:type="dxa"/>
            </w:tcMar>
            <w:vAlign w:val="center"/>
          </w:tcPr>
          <w:p>
            <w:pPr>
              <w:pStyle w:val="35"/>
            </w:pPr>
            <w:r>
              <w:t>76</w:t>
            </w:r>
          </w:p>
        </w:tc>
        <w:tc>
          <w:tcPr>
            <w:tcW w:w="399" w:type="pct"/>
            <w:shd w:val="clear" w:color="auto" w:fill="auto"/>
            <w:noWrap/>
            <w:tcMar>
              <w:top w:w="15" w:type="dxa"/>
              <w:left w:w="15" w:type="dxa"/>
              <w:right w:w="15" w:type="dxa"/>
            </w:tcMar>
            <w:vAlign w:val="center"/>
          </w:tcPr>
          <w:p>
            <w:pPr>
              <w:pStyle w:val="35"/>
            </w:pPr>
            <w:r>
              <w:t>95</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restart"/>
            <w:shd w:val="clear" w:color="auto" w:fill="auto"/>
            <w:noWrap/>
            <w:tcMar>
              <w:top w:w="15" w:type="dxa"/>
              <w:left w:w="15" w:type="dxa"/>
              <w:right w:w="15" w:type="dxa"/>
            </w:tcMar>
            <w:vAlign w:val="center"/>
          </w:tcPr>
          <w:p>
            <w:pPr>
              <w:pStyle w:val="35"/>
            </w:pPr>
            <w:r>
              <w:t>PM</w:t>
            </w:r>
            <w:r>
              <w:rPr>
                <w:vertAlign w:val="subscript"/>
              </w:rPr>
              <w:t>10</w:t>
            </w:r>
          </w:p>
        </w:tc>
        <w:tc>
          <w:tcPr>
            <w:tcW w:w="1262" w:type="pct"/>
            <w:shd w:val="clear" w:color="auto" w:fill="auto"/>
            <w:noWrap/>
            <w:tcMar>
              <w:top w:w="15" w:type="dxa"/>
              <w:left w:w="15" w:type="dxa"/>
              <w:right w:w="15" w:type="dxa"/>
            </w:tcMar>
            <w:vAlign w:val="center"/>
          </w:tcPr>
          <w:p>
            <w:pPr>
              <w:pStyle w:val="35"/>
            </w:pPr>
            <w:r>
              <w:t>年平均质量浓度</w:t>
            </w:r>
          </w:p>
        </w:tc>
        <w:tc>
          <w:tcPr>
            <w:tcW w:w="350" w:type="pct"/>
            <w:shd w:val="clear" w:color="auto" w:fill="auto"/>
            <w:noWrap/>
            <w:tcMar>
              <w:top w:w="15" w:type="dxa"/>
              <w:left w:w="15" w:type="dxa"/>
              <w:right w:w="15" w:type="dxa"/>
            </w:tcMar>
            <w:vAlign w:val="center"/>
          </w:tcPr>
          <w:p>
            <w:pPr>
              <w:pStyle w:val="35"/>
            </w:pPr>
            <w:r>
              <w:t>70</w:t>
            </w:r>
          </w:p>
        </w:tc>
        <w:tc>
          <w:tcPr>
            <w:tcW w:w="560" w:type="pct"/>
            <w:shd w:val="clear" w:color="auto" w:fill="auto"/>
            <w:noWrap/>
            <w:tcMar>
              <w:top w:w="15" w:type="dxa"/>
              <w:left w:w="15" w:type="dxa"/>
              <w:right w:w="15" w:type="dxa"/>
            </w:tcMar>
            <w:vAlign w:val="center"/>
          </w:tcPr>
          <w:p>
            <w:pPr>
              <w:pStyle w:val="35"/>
            </w:pPr>
            <w:r>
              <w:t>104</w:t>
            </w:r>
          </w:p>
        </w:tc>
        <w:tc>
          <w:tcPr>
            <w:tcW w:w="399" w:type="pct"/>
            <w:shd w:val="clear" w:color="auto" w:fill="auto"/>
            <w:noWrap/>
            <w:tcMar>
              <w:top w:w="15" w:type="dxa"/>
              <w:left w:w="15" w:type="dxa"/>
              <w:right w:w="15" w:type="dxa"/>
            </w:tcMar>
            <w:vAlign w:val="center"/>
          </w:tcPr>
          <w:p>
            <w:pPr>
              <w:pStyle w:val="35"/>
            </w:pPr>
            <w:r>
              <w:t>148.6</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0.49</w:t>
            </w:r>
          </w:p>
        </w:tc>
        <w:tc>
          <w:tcPr>
            <w:tcW w:w="408"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bottom"/>
          </w:tcPr>
          <w:p>
            <w:pPr>
              <w:pStyle w:val="35"/>
            </w:pPr>
            <w:r>
              <w:t>日平均质量浓度</w:t>
            </w:r>
          </w:p>
        </w:tc>
        <w:tc>
          <w:tcPr>
            <w:tcW w:w="350" w:type="pct"/>
            <w:shd w:val="clear" w:color="auto" w:fill="auto"/>
            <w:noWrap/>
            <w:tcMar>
              <w:top w:w="15" w:type="dxa"/>
              <w:left w:w="15" w:type="dxa"/>
              <w:right w:w="15" w:type="dxa"/>
            </w:tcMar>
            <w:vAlign w:val="bottom"/>
          </w:tcPr>
          <w:p>
            <w:pPr>
              <w:pStyle w:val="35"/>
            </w:pPr>
            <w:r>
              <w:t>150</w:t>
            </w:r>
          </w:p>
        </w:tc>
        <w:tc>
          <w:tcPr>
            <w:tcW w:w="560" w:type="pct"/>
            <w:shd w:val="clear" w:color="auto" w:fill="auto"/>
            <w:noWrap/>
            <w:tcMar>
              <w:top w:w="15" w:type="dxa"/>
              <w:left w:w="15" w:type="dxa"/>
              <w:right w:w="15" w:type="dxa"/>
            </w:tcMar>
            <w:vAlign w:val="bottom"/>
          </w:tcPr>
          <w:p>
            <w:pPr>
              <w:pStyle w:val="35"/>
            </w:pPr>
            <w:r>
              <w:t>15.25</w:t>
            </w:r>
            <w:r>
              <w:rPr>
                <w:rFonts w:hint="eastAsia"/>
              </w:rPr>
              <w:t>~</w:t>
            </w:r>
            <w:r>
              <w:t>428.75</w:t>
            </w:r>
          </w:p>
        </w:tc>
        <w:tc>
          <w:tcPr>
            <w:tcW w:w="399" w:type="pct"/>
            <w:shd w:val="clear" w:color="auto" w:fill="auto"/>
            <w:noWrap/>
            <w:tcMar>
              <w:top w:w="15" w:type="dxa"/>
              <w:left w:w="15" w:type="dxa"/>
              <w:right w:w="15" w:type="dxa"/>
            </w:tcMar>
            <w:vAlign w:val="bottom"/>
          </w:tcPr>
          <w:p>
            <w:pPr>
              <w:pStyle w:val="35"/>
            </w:pPr>
            <w:r>
              <w:t>285.8</w:t>
            </w:r>
          </w:p>
        </w:tc>
        <w:tc>
          <w:tcPr>
            <w:tcW w:w="370" w:type="pct"/>
            <w:shd w:val="clear" w:color="auto" w:fill="auto"/>
            <w:noWrap/>
            <w:tcMar>
              <w:top w:w="15" w:type="dxa"/>
              <w:left w:w="15" w:type="dxa"/>
              <w:right w:w="15" w:type="dxa"/>
            </w:tcMar>
            <w:vAlign w:val="bottom"/>
          </w:tcPr>
          <w:p>
            <w:pPr>
              <w:pStyle w:val="35"/>
            </w:pPr>
            <w:r>
              <w:t>16.9</w:t>
            </w:r>
          </w:p>
        </w:tc>
        <w:tc>
          <w:tcPr>
            <w:tcW w:w="408" w:type="pct"/>
            <w:shd w:val="clear" w:color="auto" w:fill="auto"/>
            <w:noWrap/>
            <w:tcMar>
              <w:top w:w="15" w:type="dxa"/>
              <w:left w:w="15" w:type="dxa"/>
              <w:right w:w="15" w:type="dxa"/>
            </w:tcMar>
            <w:vAlign w:val="bottom"/>
          </w:tcPr>
          <w:p>
            <w:pPr>
              <w:pStyle w:val="35"/>
            </w:pPr>
            <w:r>
              <w:t>1.86</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第95百分位数日平均质量浓度</w:t>
            </w:r>
          </w:p>
        </w:tc>
        <w:tc>
          <w:tcPr>
            <w:tcW w:w="350" w:type="pct"/>
            <w:shd w:val="clear" w:color="auto" w:fill="auto"/>
            <w:noWrap/>
            <w:tcMar>
              <w:top w:w="15" w:type="dxa"/>
              <w:left w:w="15" w:type="dxa"/>
              <w:right w:w="15" w:type="dxa"/>
            </w:tcMar>
            <w:vAlign w:val="center"/>
          </w:tcPr>
          <w:p>
            <w:pPr>
              <w:pStyle w:val="35"/>
            </w:pPr>
            <w:r>
              <w:t>150</w:t>
            </w:r>
          </w:p>
        </w:tc>
        <w:tc>
          <w:tcPr>
            <w:tcW w:w="560" w:type="pct"/>
            <w:shd w:val="clear" w:color="auto" w:fill="auto"/>
            <w:noWrap/>
            <w:tcMar>
              <w:top w:w="15" w:type="dxa"/>
              <w:left w:w="15" w:type="dxa"/>
              <w:right w:w="15" w:type="dxa"/>
            </w:tcMar>
            <w:vAlign w:val="center"/>
          </w:tcPr>
          <w:p>
            <w:pPr>
              <w:pStyle w:val="35"/>
            </w:pPr>
            <w:r>
              <w:t>226</w:t>
            </w:r>
          </w:p>
        </w:tc>
        <w:tc>
          <w:tcPr>
            <w:tcW w:w="399" w:type="pct"/>
            <w:shd w:val="clear" w:color="auto" w:fill="auto"/>
            <w:noWrap/>
            <w:tcMar>
              <w:top w:w="15" w:type="dxa"/>
              <w:left w:w="15" w:type="dxa"/>
              <w:right w:w="15" w:type="dxa"/>
            </w:tcMar>
            <w:vAlign w:val="center"/>
          </w:tcPr>
          <w:p>
            <w:pPr>
              <w:pStyle w:val="35"/>
            </w:pPr>
            <w:r>
              <w:t>150.7</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0.51</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restart"/>
            <w:shd w:val="clear" w:color="auto" w:fill="auto"/>
            <w:noWrap/>
            <w:tcMar>
              <w:top w:w="15" w:type="dxa"/>
              <w:left w:w="15" w:type="dxa"/>
              <w:right w:w="15" w:type="dxa"/>
            </w:tcMar>
            <w:vAlign w:val="center"/>
          </w:tcPr>
          <w:p>
            <w:pPr>
              <w:pStyle w:val="35"/>
            </w:pPr>
            <w:r>
              <w:t>PM</w:t>
            </w:r>
            <w:r>
              <w:rPr>
                <w:vertAlign w:val="subscript"/>
              </w:rPr>
              <w:t>2.5</w:t>
            </w:r>
          </w:p>
        </w:tc>
        <w:tc>
          <w:tcPr>
            <w:tcW w:w="1262" w:type="pct"/>
            <w:shd w:val="clear" w:color="auto" w:fill="auto"/>
            <w:noWrap/>
            <w:tcMar>
              <w:top w:w="15" w:type="dxa"/>
              <w:left w:w="15" w:type="dxa"/>
              <w:right w:w="15" w:type="dxa"/>
            </w:tcMar>
            <w:vAlign w:val="center"/>
          </w:tcPr>
          <w:p>
            <w:pPr>
              <w:pStyle w:val="35"/>
            </w:pPr>
            <w:r>
              <w:t>年平均质量浓度</w:t>
            </w:r>
          </w:p>
        </w:tc>
        <w:tc>
          <w:tcPr>
            <w:tcW w:w="350" w:type="pct"/>
            <w:shd w:val="clear" w:color="auto" w:fill="auto"/>
            <w:noWrap/>
            <w:tcMar>
              <w:top w:w="15" w:type="dxa"/>
              <w:left w:w="15" w:type="dxa"/>
              <w:right w:w="15" w:type="dxa"/>
            </w:tcMar>
            <w:vAlign w:val="center"/>
          </w:tcPr>
          <w:p>
            <w:pPr>
              <w:pStyle w:val="35"/>
            </w:pPr>
            <w:r>
              <w:t>35</w:t>
            </w:r>
          </w:p>
        </w:tc>
        <w:tc>
          <w:tcPr>
            <w:tcW w:w="560" w:type="pct"/>
            <w:shd w:val="clear" w:color="auto" w:fill="auto"/>
            <w:noWrap/>
            <w:tcMar>
              <w:top w:w="15" w:type="dxa"/>
              <w:left w:w="15" w:type="dxa"/>
              <w:right w:w="15" w:type="dxa"/>
            </w:tcMar>
            <w:vAlign w:val="center"/>
          </w:tcPr>
          <w:p>
            <w:pPr>
              <w:pStyle w:val="35"/>
            </w:pPr>
            <w:r>
              <w:t>64</w:t>
            </w:r>
          </w:p>
        </w:tc>
        <w:tc>
          <w:tcPr>
            <w:tcW w:w="399" w:type="pct"/>
            <w:shd w:val="clear" w:color="auto" w:fill="auto"/>
            <w:noWrap/>
            <w:tcMar>
              <w:top w:w="15" w:type="dxa"/>
              <w:left w:w="15" w:type="dxa"/>
              <w:right w:w="15" w:type="dxa"/>
            </w:tcMar>
            <w:vAlign w:val="center"/>
          </w:tcPr>
          <w:p>
            <w:pPr>
              <w:pStyle w:val="35"/>
            </w:pPr>
            <w:r>
              <w:t>182.9</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0.83</w:t>
            </w:r>
          </w:p>
        </w:tc>
        <w:tc>
          <w:tcPr>
            <w:tcW w:w="408"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bottom"/>
          </w:tcPr>
          <w:p>
            <w:pPr>
              <w:pStyle w:val="35"/>
            </w:pPr>
            <w:r>
              <w:t>日平均质量浓度</w:t>
            </w:r>
          </w:p>
        </w:tc>
        <w:tc>
          <w:tcPr>
            <w:tcW w:w="350" w:type="pct"/>
            <w:shd w:val="clear" w:color="auto" w:fill="auto"/>
            <w:noWrap/>
            <w:tcMar>
              <w:top w:w="15" w:type="dxa"/>
              <w:left w:w="15" w:type="dxa"/>
              <w:right w:w="15" w:type="dxa"/>
            </w:tcMar>
            <w:vAlign w:val="bottom"/>
          </w:tcPr>
          <w:p>
            <w:pPr>
              <w:pStyle w:val="35"/>
            </w:pPr>
            <w:r>
              <w:t>75</w:t>
            </w:r>
          </w:p>
        </w:tc>
        <w:tc>
          <w:tcPr>
            <w:tcW w:w="560" w:type="pct"/>
            <w:shd w:val="clear" w:color="auto" w:fill="auto"/>
            <w:noWrap/>
            <w:tcMar>
              <w:top w:w="15" w:type="dxa"/>
              <w:left w:w="15" w:type="dxa"/>
              <w:right w:w="15" w:type="dxa"/>
            </w:tcMar>
            <w:vAlign w:val="bottom"/>
          </w:tcPr>
          <w:p>
            <w:pPr>
              <w:pStyle w:val="35"/>
            </w:pPr>
            <w:r>
              <w:t>7</w:t>
            </w:r>
            <w:r>
              <w:rPr>
                <w:rFonts w:hint="eastAsia"/>
              </w:rPr>
              <w:t>~</w:t>
            </w:r>
            <w:r>
              <w:t>459.75</w:t>
            </w:r>
          </w:p>
        </w:tc>
        <w:tc>
          <w:tcPr>
            <w:tcW w:w="399" w:type="pct"/>
            <w:shd w:val="clear" w:color="auto" w:fill="auto"/>
            <w:noWrap/>
            <w:tcMar>
              <w:top w:w="15" w:type="dxa"/>
              <w:left w:w="15" w:type="dxa"/>
              <w:right w:w="15" w:type="dxa"/>
            </w:tcMar>
            <w:vAlign w:val="bottom"/>
          </w:tcPr>
          <w:p>
            <w:pPr>
              <w:pStyle w:val="35"/>
            </w:pPr>
            <w:r>
              <w:t>613</w:t>
            </w:r>
          </w:p>
        </w:tc>
        <w:tc>
          <w:tcPr>
            <w:tcW w:w="370" w:type="pct"/>
            <w:shd w:val="clear" w:color="auto" w:fill="auto"/>
            <w:noWrap/>
            <w:tcMar>
              <w:top w:w="15" w:type="dxa"/>
              <w:left w:w="15" w:type="dxa"/>
              <w:right w:w="15" w:type="dxa"/>
            </w:tcMar>
            <w:vAlign w:val="bottom"/>
          </w:tcPr>
          <w:p>
            <w:pPr>
              <w:pStyle w:val="35"/>
            </w:pPr>
            <w:r>
              <w:t>26.9</w:t>
            </w:r>
          </w:p>
        </w:tc>
        <w:tc>
          <w:tcPr>
            <w:tcW w:w="408" w:type="pct"/>
            <w:shd w:val="clear" w:color="auto" w:fill="auto"/>
            <w:noWrap/>
            <w:tcMar>
              <w:top w:w="15" w:type="dxa"/>
              <w:left w:w="15" w:type="dxa"/>
              <w:right w:w="15" w:type="dxa"/>
            </w:tcMar>
            <w:vAlign w:val="bottom"/>
          </w:tcPr>
          <w:p>
            <w:pPr>
              <w:pStyle w:val="35"/>
            </w:pPr>
            <w:r>
              <w:t>5.13</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第95百分位数日平均质量浓度</w:t>
            </w:r>
          </w:p>
        </w:tc>
        <w:tc>
          <w:tcPr>
            <w:tcW w:w="350" w:type="pct"/>
            <w:shd w:val="clear" w:color="auto" w:fill="auto"/>
            <w:noWrap/>
            <w:tcMar>
              <w:top w:w="15" w:type="dxa"/>
              <w:left w:w="15" w:type="dxa"/>
              <w:right w:w="15" w:type="dxa"/>
            </w:tcMar>
            <w:vAlign w:val="center"/>
          </w:tcPr>
          <w:p>
            <w:pPr>
              <w:pStyle w:val="35"/>
            </w:pPr>
            <w:r>
              <w:t>75</w:t>
            </w:r>
          </w:p>
        </w:tc>
        <w:tc>
          <w:tcPr>
            <w:tcW w:w="560" w:type="pct"/>
            <w:shd w:val="clear" w:color="auto" w:fill="auto"/>
            <w:noWrap/>
            <w:tcMar>
              <w:top w:w="15" w:type="dxa"/>
              <w:left w:w="15" w:type="dxa"/>
              <w:right w:w="15" w:type="dxa"/>
            </w:tcMar>
            <w:vAlign w:val="center"/>
          </w:tcPr>
          <w:p>
            <w:pPr>
              <w:pStyle w:val="35"/>
            </w:pPr>
            <w:r>
              <w:t>189</w:t>
            </w:r>
          </w:p>
        </w:tc>
        <w:tc>
          <w:tcPr>
            <w:tcW w:w="399" w:type="pct"/>
            <w:shd w:val="clear" w:color="auto" w:fill="auto"/>
            <w:noWrap/>
            <w:tcMar>
              <w:top w:w="15" w:type="dxa"/>
              <w:left w:w="15" w:type="dxa"/>
              <w:right w:w="15" w:type="dxa"/>
            </w:tcMar>
            <w:vAlign w:val="center"/>
          </w:tcPr>
          <w:p>
            <w:pPr>
              <w:pStyle w:val="35"/>
            </w:pPr>
            <w:r>
              <w:t>252</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1.52</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restart"/>
            <w:shd w:val="clear" w:color="auto" w:fill="auto"/>
            <w:noWrap/>
            <w:tcMar>
              <w:top w:w="15" w:type="dxa"/>
              <w:left w:w="15" w:type="dxa"/>
              <w:right w:w="15" w:type="dxa"/>
            </w:tcMar>
            <w:vAlign w:val="center"/>
          </w:tcPr>
          <w:p>
            <w:pPr>
              <w:pStyle w:val="35"/>
            </w:pPr>
            <w:r>
              <w:t>CO</w:t>
            </w:r>
          </w:p>
        </w:tc>
        <w:tc>
          <w:tcPr>
            <w:tcW w:w="1262" w:type="pct"/>
            <w:shd w:val="clear" w:color="auto" w:fill="auto"/>
            <w:noWrap/>
            <w:tcMar>
              <w:top w:w="15" w:type="dxa"/>
              <w:left w:w="15" w:type="dxa"/>
              <w:right w:w="15" w:type="dxa"/>
            </w:tcMar>
            <w:vAlign w:val="center"/>
          </w:tcPr>
          <w:p>
            <w:pPr>
              <w:pStyle w:val="35"/>
            </w:pPr>
            <w:r>
              <w:t>日平均质量浓度</w:t>
            </w:r>
          </w:p>
        </w:tc>
        <w:tc>
          <w:tcPr>
            <w:tcW w:w="350" w:type="pct"/>
            <w:shd w:val="clear" w:color="auto" w:fill="auto"/>
            <w:noWrap/>
            <w:tcMar>
              <w:top w:w="15" w:type="dxa"/>
              <w:left w:w="15" w:type="dxa"/>
              <w:right w:w="15" w:type="dxa"/>
            </w:tcMar>
            <w:vAlign w:val="center"/>
          </w:tcPr>
          <w:p>
            <w:pPr>
              <w:pStyle w:val="35"/>
            </w:pPr>
            <w:r>
              <w:t>4mg/m</w:t>
            </w:r>
            <w:r>
              <w:rPr>
                <w:vertAlign w:val="superscript"/>
              </w:rPr>
              <w:t>3</w:t>
            </w:r>
          </w:p>
        </w:tc>
        <w:tc>
          <w:tcPr>
            <w:tcW w:w="560" w:type="pct"/>
            <w:shd w:val="clear" w:color="auto" w:fill="auto"/>
            <w:noWrap/>
            <w:tcMar>
              <w:top w:w="15" w:type="dxa"/>
              <w:left w:w="15" w:type="dxa"/>
              <w:right w:w="15" w:type="dxa"/>
            </w:tcMar>
            <w:vAlign w:val="center"/>
          </w:tcPr>
          <w:p>
            <w:pPr>
              <w:pStyle w:val="35"/>
            </w:pPr>
            <w:r>
              <w:t>0.4</w:t>
            </w:r>
            <w:r>
              <w:rPr>
                <w:rFonts w:hint="eastAsia"/>
              </w:rPr>
              <w:t>~3.</w:t>
            </w:r>
            <w:r>
              <w:t>lmg/m</w:t>
            </w:r>
            <w:r>
              <w:rPr>
                <w:vertAlign w:val="superscript"/>
              </w:rPr>
              <w:t>3</w:t>
            </w:r>
          </w:p>
        </w:tc>
        <w:tc>
          <w:tcPr>
            <w:tcW w:w="399" w:type="pct"/>
            <w:shd w:val="clear" w:color="auto" w:fill="auto"/>
            <w:noWrap/>
            <w:tcMar>
              <w:top w:w="15" w:type="dxa"/>
              <w:left w:w="15" w:type="dxa"/>
              <w:right w:w="15" w:type="dxa"/>
            </w:tcMar>
            <w:vAlign w:val="center"/>
          </w:tcPr>
          <w:p>
            <w:pPr>
              <w:pStyle w:val="35"/>
            </w:pPr>
            <w:r>
              <w:t>76.3</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restart"/>
            <w:shd w:val="clear" w:color="auto" w:fill="auto"/>
            <w:noWrap/>
            <w:tcMar>
              <w:top w:w="15" w:type="dxa"/>
              <w:left w:w="15" w:type="dxa"/>
              <w:right w:w="15" w:type="dxa"/>
            </w:tcMar>
            <w:vAlign w:val="center"/>
          </w:tcPr>
          <w:p>
            <w:pPr>
              <w:pStyle w:val="35"/>
            </w:pPr>
            <w: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noWrap/>
            <w:tcMar>
              <w:top w:w="15" w:type="dxa"/>
              <w:left w:w="15" w:type="dxa"/>
              <w:right w:w="15" w:type="dxa"/>
            </w:tcMar>
            <w:vAlign w:val="center"/>
          </w:tcPr>
          <w:p>
            <w:pPr>
              <w:pStyle w:val="35"/>
            </w:pPr>
            <w:r>
              <w:t>第95百分位数日平均质量浓度</w:t>
            </w:r>
          </w:p>
        </w:tc>
        <w:tc>
          <w:tcPr>
            <w:tcW w:w="350" w:type="pct"/>
            <w:shd w:val="clear" w:color="auto" w:fill="auto"/>
            <w:noWrap/>
            <w:tcMar>
              <w:top w:w="15" w:type="dxa"/>
              <w:left w:w="15" w:type="dxa"/>
              <w:right w:w="15" w:type="dxa"/>
            </w:tcMar>
            <w:vAlign w:val="center"/>
          </w:tcPr>
          <w:p>
            <w:pPr>
              <w:pStyle w:val="35"/>
            </w:pPr>
            <w:r>
              <w:t>4mg/m</w:t>
            </w:r>
            <w:r>
              <w:rPr>
                <w:vertAlign w:val="superscript"/>
              </w:rPr>
              <w:t>3</w:t>
            </w:r>
          </w:p>
        </w:tc>
        <w:tc>
          <w:tcPr>
            <w:tcW w:w="560" w:type="pct"/>
            <w:shd w:val="clear" w:color="auto" w:fill="auto"/>
            <w:noWrap/>
            <w:tcMar>
              <w:top w:w="15" w:type="dxa"/>
              <w:left w:w="15" w:type="dxa"/>
              <w:right w:w="15" w:type="dxa"/>
            </w:tcMar>
            <w:vAlign w:val="bottom"/>
          </w:tcPr>
          <w:p>
            <w:pPr>
              <w:pStyle w:val="35"/>
            </w:pPr>
            <w:r>
              <w:t>1.8mg/m</w:t>
            </w:r>
            <w:r>
              <w:rPr>
                <w:vertAlign w:val="superscript"/>
              </w:rPr>
              <w:t>3</w:t>
            </w:r>
          </w:p>
        </w:tc>
        <w:tc>
          <w:tcPr>
            <w:tcW w:w="399" w:type="pct"/>
            <w:shd w:val="clear" w:color="auto" w:fill="auto"/>
            <w:noWrap/>
            <w:tcMar>
              <w:top w:w="15" w:type="dxa"/>
              <w:left w:w="15" w:type="dxa"/>
              <w:right w:w="15" w:type="dxa"/>
            </w:tcMar>
            <w:vAlign w:val="center"/>
          </w:tcPr>
          <w:p>
            <w:pPr>
              <w:pStyle w:val="35"/>
            </w:pPr>
            <w:r>
              <w:t>44.4</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w:t>
            </w:r>
          </w:p>
        </w:tc>
        <w:tc>
          <w:tcPr>
            <w:tcW w:w="408" w:type="pct"/>
            <w:vMerge w:val="continue"/>
            <w:shd w:val="clear" w:color="auto" w:fill="auto"/>
            <w:noWrap/>
            <w:tcMar>
              <w:top w:w="15" w:type="dxa"/>
              <w:left w:w="15" w:type="dxa"/>
              <w:right w:w="15" w:type="dxa"/>
            </w:tcMar>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restart"/>
            <w:shd w:val="clear" w:color="auto" w:fill="auto"/>
            <w:noWrap/>
            <w:tcMar>
              <w:top w:w="15" w:type="dxa"/>
              <w:left w:w="15" w:type="dxa"/>
              <w:right w:w="15" w:type="dxa"/>
            </w:tcMar>
            <w:vAlign w:val="center"/>
          </w:tcPr>
          <w:p>
            <w:pPr>
              <w:pStyle w:val="35"/>
            </w:pPr>
            <w:r>
              <w:t>O</w:t>
            </w:r>
            <w:r>
              <w:rPr>
                <w:vertAlign w:val="subscript"/>
              </w:rPr>
              <w:t>3</w:t>
            </w:r>
          </w:p>
        </w:tc>
        <w:tc>
          <w:tcPr>
            <w:tcW w:w="1262" w:type="pct"/>
            <w:shd w:val="clear" w:color="auto" w:fill="auto"/>
            <w:noWrap/>
            <w:tcMar>
              <w:top w:w="15" w:type="dxa"/>
              <w:left w:w="15" w:type="dxa"/>
              <w:right w:w="15" w:type="dxa"/>
            </w:tcMar>
            <w:vAlign w:val="center"/>
          </w:tcPr>
          <w:p>
            <w:pPr>
              <w:pStyle w:val="35"/>
            </w:pPr>
            <w:r>
              <w:t>最大8小时平均质量浓度</w:t>
            </w:r>
          </w:p>
        </w:tc>
        <w:tc>
          <w:tcPr>
            <w:tcW w:w="350" w:type="pct"/>
            <w:shd w:val="clear" w:color="auto" w:fill="auto"/>
            <w:noWrap/>
            <w:tcMar>
              <w:top w:w="15" w:type="dxa"/>
              <w:left w:w="15" w:type="dxa"/>
              <w:right w:w="15" w:type="dxa"/>
            </w:tcMar>
            <w:vAlign w:val="center"/>
          </w:tcPr>
          <w:p>
            <w:pPr>
              <w:pStyle w:val="35"/>
            </w:pPr>
            <w:r>
              <w:t>160</w:t>
            </w:r>
          </w:p>
        </w:tc>
        <w:tc>
          <w:tcPr>
            <w:tcW w:w="560" w:type="pct"/>
            <w:shd w:val="clear" w:color="auto" w:fill="auto"/>
            <w:noWrap/>
            <w:tcMar>
              <w:top w:w="15" w:type="dxa"/>
              <w:left w:w="15" w:type="dxa"/>
              <w:right w:w="15" w:type="dxa"/>
            </w:tcMar>
            <w:vAlign w:val="center"/>
          </w:tcPr>
          <w:p>
            <w:pPr>
              <w:pStyle w:val="35"/>
            </w:pPr>
            <w:r>
              <w:t>4.75</w:t>
            </w:r>
            <w:r>
              <w:rPr>
                <w:rFonts w:hint="eastAsia"/>
              </w:rPr>
              <w:t>~</w:t>
            </w:r>
            <w:r>
              <w:t>241</w:t>
            </w:r>
          </w:p>
        </w:tc>
        <w:tc>
          <w:tcPr>
            <w:tcW w:w="399" w:type="pct"/>
            <w:shd w:val="clear" w:color="auto" w:fill="auto"/>
            <w:noWrap/>
            <w:tcMar>
              <w:top w:w="15" w:type="dxa"/>
              <w:left w:w="15" w:type="dxa"/>
              <w:right w:w="15" w:type="dxa"/>
            </w:tcMar>
            <w:vAlign w:val="center"/>
          </w:tcPr>
          <w:p>
            <w:pPr>
              <w:pStyle w:val="35"/>
            </w:pPr>
            <w:r>
              <w:t>150.6</w:t>
            </w:r>
          </w:p>
        </w:tc>
        <w:tc>
          <w:tcPr>
            <w:tcW w:w="370" w:type="pct"/>
            <w:shd w:val="clear" w:color="auto" w:fill="auto"/>
            <w:noWrap/>
            <w:tcMar>
              <w:top w:w="15" w:type="dxa"/>
              <w:left w:w="15" w:type="dxa"/>
              <w:right w:w="15" w:type="dxa"/>
            </w:tcMar>
            <w:vAlign w:val="center"/>
          </w:tcPr>
          <w:p>
            <w:pPr>
              <w:pStyle w:val="35"/>
            </w:pPr>
            <w:r>
              <w:t>19.7</w:t>
            </w:r>
          </w:p>
        </w:tc>
        <w:tc>
          <w:tcPr>
            <w:tcW w:w="408" w:type="pct"/>
            <w:shd w:val="clear" w:color="auto" w:fill="auto"/>
            <w:noWrap/>
            <w:tcMar>
              <w:top w:w="15" w:type="dxa"/>
              <w:left w:w="15" w:type="dxa"/>
              <w:right w:w="15" w:type="dxa"/>
            </w:tcMar>
            <w:vAlign w:val="center"/>
          </w:tcPr>
          <w:p>
            <w:pPr>
              <w:pStyle w:val="35"/>
            </w:pPr>
            <w:r>
              <w:t>0.51</w:t>
            </w:r>
          </w:p>
        </w:tc>
        <w:tc>
          <w:tcPr>
            <w:tcW w:w="408" w:type="pct"/>
            <w:vMerge w:val="restart"/>
            <w:shd w:val="clear" w:color="auto" w:fill="auto"/>
            <w:noWrap/>
            <w:tcMar>
              <w:top w:w="15" w:type="dxa"/>
              <w:left w:w="15" w:type="dxa"/>
              <w:right w:w="15" w:type="dxa"/>
            </w:tcMar>
            <w:vAlign w:val="center"/>
          </w:tcPr>
          <w:p>
            <w:pPr>
              <w:pStyle w:val="35"/>
            </w:pPr>
            <w: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59" w:type="pct"/>
            <w:vMerge w:val="continue"/>
            <w:shd w:val="clear" w:color="auto" w:fill="auto"/>
            <w:tcMar>
              <w:top w:w="15" w:type="dxa"/>
              <w:left w:w="15" w:type="dxa"/>
              <w:right w:w="15" w:type="dxa"/>
            </w:tcMar>
            <w:vAlign w:val="center"/>
          </w:tcPr>
          <w:p>
            <w:pPr>
              <w:pStyle w:val="35"/>
            </w:pPr>
          </w:p>
        </w:tc>
        <w:tc>
          <w:tcPr>
            <w:tcW w:w="496" w:type="pct"/>
            <w:gridSpan w:val="2"/>
            <w:vMerge w:val="continue"/>
            <w:shd w:val="clear" w:color="auto" w:fill="auto"/>
            <w:noWrap/>
            <w:tcMar>
              <w:top w:w="15" w:type="dxa"/>
              <w:left w:w="15" w:type="dxa"/>
              <w:right w:w="15" w:type="dxa"/>
            </w:tcMar>
            <w:vAlign w:val="center"/>
          </w:tcPr>
          <w:p>
            <w:pPr>
              <w:pStyle w:val="35"/>
            </w:pPr>
          </w:p>
        </w:tc>
        <w:tc>
          <w:tcPr>
            <w:tcW w:w="284" w:type="pct"/>
            <w:vMerge w:val="continue"/>
            <w:shd w:val="clear" w:color="auto" w:fill="auto"/>
            <w:noWrap/>
            <w:tcMar>
              <w:top w:w="15" w:type="dxa"/>
              <w:left w:w="15" w:type="dxa"/>
              <w:right w:w="15" w:type="dxa"/>
            </w:tcMar>
            <w:vAlign w:val="center"/>
          </w:tcPr>
          <w:p>
            <w:pPr>
              <w:pStyle w:val="35"/>
            </w:pPr>
          </w:p>
        </w:tc>
        <w:tc>
          <w:tcPr>
            <w:tcW w:w="1262" w:type="pct"/>
            <w:shd w:val="clear" w:color="auto" w:fill="auto"/>
            <w:tcMar>
              <w:top w:w="15" w:type="dxa"/>
              <w:left w:w="15" w:type="dxa"/>
              <w:right w:w="15" w:type="dxa"/>
            </w:tcMar>
            <w:vAlign w:val="bottom"/>
          </w:tcPr>
          <w:p>
            <w:pPr>
              <w:pStyle w:val="35"/>
            </w:pPr>
            <w:r>
              <w:t>第90百分位数最大8小时平均质量浓 度</w:t>
            </w:r>
          </w:p>
        </w:tc>
        <w:tc>
          <w:tcPr>
            <w:tcW w:w="350" w:type="pct"/>
            <w:shd w:val="clear" w:color="auto" w:fill="auto"/>
            <w:noWrap/>
            <w:tcMar>
              <w:top w:w="15" w:type="dxa"/>
              <w:left w:w="15" w:type="dxa"/>
              <w:right w:w="15" w:type="dxa"/>
            </w:tcMar>
            <w:vAlign w:val="center"/>
          </w:tcPr>
          <w:p>
            <w:pPr>
              <w:pStyle w:val="35"/>
            </w:pPr>
            <w:r>
              <w:t>160</w:t>
            </w:r>
          </w:p>
        </w:tc>
        <w:tc>
          <w:tcPr>
            <w:tcW w:w="560" w:type="pct"/>
            <w:shd w:val="clear" w:color="auto" w:fill="auto"/>
            <w:noWrap/>
            <w:tcMar>
              <w:top w:w="15" w:type="dxa"/>
              <w:left w:w="15" w:type="dxa"/>
              <w:right w:w="15" w:type="dxa"/>
            </w:tcMar>
            <w:vAlign w:val="center"/>
          </w:tcPr>
          <w:p>
            <w:pPr>
              <w:pStyle w:val="35"/>
            </w:pPr>
            <w:r>
              <w:t>187</w:t>
            </w:r>
          </w:p>
        </w:tc>
        <w:tc>
          <w:tcPr>
            <w:tcW w:w="399" w:type="pct"/>
            <w:shd w:val="clear" w:color="auto" w:fill="auto"/>
            <w:noWrap/>
            <w:tcMar>
              <w:top w:w="15" w:type="dxa"/>
              <w:left w:w="15" w:type="dxa"/>
              <w:right w:w="15" w:type="dxa"/>
            </w:tcMar>
            <w:vAlign w:val="center"/>
          </w:tcPr>
          <w:p>
            <w:pPr>
              <w:pStyle w:val="35"/>
            </w:pPr>
            <w:r>
              <w:t>116.9</w:t>
            </w:r>
          </w:p>
        </w:tc>
        <w:tc>
          <w:tcPr>
            <w:tcW w:w="370" w:type="pct"/>
            <w:shd w:val="clear" w:color="auto" w:fill="auto"/>
            <w:noWrap/>
            <w:tcMar>
              <w:top w:w="15" w:type="dxa"/>
              <w:left w:w="15" w:type="dxa"/>
              <w:right w:w="15" w:type="dxa"/>
            </w:tcMar>
            <w:vAlign w:val="center"/>
          </w:tcPr>
          <w:p>
            <w:pPr>
              <w:pStyle w:val="35"/>
            </w:pPr>
            <w:r>
              <w:t>/</w:t>
            </w:r>
          </w:p>
        </w:tc>
        <w:tc>
          <w:tcPr>
            <w:tcW w:w="408" w:type="pct"/>
            <w:shd w:val="clear" w:color="auto" w:fill="auto"/>
            <w:noWrap/>
            <w:tcMar>
              <w:top w:w="15" w:type="dxa"/>
              <w:left w:w="15" w:type="dxa"/>
              <w:right w:w="15" w:type="dxa"/>
            </w:tcMar>
            <w:vAlign w:val="center"/>
          </w:tcPr>
          <w:p>
            <w:pPr>
              <w:pStyle w:val="35"/>
            </w:pPr>
            <w:r>
              <w:t>0.17</w:t>
            </w:r>
          </w:p>
        </w:tc>
        <w:tc>
          <w:tcPr>
            <w:tcW w:w="408" w:type="pct"/>
            <w:vMerge w:val="continue"/>
            <w:shd w:val="clear" w:color="auto" w:fill="auto"/>
            <w:noWrap/>
            <w:tcMar>
              <w:top w:w="15" w:type="dxa"/>
              <w:left w:w="15" w:type="dxa"/>
              <w:right w:w="15" w:type="dxa"/>
            </w:tcMar>
            <w:vAlign w:val="center"/>
          </w:tcPr>
          <w:p>
            <w:pPr>
              <w:pStyle w:val="35"/>
            </w:pPr>
          </w:p>
        </w:tc>
      </w:tr>
    </w:tbl>
    <w:p>
      <w:pPr>
        <w:pStyle w:val="20"/>
        <w:ind w:firstLine="560"/>
        <w:rPr>
          <w:sz w:val="28"/>
          <w:szCs w:val="28"/>
        </w:rPr>
      </w:pPr>
    </w:p>
    <w:p>
      <w:pPr>
        <w:pStyle w:val="20"/>
        <w:ind w:firstLine="560"/>
        <w:rPr>
          <w:sz w:val="28"/>
          <w:szCs w:val="28"/>
        </w:rPr>
        <w:sectPr>
          <w:pgSz w:w="16838" w:h="11906" w:orient="landscape"/>
          <w:pgMar w:top="1474" w:right="1474" w:bottom="1474" w:left="1474" w:header="851" w:footer="851" w:gutter="0"/>
          <w:cols w:space="720" w:num="1"/>
          <w:docGrid w:linePitch="312" w:charSpace="0"/>
        </w:sectPr>
      </w:pPr>
    </w:p>
    <w:p>
      <w:pPr>
        <w:pStyle w:val="27"/>
        <w:ind w:firstLine="560"/>
      </w:pPr>
      <w:r>
        <w:rPr>
          <w:rFonts w:hint="eastAsia"/>
        </w:rPr>
        <w:t>由表4.3-3可知，濮阳市</w:t>
      </w:r>
      <w:r>
        <w:t>PM</w:t>
      </w:r>
      <w:r>
        <w:rPr>
          <w:vertAlign w:val="subscript"/>
        </w:rPr>
        <w:t>10</w:t>
      </w:r>
      <w:r>
        <w:rPr>
          <w:rFonts w:hint="eastAsia"/>
        </w:rPr>
        <w:t>、</w:t>
      </w:r>
      <w:r>
        <w:t>PM</w:t>
      </w:r>
      <w:r>
        <w:rPr>
          <w:vertAlign w:val="subscript"/>
        </w:rPr>
        <w:t>2.5</w:t>
      </w:r>
      <w:r>
        <w:rPr>
          <w:rFonts w:hint="eastAsia"/>
        </w:rPr>
        <w:t>和</w:t>
      </w:r>
      <w:r>
        <w:t>O</w:t>
      </w:r>
      <w:r>
        <w:rPr>
          <w:vertAlign w:val="subscript"/>
        </w:rPr>
        <w:t>3</w:t>
      </w:r>
      <w:r>
        <w:rPr>
          <w:rFonts w:hint="eastAsia"/>
        </w:rPr>
        <w:t>的年评价项目均不达标，同时</w:t>
      </w:r>
      <w:r>
        <w:t>NO</w:t>
      </w:r>
      <w:r>
        <w:rPr>
          <w:vertAlign w:val="subscript"/>
        </w:rPr>
        <w:t>2</w:t>
      </w:r>
      <w:r>
        <w:rPr>
          <w:rFonts w:hint="eastAsia"/>
        </w:rPr>
        <w:t>的日平均质量浓度也不达标，属于不达标区。</w:t>
      </w:r>
    </w:p>
    <w:p>
      <w:pPr>
        <w:pStyle w:val="27"/>
        <w:ind w:firstLine="560"/>
      </w:pPr>
      <w:r>
        <w:rPr>
          <w:rFonts w:hint="eastAsia"/>
        </w:rPr>
        <w:t>濮阳市环境空气质量不达标的原因较复杂，与区域大环境和地区污染物排放均有一定关系，为解决区域大气环境质量现状超标的问题，河南省、濮阳市均制定了相关文件，可有效改善区域大气环境质量，具体如下：</w:t>
      </w:r>
    </w:p>
    <w:p>
      <w:pPr>
        <w:pStyle w:val="27"/>
        <w:ind w:firstLine="560"/>
      </w:pPr>
      <w:r>
        <w:rPr>
          <w:rFonts w:hint="eastAsia"/>
        </w:rPr>
        <w:t>从河南省内来看，河南省在近年发布了《关于印发河南省</w:t>
      </w:r>
      <w:r>
        <w:t>2019</w:t>
      </w:r>
      <w:r>
        <w:rPr>
          <w:rFonts w:hint="eastAsia"/>
        </w:rPr>
        <w:t>年大气污染防治攻坚战实施方案的通知》及河南省</w:t>
      </w:r>
      <w:r>
        <w:t>2019</w:t>
      </w:r>
      <w:r>
        <w:rPr>
          <w:rFonts w:hint="eastAsia"/>
        </w:rPr>
        <w:t>年非电行业提标治理方案、工业企业无组织排放治理方案与《关于印发河南省</w:t>
      </w:r>
      <w:r>
        <w:t>2020</w:t>
      </w:r>
      <w:r>
        <w:rPr>
          <w:rFonts w:hint="eastAsia"/>
        </w:rPr>
        <w:t>年大气、水、土壤污染防治攻坚战实施方案的通知》等，通过加强组织领导、换抓工作落实、边治理边排查、确保应治尽治、加强调度执法、确保按期完成、打造标杆企业、实施绿色环保调度等工作要求，从能源结构、产业布局、运输结构、生态扩容提速、扬尘治理、工业绿色升级、清洁取暖、提升监测能力、加强大气污染科技支撑等方面狠抓大气环境质量治理，从全省目前环境治理的成效来看，虽然仍不满足环境质量标准要求，但河南省环境空气质量得到了持续改善。</w:t>
      </w:r>
    </w:p>
    <w:p>
      <w:pPr>
        <w:pStyle w:val="27"/>
        <w:ind w:firstLine="560"/>
      </w:pPr>
      <w:r>
        <w:rPr>
          <w:rFonts w:hint="eastAsia"/>
        </w:rPr>
        <w:t xml:space="preserve">从濮阳市内来看，濮阳市则在近年发布了《关于印发濮阳市 </w:t>
      </w:r>
      <w:r>
        <w:t xml:space="preserve">2019 </w:t>
      </w:r>
      <w:r>
        <w:rPr>
          <w:rFonts w:hint="eastAsia"/>
        </w:rPr>
        <w:t>年大气污染防治攻坚战实施方案的通知》等文件，通过以改善大气环境质量为核心，以优化调整四大结构为重点，以打好重点领域专项战役为抓手，深入实施“四大行动”（济结构提质、生态功能提升、国土绿化提速、环境治理提效），持续抓好“六控”（控尘、控煤、控车、控油、控排、控烧），坚持污染减排和质量改善两手发力、重点区域和重点时段统筹兼顾、专项治理和综合整治点面结合，促进了区域空气质量持续改善和相关行业绿色发展。</w:t>
      </w:r>
    </w:p>
    <w:p>
      <w:pPr>
        <w:pStyle w:val="27"/>
        <w:ind w:firstLine="560"/>
      </w:pPr>
      <w:r>
        <w:rPr>
          <w:rFonts w:hint="eastAsia"/>
        </w:rPr>
        <w:t>根据区域化工基地规划环评及集聚区规划环评的相关测算，濮阳市相应削减方案实施后，区域近、中期的</w:t>
      </w:r>
      <w:r>
        <w:t>SO</w:t>
      </w:r>
      <w:r>
        <w:rPr>
          <w:vertAlign w:val="subscript"/>
        </w:rPr>
        <w:t>2</w:t>
      </w:r>
      <w:r>
        <w:rPr>
          <w:rFonts w:hint="eastAsia"/>
        </w:rPr>
        <w:t>、</w:t>
      </w:r>
      <w:r>
        <w:t>NO</w:t>
      </w:r>
      <w:r>
        <w:rPr>
          <w:vertAlign w:val="subscript"/>
        </w:rPr>
        <w:t>2</w:t>
      </w:r>
      <w:r>
        <w:rPr>
          <w:rFonts w:hint="eastAsia"/>
        </w:rPr>
        <w:t>和</w:t>
      </w:r>
      <w:r>
        <w:t>PM</w:t>
      </w:r>
      <w:r>
        <w:rPr>
          <w:vertAlign w:val="subscript"/>
        </w:rPr>
        <w:t>10</w:t>
      </w:r>
      <w:r>
        <w:rPr>
          <w:rFonts w:hint="eastAsia"/>
        </w:rPr>
        <w:t>均可满足“倍量替代”的要求，同时由于濮阳市区域内尚未开展</w:t>
      </w:r>
      <w:r>
        <w:t>VOCs</w:t>
      </w:r>
      <w:r>
        <w:rPr>
          <w:rFonts w:hint="eastAsia"/>
        </w:rPr>
        <w:t>排放基数统计工作，相应规划环评建议，建议尽快建立</w:t>
      </w:r>
      <w:r>
        <w:t>VOCs</w:t>
      </w:r>
      <w:r>
        <w:rPr>
          <w:rFonts w:hint="eastAsia"/>
        </w:rPr>
        <w:t>排放源清单，清单中标注出企业类型、特征污染物、排放节点、排放量、削减量等主要信息，明确治理时限、治理方式和执行标准等管理要求。远期的大气污染物排放，需根据区域的环境质量改善情况，若当时环境空气年均浓度仍不达标，根据当时国家政策要求，执行全因子进行“倍量替代”的要求。</w:t>
      </w:r>
    </w:p>
    <w:p>
      <w:pPr>
        <w:pStyle w:val="27"/>
        <w:ind w:firstLine="560"/>
      </w:pPr>
      <w:r>
        <w:rPr>
          <w:rFonts w:hint="eastAsia"/>
        </w:rPr>
        <w:t>综上所述，在河南省及濮阳市所采取的大气污染攻坚战实施方案及专项方案后，区域环境空气质量应能得到持续改善，本项目的建设符合相关规划的要求，在河南省及濮阳市大气攻坚实施方案以及区域规划环评的框架下进行建设、生产，不会对区域大气环境质量的持续改善造成不利影响。</w:t>
      </w:r>
    </w:p>
    <w:p>
      <w:pPr>
        <w:pStyle w:val="33"/>
      </w:pPr>
      <w:r>
        <w:rPr>
          <w:rFonts w:hint="eastAsia"/>
        </w:rPr>
        <w:t xml:space="preserve">4.3.1.4 其他污染物环境质量现状评价 </w:t>
      </w:r>
    </w:p>
    <w:p>
      <w:pPr>
        <w:pStyle w:val="27"/>
        <w:ind w:firstLine="560"/>
      </w:pPr>
      <w:r>
        <w:rPr>
          <w:rFonts w:hint="eastAsia"/>
        </w:rPr>
        <w:t>（1）监测布点</w:t>
      </w:r>
    </w:p>
    <w:p>
      <w:pPr>
        <w:adjustRightInd w:val="0"/>
        <w:snapToGrid w:val="0"/>
        <w:spacing w:line="520" w:lineRule="exact"/>
        <w:ind w:firstLine="560" w:firstLineChars="200"/>
        <w:rPr>
          <w:sz w:val="28"/>
          <w:szCs w:val="22"/>
        </w:rPr>
      </w:pPr>
      <w:r>
        <w:rPr>
          <w:rFonts w:hint="eastAsia"/>
          <w:sz w:val="28"/>
          <w:szCs w:val="22"/>
        </w:rPr>
        <w:t>根据区域环境特征、主导风向（SSW~SSE）并结合厂址周围环境敏感点分布情况，环境空气质量补充现状监测布设2个监测点，布点情况详见表4.3-4。</w:t>
      </w:r>
    </w:p>
    <w:p>
      <w:pPr>
        <w:pStyle w:val="32"/>
      </w:pPr>
      <w:r>
        <w:t>表</w:t>
      </w:r>
      <w:r>
        <w:rPr>
          <w:rFonts w:hint="eastAsia"/>
          <w:sz w:val="28"/>
        </w:rPr>
        <w:t>4.3-4</w:t>
      </w:r>
      <w:r>
        <w:t xml:space="preserve">    </w:t>
      </w:r>
      <w:r>
        <w:rPr>
          <w:rFonts w:hint="eastAsia"/>
        </w:rPr>
        <w:t xml:space="preserve">         </w:t>
      </w:r>
      <w:r>
        <w:t xml:space="preserve"> </w:t>
      </w:r>
      <w:r>
        <w:rPr>
          <w:rFonts w:hint="eastAsia"/>
        </w:rPr>
        <w:t>特征污染物</w:t>
      </w:r>
      <w:r>
        <w:t>现状监测点位</w:t>
      </w:r>
    </w:p>
    <w:tbl>
      <w:tblPr>
        <w:tblStyle w:val="21"/>
        <w:tblW w:w="9180"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0"/>
        <w:gridCol w:w="1958"/>
        <w:gridCol w:w="1480"/>
        <w:gridCol w:w="2822"/>
        <w:gridCol w:w="210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820" w:type="dxa"/>
            <w:tcBorders>
              <w:tl2br w:val="nil"/>
              <w:tr2bl w:val="nil"/>
            </w:tcBorders>
            <w:vAlign w:val="center"/>
          </w:tcPr>
          <w:p>
            <w:pPr>
              <w:pStyle w:val="35"/>
              <w:rPr>
                <w:b/>
                <w:bCs/>
              </w:rPr>
            </w:pPr>
            <w:r>
              <w:rPr>
                <w:b/>
                <w:bCs/>
              </w:rPr>
              <w:t>编号</w:t>
            </w:r>
          </w:p>
        </w:tc>
        <w:tc>
          <w:tcPr>
            <w:tcW w:w="1958" w:type="dxa"/>
            <w:tcBorders>
              <w:tl2br w:val="nil"/>
              <w:tr2bl w:val="nil"/>
            </w:tcBorders>
            <w:vAlign w:val="center"/>
          </w:tcPr>
          <w:p>
            <w:pPr>
              <w:pStyle w:val="35"/>
              <w:rPr>
                <w:b/>
                <w:bCs/>
              </w:rPr>
            </w:pPr>
            <w:r>
              <w:rPr>
                <w:b/>
                <w:bCs/>
              </w:rPr>
              <w:t>监测点位</w:t>
            </w:r>
          </w:p>
        </w:tc>
        <w:tc>
          <w:tcPr>
            <w:tcW w:w="1480" w:type="dxa"/>
            <w:tcBorders>
              <w:tl2br w:val="nil"/>
              <w:tr2bl w:val="nil"/>
            </w:tcBorders>
            <w:vAlign w:val="center"/>
          </w:tcPr>
          <w:p>
            <w:pPr>
              <w:pStyle w:val="35"/>
              <w:rPr>
                <w:b/>
                <w:bCs/>
              </w:rPr>
            </w:pPr>
            <w:r>
              <w:rPr>
                <w:b/>
                <w:bCs/>
              </w:rPr>
              <w:t>方 位</w:t>
            </w:r>
          </w:p>
        </w:tc>
        <w:tc>
          <w:tcPr>
            <w:tcW w:w="2822" w:type="dxa"/>
            <w:tcBorders>
              <w:tl2br w:val="nil"/>
              <w:tr2bl w:val="nil"/>
            </w:tcBorders>
            <w:vAlign w:val="center"/>
          </w:tcPr>
          <w:p>
            <w:pPr>
              <w:pStyle w:val="35"/>
              <w:rPr>
                <w:b/>
                <w:bCs/>
              </w:rPr>
            </w:pPr>
            <w:r>
              <w:rPr>
                <w:b/>
                <w:bCs/>
              </w:rPr>
              <w:t>距</w:t>
            </w:r>
            <w:r>
              <w:rPr>
                <w:rFonts w:hint="eastAsia"/>
                <w:b/>
                <w:bCs/>
              </w:rPr>
              <w:t>本项目边界</w:t>
            </w:r>
            <w:r>
              <w:rPr>
                <w:b/>
                <w:bCs/>
              </w:rPr>
              <w:t>距离（m）</w:t>
            </w:r>
          </w:p>
        </w:tc>
        <w:tc>
          <w:tcPr>
            <w:tcW w:w="2100" w:type="dxa"/>
            <w:tcBorders>
              <w:tl2br w:val="nil"/>
              <w:tr2bl w:val="nil"/>
            </w:tcBorders>
            <w:vAlign w:val="center"/>
          </w:tcPr>
          <w:p>
            <w:pPr>
              <w:pStyle w:val="35"/>
              <w:rPr>
                <w:b/>
                <w:bCs/>
              </w:rPr>
            </w:pPr>
            <w:r>
              <w:rPr>
                <w:b/>
                <w:bCs/>
              </w:rPr>
              <w:t>功  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20" w:type="dxa"/>
            <w:tcBorders>
              <w:tl2br w:val="nil"/>
              <w:tr2bl w:val="nil"/>
            </w:tcBorders>
            <w:vAlign w:val="center"/>
          </w:tcPr>
          <w:p>
            <w:pPr>
              <w:pStyle w:val="35"/>
            </w:pPr>
            <w:r>
              <w:t>1#</w:t>
            </w:r>
          </w:p>
        </w:tc>
        <w:tc>
          <w:tcPr>
            <w:tcW w:w="1958" w:type="dxa"/>
            <w:tcBorders>
              <w:tl2br w:val="nil"/>
              <w:tr2bl w:val="nil"/>
            </w:tcBorders>
            <w:vAlign w:val="center"/>
          </w:tcPr>
          <w:p>
            <w:pPr>
              <w:pStyle w:val="35"/>
            </w:pPr>
            <w:r>
              <w:rPr>
                <w:rFonts w:hint="eastAsia"/>
              </w:rPr>
              <w:t>张康呼</w:t>
            </w:r>
          </w:p>
        </w:tc>
        <w:tc>
          <w:tcPr>
            <w:tcW w:w="1480" w:type="dxa"/>
            <w:tcBorders>
              <w:tl2br w:val="nil"/>
              <w:tr2bl w:val="nil"/>
            </w:tcBorders>
            <w:vAlign w:val="center"/>
          </w:tcPr>
          <w:p>
            <w:pPr>
              <w:pStyle w:val="35"/>
            </w:pPr>
            <w:r>
              <w:t>SSW</w:t>
            </w:r>
          </w:p>
        </w:tc>
        <w:tc>
          <w:tcPr>
            <w:tcW w:w="2822" w:type="dxa"/>
            <w:tcBorders>
              <w:tl2br w:val="nil"/>
              <w:tr2bl w:val="nil"/>
            </w:tcBorders>
            <w:vAlign w:val="center"/>
          </w:tcPr>
          <w:p>
            <w:pPr>
              <w:pStyle w:val="35"/>
            </w:pPr>
            <w:r>
              <w:rPr>
                <w:rFonts w:hint="eastAsia"/>
              </w:rPr>
              <w:t>420</w:t>
            </w:r>
          </w:p>
        </w:tc>
        <w:tc>
          <w:tcPr>
            <w:tcW w:w="2100" w:type="dxa"/>
            <w:tcBorders>
              <w:tl2br w:val="nil"/>
              <w:tr2bl w:val="nil"/>
            </w:tcBorders>
            <w:vAlign w:val="center"/>
          </w:tcPr>
          <w:p>
            <w:pPr>
              <w:pStyle w:val="35"/>
            </w:pPr>
            <w:r>
              <w:t>主导风向</w:t>
            </w:r>
            <w:r>
              <w:rPr>
                <w:rFonts w:hint="eastAsia"/>
              </w:rPr>
              <w:t>上</w:t>
            </w:r>
            <w:r>
              <w:t>风向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820" w:type="dxa"/>
            <w:tcBorders>
              <w:tl2br w:val="nil"/>
              <w:tr2bl w:val="nil"/>
            </w:tcBorders>
            <w:vAlign w:val="center"/>
          </w:tcPr>
          <w:p>
            <w:pPr>
              <w:pStyle w:val="35"/>
            </w:pPr>
            <w:r>
              <w:t>2#</w:t>
            </w:r>
          </w:p>
        </w:tc>
        <w:tc>
          <w:tcPr>
            <w:tcW w:w="1958" w:type="dxa"/>
            <w:tcBorders>
              <w:tl2br w:val="nil"/>
              <w:tr2bl w:val="nil"/>
            </w:tcBorders>
            <w:vAlign w:val="center"/>
          </w:tcPr>
          <w:p>
            <w:pPr>
              <w:pStyle w:val="35"/>
            </w:pPr>
            <w:r>
              <w:rPr>
                <w:rFonts w:hint="eastAsia"/>
              </w:rPr>
              <w:t>濮阳职业技术学院</w:t>
            </w:r>
          </w:p>
        </w:tc>
        <w:tc>
          <w:tcPr>
            <w:tcW w:w="1480" w:type="dxa"/>
            <w:tcBorders>
              <w:tl2br w:val="nil"/>
              <w:tr2bl w:val="nil"/>
            </w:tcBorders>
            <w:vAlign w:val="center"/>
          </w:tcPr>
          <w:p>
            <w:pPr>
              <w:pStyle w:val="35"/>
            </w:pPr>
            <w:r>
              <w:t>NNW</w:t>
            </w:r>
          </w:p>
        </w:tc>
        <w:tc>
          <w:tcPr>
            <w:tcW w:w="2822" w:type="dxa"/>
            <w:tcBorders>
              <w:tl2br w:val="nil"/>
              <w:tr2bl w:val="nil"/>
            </w:tcBorders>
            <w:vAlign w:val="center"/>
          </w:tcPr>
          <w:p>
            <w:pPr>
              <w:pStyle w:val="35"/>
            </w:pPr>
            <w:r>
              <w:rPr>
                <w:rFonts w:hint="eastAsia"/>
              </w:rPr>
              <w:t>2250</w:t>
            </w:r>
          </w:p>
        </w:tc>
        <w:tc>
          <w:tcPr>
            <w:tcW w:w="2100" w:type="dxa"/>
            <w:tcBorders>
              <w:tl2br w:val="nil"/>
              <w:tr2bl w:val="nil"/>
            </w:tcBorders>
            <w:vAlign w:val="center"/>
          </w:tcPr>
          <w:p>
            <w:pPr>
              <w:pStyle w:val="35"/>
            </w:pPr>
            <w:r>
              <w:t>主导风向下风向</w:t>
            </w:r>
          </w:p>
        </w:tc>
      </w:tr>
    </w:tbl>
    <w:p>
      <w:pPr>
        <w:adjustRightInd w:val="0"/>
        <w:snapToGrid w:val="0"/>
        <w:spacing w:line="500" w:lineRule="exact"/>
        <w:ind w:firstLine="560" w:firstLineChars="200"/>
        <w:rPr>
          <w:sz w:val="28"/>
          <w:szCs w:val="22"/>
        </w:rPr>
      </w:pPr>
      <w:r>
        <w:rPr>
          <w:rFonts w:hint="eastAsia"/>
          <w:sz w:val="28"/>
          <w:szCs w:val="22"/>
        </w:rPr>
        <w:t>（2）监测时间和频次</w:t>
      </w:r>
    </w:p>
    <w:p>
      <w:pPr>
        <w:adjustRightInd w:val="0"/>
        <w:snapToGrid w:val="0"/>
        <w:spacing w:line="500" w:lineRule="exact"/>
        <w:ind w:firstLine="560" w:firstLineChars="200"/>
        <w:rPr>
          <w:sz w:val="28"/>
          <w:szCs w:val="22"/>
        </w:rPr>
      </w:pPr>
      <w:r>
        <w:rPr>
          <w:rFonts w:hint="eastAsia"/>
          <w:sz w:val="28"/>
          <w:szCs w:val="22"/>
        </w:rPr>
        <w:t>环境空气于2021.3.17~2021.3.23采样。</w:t>
      </w:r>
      <w:r>
        <w:rPr>
          <w:sz w:val="28"/>
          <w:szCs w:val="22"/>
        </w:rPr>
        <w:t>各监</w:t>
      </w:r>
      <w:r>
        <w:rPr>
          <w:rFonts w:hint="eastAsia"/>
          <w:sz w:val="28"/>
          <w:szCs w:val="22"/>
        </w:rPr>
        <w:t>测</w:t>
      </w:r>
      <w:r>
        <w:rPr>
          <w:sz w:val="28"/>
          <w:szCs w:val="22"/>
        </w:rPr>
        <w:t>因子、监测时间、监测频次详见表</w:t>
      </w:r>
      <w:r>
        <w:rPr>
          <w:rFonts w:hint="eastAsia"/>
          <w:sz w:val="28"/>
          <w:szCs w:val="22"/>
        </w:rPr>
        <w:t>4.3</w:t>
      </w:r>
      <w:r>
        <w:rPr>
          <w:sz w:val="28"/>
          <w:szCs w:val="22"/>
        </w:rPr>
        <w:t>-</w:t>
      </w:r>
      <w:r>
        <w:rPr>
          <w:rFonts w:hint="eastAsia"/>
          <w:sz w:val="28"/>
          <w:szCs w:val="22"/>
        </w:rPr>
        <w:t>5</w:t>
      </w:r>
      <w:r>
        <w:rPr>
          <w:sz w:val="28"/>
          <w:szCs w:val="22"/>
        </w:rPr>
        <w:t>。</w:t>
      </w:r>
    </w:p>
    <w:p>
      <w:pPr>
        <w:pStyle w:val="32"/>
      </w:pPr>
      <w:r>
        <w:t>表</w:t>
      </w:r>
      <w:r>
        <w:rPr>
          <w:rFonts w:hint="eastAsia"/>
        </w:rPr>
        <w:t>4.3</w:t>
      </w:r>
      <w:r>
        <w:t>-</w:t>
      </w:r>
      <w:r>
        <w:rPr>
          <w:rFonts w:hint="eastAsia"/>
        </w:rPr>
        <w:t xml:space="preserve">5            </w:t>
      </w:r>
      <w:r>
        <w:t xml:space="preserve">  环境空气监测因子监测时间和频次</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6"/>
        <w:gridCol w:w="1527"/>
        <w:gridCol w:w="58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833" w:type="pct"/>
            <w:gridSpan w:val="2"/>
            <w:tcBorders>
              <w:tl2br w:val="nil"/>
              <w:tr2bl w:val="nil"/>
            </w:tcBorders>
            <w:vAlign w:val="center"/>
          </w:tcPr>
          <w:p>
            <w:pPr>
              <w:pStyle w:val="35"/>
              <w:rPr>
                <w:b/>
                <w:bCs/>
              </w:rPr>
            </w:pPr>
            <w:r>
              <w:rPr>
                <w:b/>
                <w:bCs/>
              </w:rPr>
              <w:t>监测因子</w:t>
            </w:r>
          </w:p>
        </w:tc>
        <w:tc>
          <w:tcPr>
            <w:tcW w:w="3166" w:type="pct"/>
            <w:tcBorders>
              <w:tl2br w:val="nil"/>
              <w:tr2bl w:val="nil"/>
            </w:tcBorders>
            <w:vAlign w:val="center"/>
          </w:tcPr>
          <w:p>
            <w:pPr>
              <w:pStyle w:val="35"/>
              <w:rPr>
                <w:b/>
                <w:bCs/>
              </w:rPr>
            </w:pPr>
            <w:r>
              <w:rPr>
                <w:b/>
                <w:bCs/>
              </w:rPr>
              <w:t>时间及频率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001" w:type="pct"/>
            <w:vMerge w:val="restart"/>
            <w:tcBorders>
              <w:tl2br w:val="nil"/>
              <w:tr2bl w:val="nil"/>
            </w:tcBorders>
            <w:vAlign w:val="center"/>
          </w:tcPr>
          <w:p>
            <w:pPr>
              <w:pStyle w:val="35"/>
            </w:pPr>
            <w:r>
              <w:rPr>
                <w:rFonts w:hint="eastAsia"/>
              </w:rPr>
              <w:t>甲醇</w:t>
            </w:r>
          </w:p>
        </w:tc>
        <w:tc>
          <w:tcPr>
            <w:tcW w:w="832" w:type="pct"/>
            <w:tcBorders>
              <w:tl2br w:val="nil"/>
              <w:tr2bl w:val="nil"/>
            </w:tcBorders>
            <w:vAlign w:val="center"/>
          </w:tcPr>
          <w:p>
            <w:pPr>
              <w:pStyle w:val="35"/>
            </w:pPr>
            <w:r>
              <w:rPr>
                <w:rFonts w:hint="eastAsia"/>
              </w:rPr>
              <w:t>小时值</w:t>
            </w:r>
          </w:p>
        </w:tc>
        <w:tc>
          <w:tcPr>
            <w:tcW w:w="3166" w:type="pct"/>
            <w:tcBorders>
              <w:tl2br w:val="nil"/>
              <w:tr2bl w:val="nil"/>
            </w:tcBorders>
            <w:vAlign w:val="center"/>
          </w:tcPr>
          <w:p>
            <w:pPr>
              <w:adjustRightInd w:val="0"/>
              <w:snapToGrid w:val="0"/>
              <w:rPr>
                <w:szCs w:val="21"/>
              </w:rPr>
            </w:pPr>
            <w:r>
              <w:rPr>
                <w:szCs w:val="21"/>
              </w:rPr>
              <w:t>连续监测7天，每小时至少45min采样时间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001" w:type="pct"/>
            <w:vMerge w:val="continue"/>
            <w:tcBorders>
              <w:tl2br w:val="nil"/>
              <w:tr2bl w:val="nil"/>
            </w:tcBorders>
            <w:vAlign w:val="center"/>
          </w:tcPr>
          <w:p>
            <w:pPr>
              <w:pStyle w:val="35"/>
            </w:pPr>
          </w:p>
        </w:tc>
        <w:tc>
          <w:tcPr>
            <w:tcW w:w="832" w:type="pct"/>
            <w:tcBorders>
              <w:tl2br w:val="nil"/>
              <w:tr2bl w:val="nil"/>
            </w:tcBorders>
            <w:vAlign w:val="center"/>
          </w:tcPr>
          <w:p>
            <w:pPr>
              <w:pStyle w:val="35"/>
            </w:pPr>
            <w:r>
              <w:t>日均值</w:t>
            </w:r>
          </w:p>
        </w:tc>
        <w:tc>
          <w:tcPr>
            <w:tcW w:w="3166" w:type="pct"/>
            <w:tcBorders>
              <w:tl2br w:val="nil"/>
              <w:tr2bl w:val="nil"/>
            </w:tcBorders>
            <w:vAlign w:val="center"/>
          </w:tcPr>
          <w:p>
            <w:pPr>
              <w:adjustRightInd w:val="0"/>
              <w:snapToGrid w:val="0"/>
              <w:rPr>
                <w:szCs w:val="21"/>
              </w:rPr>
            </w:pPr>
            <w:r>
              <w:rPr>
                <w:szCs w:val="21"/>
              </w:rPr>
              <w:t>连续监测7天，每天至少18h采样时间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001" w:type="pct"/>
            <w:tcBorders>
              <w:tl2br w:val="nil"/>
              <w:tr2bl w:val="nil"/>
            </w:tcBorders>
            <w:vAlign w:val="center"/>
          </w:tcPr>
          <w:p>
            <w:pPr>
              <w:pStyle w:val="35"/>
            </w:pPr>
            <w:r>
              <w:rPr>
                <w:rFonts w:hint="eastAsia"/>
              </w:rPr>
              <w:t>乙二醇</w:t>
            </w:r>
          </w:p>
        </w:tc>
        <w:tc>
          <w:tcPr>
            <w:tcW w:w="832" w:type="pct"/>
            <w:tcBorders>
              <w:tl2br w:val="nil"/>
              <w:tr2bl w:val="nil"/>
            </w:tcBorders>
            <w:vAlign w:val="center"/>
          </w:tcPr>
          <w:p>
            <w:pPr>
              <w:pStyle w:val="35"/>
            </w:pPr>
            <w:r>
              <w:t>小时值</w:t>
            </w:r>
          </w:p>
        </w:tc>
        <w:tc>
          <w:tcPr>
            <w:tcW w:w="3166" w:type="pct"/>
            <w:tcBorders>
              <w:tl2br w:val="nil"/>
              <w:tr2bl w:val="nil"/>
            </w:tcBorders>
            <w:vAlign w:val="center"/>
          </w:tcPr>
          <w:p>
            <w:pPr>
              <w:adjustRightInd w:val="0"/>
              <w:snapToGrid w:val="0"/>
              <w:rPr>
                <w:szCs w:val="21"/>
              </w:rPr>
            </w:pPr>
            <w:r>
              <w:rPr>
                <w:szCs w:val="21"/>
              </w:rPr>
              <w:t>连续监测7天，每小时至少45min采样时间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001" w:type="pct"/>
            <w:tcBorders>
              <w:tl2br w:val="nil"/>
              <w:tr2bl w:val="nil"/>
            </w:tcBorders>
            <w:vAlign w:val="center"/>
          </w:tcPr>
          <w:p>
            <w:pPr>
              <w:pStyle w:val="35"/>
            </w:pPr>
            <w:r>
              <w:rPr>
                <w:rFonts w:hint="eastAsia"/>
              </w:rPr>
              <w:t>非甲烷总烃</w:t>
            </w:r>
          </w:p>
        </w:tc>
        <w:tc>
          <w:tcPr>
            <w:tcW w:w="832" w:type="pct"/>
            <w:tcBorders>
              <w:tl2br w:val="nil"/>
              <w:tr2bl w:val="nil"/>
            </w:tcBorders>
            <w:vAlign w:val="center"/>
          </w:tcPr>
          <w:p>
            <w:pPr>
              <w:pStyle w:val="35"/>
            </w:pPr>
            <w:r>
              <w:t>小时值</w:t>
            </w:r>
          </w:p>
        </w:tc>
        <w:tc>
          <w:tcPr>
            <w:tcW w:w="3166" w:type="pct"/>
            <w:tcBorders>
              <w:tl2br w:val="nil"/>
              <w:tr2bl w:val="nil"/>
            </w:tcBorders>
            <w:vAlign w:val="center"/>
          </w:tcPr>
          <w:p>
            <w:pPr>
              <w:pStyle w:val="35"/>
              <w:jc w:val="left"/>
            </w:pPr>
            <w:r>
              <w:t>连续监测7天，每小时至少45min采样时间</w:t>
            </w:r>
          </w:p>
        </w:tc>
      </w:tr>
    </w:tbl>
    <w:p>
      <w:pPr>
        <w:adjustRightInd w:val="0"/>
        <w:snapToGrid w:val="0"/>
        <w:spacing w:line="500" w:lineRule="exact"/>
        <w:ind w:firstLine="560" w:firstLineChars="200"/>
        <w:rPr>
          <w:sz w:val="28"/>
          <w:szCs w:val="22"/>
        </w:rPr>
      </w:pPr>
      <w:r>
        <w:rPr>
          <w:rFonts w:hint="eastAsia"/>
          <w:sz w:val="28"/>
          <w:szCs w:val="22"/>
        </w:rPr>
        <w:t>（3）</w:t>
      </w:r>
      <w:r>
        <w:rPr>
          <w:sz w:val="28"/>
          <w:szCs w:val="22"/>
        </w:rPr>
        <w:t>评价方法</w:t>
      </w:r>
    </w:p>
    <w:p>
      <w:pPr>
        <w:adjustRightInd w:val="0"/>
        <w:snapToGrid w:val="0"/>
        <w:spacing w:line="520" w:lineRule="exact"/>
        <w:ind w:firstLine="560" w:firstLineChars="200"/>
        <w:rPr>
          <w:sz w:val="28"/>
          <w:szCs w:val="22"/>
        </w:rPr>
      </w:pPr>
      <w:r>
        <w:rPr>
          <w:rFonts w:hint="eastAsia"/>
          <w:sz w:val="28"/>
          <w:szCs w:val="22"/>
        </w:rPr>
        <w:t>其他污染物</w:t>
      </w:r>
      <w:r>
        <w:rPr>
          <w:sz w:val="28"/>
          <w:szCs w:val="22"/>
        </w:rPr>
        <w:t>采用单因子标准指数法进行评价，标准指数计算公式如下：</w:t>
      </w:r>
    </w:p>
    <w:p>
      <w:pPr>
        <w:tabs>
          <w:tab w:val="left" w:pos="4540"/>
        </w:tabs>
        <w:adjustRightInd w:val="0"/>
        <w:snapToGrid w:val="0"/>
        <w:spacing w:line="520" w:lineRule="exact"/>
        <w:jc w:val="center"/>
        <w:rPr>
          <w:sz w:val="28"/>
          <w:szCs w:val="22"/>
          <w:vertAlign w:val="subscript"/>
        </w:rPr>
      </w:pPr>
      <w:r>
        <w:rPr>
          <w:sz w:val="28"/>
          <w:szCs w:val="22"/>
        </w:rPr>
        <w:t>P</w:t>
      </w:r>
      <w:r>
        <w:rPr>
          <w:sz w:val="28"/>
          <w:szCs w:val="22"/>
          <w:vertAlign w:val="subscript"/>
        </w:rPr>
        <w:t>i</w:t>
      </w:r>
      <w:r>
        <w:rPr>
          <w:sz w:val="28"/>
          <w:szCs w:val="22"/>
        </w:rPr>
        <w:t>=C</w:t>
      </w:r>
      <w:r>
        <w:rPr>
          <w:sz w:val="28"/>
          <w:szCs w:val="22"/>
          <w:vertAlign w:val="subscript"/>
        </w:rPr>
        <w:t>i</w:t>
      </w:r>
      <w:r>
        <w:rPr>
          <w:sz w:val="28"/>
          <w:szCs w:val="22"/>
        </w:rPr>
        <w:t>/S</w:t>
      </w:r>
      <w:r>
        <w:rPr>
          <w:sz w:val="28"/>
          <w:szCs w:val="22"/>
          <w:vertAlign w:val="subscript"/>
        </w:rPr>
        <w:t>i</w:t>
      </w:r>
    </w:p>
    <w:p>
      <w:pPr>
        <w:tabs>
          <w:tab w:val="left" w:pos="4540"/>
        </w:tabs>
        <w:adjustRightInd w:val="0"/>
        <w:snapToGrid w:val="0"/>
        <w:spacing w:line="520" w:lineRule="exact"/>
        <w:ind w:firstLine="840" w:firstLineChars="300"/>
        <w:rPr>
          <w:sz w:val="28"/>
          <w:szCs w:val="22"/>
        </w:rPr>
      </w:pPr>
      <w:r>
        <w:rPr>
          <w:sz w:val="28"/>
          <w:szCs w:val="22"/>
        </w:rPr>
        <w:t>式中：P</w:t>
      </w:r>
      <w:r>
        <w:rPr>
          <w:sz w:val="28"/>
          <w:szCs w:val="22"/>
          <w:vertAlign w:val="subscript"/>
        </w:rPr>
        <w:t>i</w:t>
      </w:r>
      <w:r>
        <w:rPr>
          <w:sz w:val="28"/>
          <w:szCs w:val="22"/>
        </w:rPr>
        <w:t>—i种污染物的标准指数；</w:t>
      </w:r>
    </w:p>
    <w:p>
      <w:pPr>
        <w:tabs>
          <w:tab w:val="left" w:pos="4540"/>
        </w:tabs>
        <w:adjustRightInd w:val="0"/>
        <w:snapToGrid w:val="0"/>
        <w:spacing w:line="520" w:lineRule="exact"/>
        <w:ind w:firstLine="1699" w:firstLineChars="607"/>
        <w:rPr>
          <w:sz w:val="28"/>
          <w:szCs w:val="22"/>
        </w:rPr>
      </w:pPr>
      <w:r>
        <w:rPr>
          <w:sz w:val="28"/>
          <w:szCs w:val="22"/>
        </w:rPr>
        <w:t>C</w:t>
      </w:r>
      <w:r>
        <w:rPr>
          <w:sz w:val="28"/>
          <w:szCs w:val="22"/>
          <w:vertAlign w:val="subscript"/>
        </w:rPr>
        <w:t>i</w:t>
      </w:r>
      <w:r>
        <w:rPr>
          <w:sz w:val="28"/>
          <w:szCs w:val="22"/>
        </w:rPr>
        <w:t>—i种污染物的实测浓度（mg/m</w:t>
      </w:r>
      <w:r>
        <w:rPr>
          <w:sz w:val="28"/>
          <w:szCs w:val="22"/>
          <w:vertAlign w:val="superscript"/>
        </w:rPr>
        <w:t>3</w:t>
      </w:r>
      <w:r>
        <w:rPr>
          <w:sz w:val="28"/>
          <w:szCs w:val="22"/>
        </w:rPr>
        <w:t>）；</w:t>
      </w:r>
    </w:p>
    <w:p>
      <w:pPr>
        <w:tabs>
          <w:tab w:val="left" w:pos="4540"/>
        </w:tabs>
        <w:adjustRightInd w:val="0"/>
        <w:snapToGrid w:val="0"/>
        <w:spacing w:line="520" w:lineRule="exact"/>
        <w:ind w:firstLine="1699" w:firstLineChars="607"/>
        <w:rPr>
          <w:sz w:val="28"/>
          <w:szCs w:val="22"/>
        </w:rPr>
      </w:pPr>
      <w:r>
        <w:rPr>
          <w:sz w:val="28"/>
          <w:szCs w:val="22"/>
        </w:rPr>
        <w:t>S</w:t>
      </w:r>
      <w:r>
        <w:rPr>
          <w:sz w:val="28"/>
          <w:szCs w:val="22"/>
          <w:vertAlign w:val="subscript"/>
        </w:rPr>
        <w:t>i</w:t>
      </w:r>
      <w:r>
        <w:rPr>
          <w:sz w:val="28"/>
          <w:szCs w:val="22"/>
        </w:rPr>
        <w:t>—i种污染物的评价标准（mg/m</w:t>
      </w:r>
      <w:r>
        <w:rPr>
          <w:sz w:val="28"/>
          <w:szCs w:val="22"/>
          <w:vertAlign w:val="superscript"/>
        </w:rPr>
        <w:t>3</w:t>
      </w:r>
      <w:r>
        <w:rPr>
          <w:sz w:val="28"/>
          <w:szCs w:val="22"/>
        </w:rPr>
        <w:t>）</w:t>
      </w:r>
    </w:p>
    <w:p>
      <w:pPr>
        <w:adjustRightInd w:val="0"/>
        <w:snapToGrid w:val="0"/>
        <w:spacing w:line="500" w:lineRule="exact"/>
        <w:ind w:firstLine="560" w:firstLineChars="200"/>
        <w:rPr>
          <w:sz w:val="28"/>
        </w:rPr>
      </w:pPr>
      <w:r>
        <w:rPr>
          <w:sz w:val="28"/>
        </w:rPr>
        <w:t>对现状监测数据进行统计整理，列表统计各测点日均浓度、小时浓度范围及相应标准指数范围，计算超标率、最大值超标倍数。</w:t>
      </w:r>
    </w:p>
    <w:p>
      <w:pPr>
        <w:adjustRightInd w:val="0"/>
        <w:snapToGrid w:val="0"/>
        <w:spacing w:line="500" w:lineRule="exact"/>
        <w:ind w:firstLine="560" w:firstLineChars="200"/>
        <w:rPr>
          <w:sz w:val="28"/>
          <w:szCs w:val="22"/>
        </w:rPr>
      </w:pPr>
      <w:r>
        <w:rPr>
          <w:rFonts w:hint="eastAsia"/>
          <w:sz w:val="28"/>
          <w:szCs w:val="22"/>
        </w:rPr>
        <w:t>（4）</w:t>
      </w:r>
      <w:r>
        <w:rPr>
          <w:sz w:val="28"/>
          <w:szCs w:val="22"/>
        </w:rPr>
        <w:t>评价标准</w:t>
      </w:r>
    </w:p>
    <w:p>
      <w:pPr>
        <w:adjustRightInd w:val="0"/>
        <w:snapToGrid w:val="0"/>
        <w:spacing w:line="500" w:lineRule="exact"/>
        <w:ind w:firstLine="560" w:firstLineChars="200"/>
        <w:rPr>
          <w:sz w:val="28"/>
        </w:rPr>
      </w:pPr>
      <w:r>
        <w:rPr>
          <w:sz w:val="28"/>
          <w:szCs w:val="22"/>
        </w:rPr>
        <w:t>评价标准</w:t>
      </w:r>
      <w:r>
        <w:rPr>
          <w:sz w:val="28"/>
        </w:rPr>
        <w:t>详见表</w:t>
      </w:r>
      <w:r>
        <w:rPr>
          <w:rFonts w:hint="eastAsia"/>
          <w:sz w:val="28"/>
        </w:rPr>
        <w:t>4.3</w:t>
      </w:r>
      <w:r>
        <w:rPr>
          <w:sz w:val="28"/>
        </w:rPr>
        <w:t>-</w:t>
      </w:r>
      <w:r>
        <w:rPr>
          <w:rFonts w:hint="eastAsia"/>
          <w:sz w:val="28"/>
        </w:rPr>
        <w:t>6</w:t>
      </w:r>
      <w:r>
        <w:rPr>
          <w:sz w:val="28"/>
        </w:rPr>
        <w:t>。</w:t>
      </w:r>
    </w:p>
    <w:p>
      <w:pPr>
        <w:pStyle w:val="32"/>
      </w:pPr>
      <w:r>
        <w:t>表</w:t>
      </w:r>
      <w:r>
        <w:rPr>
          <w:rFonts w:hint="eastAsia"/>
        </w:rPr>
        <w:t>4.3</w:t>
      </w:r>
      <w:r>
        <w:t>-</w:t>
      </w:r>
      <w:r>
        <w:rPr>
          <w:rFonts w:hint="eastAsia"/>
        </w:rPr>
        <w:t>6</w:t>
      </w:r>
      <w:r>
        <w:t xml:space="preserve">    </w:t>
      </w:r>
      <w:r>
        <w:rPr>
          <w:rFonts w:hint="eastAsia"/>
        </w:rPr>
        <w:t xml:space="preserve">        </w:t>
      </w:r>
      <w:r>
        <w:t xml:space="preserve"> </w:t>
      </w:r>
      <w:r>
        <w:rPr>
          <w:rFonts w:hint="eastAsia"/>
        </w:rPr>
        <w:t>其他污染物</w:t>
      </w:r>
      <w:r>
        <w:t>环境空气质量现状评价标准</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34"/>
        <w:gridCol w:w="2410"/>
        <w:gridCol w:w="412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exact"/>
          <w:tblHeader/>
        </w:trPr>
        <w:tc>
          <w:tcPr>
            <w:tcW w:w="2750" w:type="pct"/>
            <w:gridSpan w:val="2"/>
            <w:tcBorders>
              <w:tl2br w:val="nil"/>
              <w:tr2bl w:val="nil"/>
            </w:tcBorders>
            <w:vAlign w:val="center"/>
          </w:tcPr>
          <w:p>
            <w:pPr>
              <w:pStyle w:val="35"/>
              <w:rPr>
                <w:b/>
                <w:bCs/>
              </w:rPr>
            </w:pPr>
            <w:r>
              <w:rPr>
                <w:b/>
                <w:bCs/>
              </w:rPr>
              <w:t>监测因子</w:t>
            </w:r>
          </w:p>
        </w:tc>
        <w:tc>
          <w:tcPr>
            <w:tcW w:w="2249" w:type="pct"/>
            <w:tcBorders>
              <w:tl2br w:val="nil"/>
              <w:tr2bl w:val="nil"/>
            </w:tcBorders>
            <w:vAlign w:val="center"/>
          </w:tcPr>
          <w:p>
            <w:pPr>
              <w:pStyle w:val="35"/>
            </w:pPr>
            <w:r>
              <w:rPr>
                <w:b/>
                <w:bCs/>
              </w:rPr>
              <w:t>备注（标准值）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trPr>
        <w:tc>
          <w:tcPr>
            <w:tcW w:w="1436" w:type="pct"/>
            <w:vMerge w:val="restart"/>
            <w:tcBorders>
              <w:tl2br w:val="nil"/>
              <w:tr2bl w:val="nil"/>
            </w:tcBorders>
            <w:vAlign w:val="center"/>
          </w:tcPr>
          <w:p>
            <w:pPr>
              <w:pStyle w:val="35"/>
            </w:pPr>
            <w:r>
              <w:rPr>
                <w:rFonts w:hint="eastAsia"/>
              </w:rPr>
              <w:t>甲醇</w:t>
            </w:r>
          </w:p>
        </w:tc>
        <w:tc>
          <w:tcPr>
            <w:tcW w:w="1313" w:type="pct"/>
            <w:tcBorders>
              <w:tl2br w:val="nil"/>
              <w:tr2bl w:val="nil"/>
            </w:tcBorders>
            <w:vAlign w:val="center"/>
          </w:tcPr>
          <w:p>
            <w:pPr>
              <w:pStyle w:val="35"/>
            </w:pPr>
            <w:r>
              <w:rPr>
                <w:rFonts w:hint="eastAsia"/>
              </w:rPr>
              <w:t>小时值</w:t>
            </w:r>
          </w:p>
        </w:tc>
        <w:tc>
          <w:tcPr>
            <w:tcW w:w="2249" w:type="pct"/>
            <w:tcBorders>
              <w:tl2br w:val="nil"/>
              <w:tr2bl w:val="nil"/>
            </w:tcBorders>
            <w:vAlign w:val="center"/>
          </w:tcPr>
          <w:p>
            <w:pPr>
              <w:pStyle w:val="35"/>
            </w:pPr>
            <w:r>
              <w:t>3000 μg/m</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trPr>
        <w:tc>
          <w:tcPr>
            <w:tcW w:w="1436" w:type="pct"/>
            <w:vMerge w:val="continue"/>
            <w:tcBorders>
              <w:tl2br w:val="nil"/>
              <w:tr2bl w:val="nil"/>
            </w:tcBorders>
            <w:vAlign w:val="center"/>
          </w:tcPr>
          <w:p>
            <w:pPr>
              <w:pStyle w:val="35"/>
            </w:pPr>
          </w:p>
        </w:tc>
        <w:tc>
          <w:tcPr>
            <w:tcW w:w="1313" w:type="pct"/>
            <w:tcBorders>
              <w:tl2br w:val="nil"/>
              <w:tr2bl w:val="nil"/>
            </w:tcBorders>
            <w:vAlign w:val="center"/>
          </w:tcPr>
          <w:p>
            <w:pPr>
              <w:pStyle w:val="35"/>
            </w:pPr>
            <w:r>
              <w:t>日均值</w:t>
            </w:r>
          </w:p>
        </w:tc>
        <w:tc>
          <w:tcPr>
            <w:tcW w:w="2249" w:type="pct"/>
            <w:tcBorders>
              <w:tl2br w:val="nil"/>
              <w:tr2bl w:val="nil"/>
            </w:tcBorders>
            <w:vAlign w:val="center"/>
          </w:tcPr>
          <w:p>
            <w:pPr>
              <w:pStyle w:val="35"/>
            </w:pPr>
            <w:r>
              <w:t>1000μg/m</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trPr>
        <w:tc>
          <w:tcPr>
            <w:tcW w:w="1436" w:type="pct"/>
            <w:tcBorders>
              <w:tl2br w:val="nil"/>
              <w:tr2bl w:val="nil"/>
            </w:tcBorders>
            <w:vAlign w:val="center"/>
          </w:tcPr>
          <w:p>
            <w:pPr>
              <w:pStyle w:val="35"/>
            </w:pPr>
            <w:r>
              <w:rPr>
                <w:rFonts w:hint="eastAsia"/>
              </w:rPr>
              <w:t>乙二醇</w:t>
            </w:r>
          </w:p>
        </w:tc>
        <w:tc>
          <w:tcPr>
            <w:tcW w:w="1313" w:type="pct"/>
            <w:tcBorders>
              <w:tl2br w:val="nil"/>
              <w:tr2bl w:val="nil"/>
            </w:tcBorders>
            <w:vAlign w:val="center"/>
          </w:tcPr>
          <w:p>
            <w:pPr>
              <w:pStyle w:val="35"/>
            </w:pPr>
            <w:r>
              <w:t>小时值</w:t>
            </w:r>
          </w:p>
        </w:tc>
        <w:tc>
          <w:tcPr>
            <w:tcW w:w="2249" w:type="pct"/>
            <w:tcBorders>
              <w:tl2br w:val="nil"/>
              <w:tr2bl w:val="nil"/>
            </w:tcBorders>
            <w:vAlign w:val="center"/>
          </w:tcPr>
          <w:p>
            <w:pPr>
              <w:pStyle w:val="35"/>
            </w:pPr>
            <w:r>
              <w:t>留现状值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6" w:type="pct"/>
            <w:tcBorders>
              <w:tl2br w:val="nil"/>
              <w:tr2bl w:val="nil"/>
            </w:tcBorders>
            <w:vAlign w:val="center"/>
          </w:tcPr>
          <w:p>
            <w:pPr>
              <w:pStyle w:val="35"/>
            </w:pPr>
            <w:r>
              <w:rPr>
                <w:rFonts w:hint="eastAsia"/>
              </w:rPr>
              <w:t>非甲烷总烃</w:t>
            </w:r>
          </w:p>
        </w:tc>
        <w:tc>
          <w:tcPr>
            <w:tcW w:w="1313" w:type="pct"/>
            <w:tcBorders>
              <w:tl2br w:val="nil"/>
              <w:tr2bl w:val="nil"/>
            </w:tcBorders>
            <w:vAlign w:val="center"/>
          </w:tcPr>
          <w:p>
            <w:pPr>
              <w:pStyle w:val="35"/>
            </w:pPr>
            <w:r>
              <w:t>小时值</w:t>
            </w:r>
          </w:p>
        </w:tc>
        <w:tc>
          <w:tcPr>
            <w:tcW w:w="2249" w:type="pct"/>
            <w:tcBorders>
              <w:tl2br w:val="nil"/>
              <w:tr2bl w:val="nil"/>
            </w:tcBorders>
            <w:vAlign w:val="center"/>
          </w:tcPr>
          <w:p>
            <w:pPr>
              <w:pStyle w:val="35"/>
            </w:pPr>
            <w:r>
              <w:rPr>
                <w:rFonts w:hint="eastAsia"/>
              </w:rPr>
              <w:t>2.0</w:t>
            </w:r>
            <w:r>
              <w:t>mg/m</w:t>
            </w:r>
            <w:r>
              <w:rPr>
                <w:vertAlign w:val="superscript"/>
              </w:rPr>
              <w:t>3</w:t>
            </w:r>
          </w:p>
        </w:tc>
      </w:tr>
    </w:tbl>
    <w:p>
      <w:pPr>
        <w:adjustRightInd w:val="0"/>
        <w:snapToGrid w:val="0"/>
        <w:spacing w:line="500" w:lineRule="exact"/>
        <w:ind w:firstLine="560" w:firstLineChars="200"/>
        <w:rPr>
          <w:sz w:val="28"/>
          <w:szCs w:val="22"/>
        </w:rPr>
      </w:pPr>
      <w:r>
        <w:rPr>
          <w:rFonts w:hint="eastAsia"/>
          <w:sz w:val="28"/>
          <w:szCs w:val="22"/>
        </w:rPr>
        <w:t>（5）</w:t>
      </w:r>
      <w:r>
        <w:rPr>
          <w:sz w:val="28"/>
          <w:szCs w:val="22"/>
        </w:rPr>
        <w:t>评价结果</w:t>
      </w:r>
    </w:p>
    <w:p>
      <w:pPr>
        <w:pStyle w:val="27"/>
        <w:ind w:firstLine="560"/>
      </w:pPr>
      <w:r>
        <w:rPr>
          <w:rFonts w:hint="eastAsia"/>
          <w:szCs w:val="28"/>
        </w:rPr>
        <w:t>根据导则要求，</w:t>
      </w:r>
      <w:r>
        <w:rPr>
          <w:rFonts w:hint="eastAsia"/>
        </w:rPr>
        <w:t>分别对各监测点位甲醇、乙二醇、非甲烷总烃的短期浓度进行现状评价。评价结果见表4.3-7。</w:t>
      </w:r>
    </w:p>
    <w:p>
      <w:pPr>
        <w:pStyle w:val="32"/>
      </w:pPr>
      <w:r>
        <w:rPr>
          <w:rFonts w:hint="eastAsia"/>
        </w:rPr>
        <w:t>表4.3-7           其他污染物环境质量现状评价结果表</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24"/>
        <w:gridCol w:w="1365"/>
        <w:gridCol w:w="1201"/>
        <w:gridCol w:w="1464"/>
        <w:gridCol w:w="1205"/>
        <w:gridCol w:w="915"/>
        <w:gridCol w:w="745"/>
        <w:gridCol w:w="93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627" w:type="pct"/>
            <w:vMerge w:val="restart"/>
            <w:tcBorders>
              <w:right w:val="single" w:color="auto" w:sz="4" w:space="0"/>
            </w:tcBorders>
            <w:vAlign w:val="center"/>
          </w:tcPr>
          <w:p>
            <w:pPr>
              <w:pStyle w:val="34"/>
            </w:pPr>
            <w:r>
              <w:rPr>
                <w:rFonts w:hint="eastAsia"/>
              </w:rPr>
              <w:t>监测点位</w:t>
            </w:r>
          </w:p>
        </w:tc>
        <w:tc>
          <w:tcPr>
            <w:tcW w:w="762" w:type="pct"/>
            <w:vMerge w:val="restart"/>
            <w:tcBorders>
              <w:left w:val="single" w:color="auto" w:sz="4" w:space="0"/>
              <w:right w:val="single" w:color="auto" w:sz="4" w:space="0"/>
            </w:tcBorders>
            <w:vAlign w:val="center"/>
          </w:tcPr>
          <w:p>
            <w:pPr>
              <w:pStyle w:val="34"/>
            </w:pPr>
            <w:r>
              <w:rPr>
                <w:rFonts w:hint="eastAsia"/>
              </w:rPr>
              <w:t>污染物</w:t>
            </w:r>
          </w:p>
        </w:tc>
        <w:tc>
          <w:tcPr>
            <w:tcW w:w="670" w:type="pct"/>
            <w:vMerge w:val="restart"/>
            <w:tcBorders>
              <w:left w:val="single" w:color="auto" w:sz="4" w:space="0"/>
              <w:right w:val="single" w:color="auto" w:sz="4" w:space="0"/>
            </w:tcBorders>
            <w:vAlign w:val="center"/>
          </w:tcPr>
          <w:p>
            <w:pPr>
              <w:pStyle w:val="34"/>
            </w:pPr>
            <w:r>
              <w:rPr>
                <w:rFonts w:hint="eastAsia"/>
              </w:rPr>
              <w:t>平均时间</w:t>
            </w:r>
          </w:p>
        </w:tc>
        <w:tc>
          <w:tcPr>
            <w:tcW w:w="817" w:type="pct"/>
            <w:vMerge w:val="restart"/>
            <w:tcBorders>
              <w:left w:val="single" w:color="auto" w:sz="4" w:space="0"/>
              <w:right w:val="single" w:color="auto" w:sz="4" w:space="0"/>
            </w:tcBorders>
            <w:vAlign w:val="center"/>
          </w:tcPr>
          <w:p>
            <w:pPr>
              <w:pStyle w:val="34"/>
            </w:pPr>
            <w:r>
              <w:rPr>
                <w:rFonts w:hint="eastAsia"/>
              </w:rPr>
              <w:t>评价标准</w:t>
            </w:r>
          </w:p>
        </w:tc>
        <w:tc>
          <w:tcPr>
            <w:tcW w:w="673" w:type="pct"/>
            <w:vMerge w:val="restart"/>
            <w:tcBorders>
              <w:left w:val="single" w:color="auto" w:sz="4" w:space="0"/>
              <w:right w:val="single" w:color="auto" w:sz="4" w:space="0"/>
            </w:tcBorders>
            <w:vAlign w:val="center"/>
          </w:tcPr>
          <w:p>
            <w:pPr>
              <w:pStyle w:val="34"/>
            </w:pPr>
            <w:r>
              <w:rPr>
                <w:rFonts w:hint="eastAsia"/>
              </w:rPr>
              <w:t>监测浓度</w:t>
            </w:r>
          </w:p>
          <w:p>
            <w:pPr>
              <w:pStyle w:val="34"/>
            </w:pPr>
            <w:r>
              <w:rPr>
                <w:rFonts w:hint="eastAsia"/>
              </w:rPr>
              <w:t>范围</w:t>
            </w:r>
            <w:r>
              <w:t>mg/m</w:t>
            </w:r>
            <w:r>
              <w:rPr>
                <w:vertAlign w:val="superscript"/>
              </w:rPr>
              <w:t>3</w:t>
            </w:r>
          </w:p>
        </w:tc>
        <w:tc>
          <w:tcPr>
            <w:tcW w:w="511" w:type="pct"/>
            <w:vMerge w:val="restart"/>
            <w:tcBorders>
              <w:left w:val="single" w:color="auto" w:sz="4" w:space="0"/>
              <w:right w:val="single" w:color="auto" w:sz="4" w:space="0"/>
            </w:tcBorders>
            <w:vAlign w:val="center"/>
          </w:tcPr>
          <w:p>
            <w:pPr>
              <w:pStyle w:val="34"/>
            </w:pPr>
            <w:r>
              <w:rPr>
                <w:rFonts w:hint="eastAsia"/>
              </w:rPr>
              <w:t>最大浓度</w:t>
            </w:r>
          </w:p>
          <w:p>
            <w:pPr>
              <w:pStyle w:val="34"/>
            </w:pPr>
            <w:r>
              <w:rPr>
                <w:rFonts w:hint="eastAsia"/>
              </w:rPr>
              <w:t>占标率</w:t>
            </w:r>
            <w:r>
              <w:t>/%</w:t>
            </w:r>
          </w:p>
        </w:tc>
        <w:tc>
          <w:tcPr>
            <w:tcW w:w="416" w:type="pct"/>
            <w:vMerge w:val="restart"/>
            <w:tcBorders>
              <w:left w:val="single" w:color="auto" w:sz="4" w:space="0"/>
              <w:right w:val="single" w:color="auto" w:sz="4" w:space="0"/>
            </w:tcBorders>
            <w:vAlign w:val="center"/>
          </w:tcPr>
          <w:p>
            <w:pPr>
              <w:pStyle w:val="34"/>
            </w:pPr>
            <w:r>
              <w:rPr>
                <w:rFonts w:hint="eastAsia"/>
              </w:rPr>
              <w:t>超标率</w:t>
            </w:r>
          </w:p>
          <w:p>
            <w:pPr>
              <w:pStyle w:val="34"/>
            </w:pPr>
            <w:r>
              <w:rPr>
                <w:rFonts w:hint="eastAsia"/>
              </w:rPr>
              <w:t>/</w:t>
            </w:r>
            <w:r>
              <w:t>%</w:t>
            </w:r>
          </w:p>
        </w:tc>
        <w:tc>
          <w:tcPr>
            <w:tcW w:w="521" w:type="pct"/>
            <w:vMerge w:val="restart"/>
            <w:tcBorders>
              <w:left w:val="single" w:color="auto" w:sz="4" w:space="0"/>
            </w:tcBorders>
            <w:vAlign w:val="center"/>
          </w:tcPr>
          <w:p>
            <w:pPr>
              <w:pStyle w:val="34"/>
            </w:pPr>
            <w:r>
              <w:rPr>
                <w:rFonts w:hint="eastAsia"/>
              </w:rPr>
              <w:t>达标</w:t>
            </w:r>
          </w:p>
          <w:p>
            <w:pPr>
              <w:pStyle w:val="34"/>
            </w:pPr>
            <w:r>
              <w:rPr>
                <w:rFonts w:hint="eastAsia"/>
              </w:rPr>
              <w:t>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0" w:hRule="atLeast"/>
          <w:tblHeader/>
          <w:jc w:val="center"/>
        </w:trPr>
        <w:tc>
          <w:tcPr>
            <w:tcW w:w="627" w:type="pct"/>
            <w:vMerge w:val="continue"/>
            <w:tcBorders>
              <w:bottom w:val="single" w:color="auto" w:sz="4" w:space="0"/>
              <w:right w:val="single" w:color="auto" w:sz="4" w:space="0"/>
            </w:tcBorders>
            <w:vAlign w:val="center"/>
          </w:tcPr>
          <w:p>
            <w:pPr>
              <w:spacing w:line="480" w:lineRule="exact"/>
              <w:jc w:val="center"/>
              <w:rPr>
                <w:szCs w:val="21"/>
              </w:rPr>
            </w:pPr>
          </w:p>
        </w:tc>
        <w:tc>
          <w:tcPr>
            <w:tcW w:w="762"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670"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817"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673"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511"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416" w:type="pct"/>
            <w:vMerge w:val="continue"/>
            <w:tcBorders>
              <w:left w:val="single" w:color="auto" w:sz="4" w:space="0"/>
              <w:bottom w:val="single" w:color="auto" w:sz="4" w:space="0"/>
              <w:right w:val="single" w:color="auto" w:sz="4" w:space="0"/>
            </w:tcBorders>
            <w:vAlign w:val="center"/>
          </w:tcPr>
          <w:p>
            <w:pPr>
              <w:spacing w:line="480" w:lineRule="exact"/>
              <w:jc w:val="center"/>
              <w:rPr>
                <w:szCs w:val="21"/>
              </w:rPr>
            </w:pPr>
          </w:p>
        </w:tc>
        <w:tc>
          <w:tcPr>
            <w:tcW w:w="521" w:type="pct"/>
            <w:vMerge w:val="continue"/>
            <w:tcBorders>
              <w:left w:val="single" w:color="auto" w:sz="4" w:space="0"/>
              <w:bottom w:val="single" w:color="auto" w:sz="4" w:space="0"/>
            </w:tcBorders>
            <w:vAlign w:val="center"/>
          </w:tcPr>
          <w:p>
            <w:pPr>
              <w:spacing w:line="480" w:lineRule="exact"/>
              <w:jc w:val="center"/>
              <w:rPr>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restart"/>
            <w:tcBorders>
              <w:top w:val="single" w:color="auto" w:sz="4" w:space="0"/>
              <w:right w:val="single" w:color="auto" w:sz="4" w:space="0"/>
            </w:tcBorders>
            <w:vAlign w:val="center"/>
          </w:tcPr>
          <w:p>
            <w:pPr>
              <w:pStyle w:val="35"/>
            </w:pPr>
            <w:r>
              <w:rPr>
                <w:rFonts w:hint="eastAsia"/>
              </w:rPr>
              <w:t>张康呼</w:t>
            </w:r>
          </w:p>
        </w:tc>
        <w:tc>
          <w:tcPr>
            <w:tcW w:w="762" w:type="pct"/>
            <w:vMerge w:val="restart"/>
            <w:tcBorders>
              <w:top w:val="single" w:color="auto" w:sz="4" w:space="0"/>
              <w:left w:val="single" w:color="auto" w:sz="4" w:space="0"/>
              <w:right w:val="single" w:color="auto" w:sz="4" w:space="0"/>
            </w:tcBorders>
            <w:vAlign w:val="center"/>
          </w:tcPr>
          <w:p>
            <w:pPr>
              <w:pStyle w:val="35"/>
            </w:pPr>
            <w:r>
              <w:rPr>
                <w:rFonts w:hint="eastAsia"/>
              </w:rPr>
              <w:t>甲醇</w:t>
            </w: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t>3000 μg/m</w:t>
            </w:r>
            <w:r>
              <w:rPr>
                <w:vertAlign w:val="superscript"/>
              </w:rPr>
              <w:t>3</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bottom w:val="single" w:color="auto" w:sz="4" w:space="0"/>
            </w:tcBorders>
            <w:vAlign w:val="center"/>
          </w:tcPr>
          <w:p>
            <w:pPr>
              <w:pStyle w:val="35"/>
            </w:pPr>
            <w:r>
              <w:rPr>
                <w:rFonts w:hint="eastAsi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vMerge w:val="continue"/>
            <w:tcBorders>
              <w:left w:val="single" w:color="auto" w:sz="4" w:space="0"/>
              <w:bottom w:val="single" w:color="auto" w:sz="4" w:space="0"/>
              <w:right w:val="single" w:color="auto" w:sz="4" w:space="0"/>
            </w:tcBorders>
            <w:vAlign w:val="center"/>
          </w:tcPr>
          <w:p>
            <w:pPr>
              <w:pStyle w:val="35"/>
            </w:pP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2</w:t>
            </w:r>
            <w:r>
              <w:t>4</w:t>
            </w:r>
            <w:r>
              <w:rPr>
                <w:rFonts w:hint="eastAsia"/>
              </w:rPr>
              <w:t>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t>1000μg/m</w:t>
            </w:r>
            <w:r>
              <w:rPr>
                <w:vertAlign w:val="superscript"/>
              </w:rPr>
              <w:t>3</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bottom w:val="single" w:color="auto" w:sz="4" w:space="0"/>
            </w:tcBorders>
            <w:vAlign w:val="center"/>
          </w:tcPr>
          <w:p>
            <w:pPr>
              <w:pStyle w:val="35"/>
            </w:pPr>
            <w:r>
              <w:rPr>
                <w:rFonts w:hint="eastAsi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tcBorders>
              <w:top w:val="single" w:color="auto" w:sz="4" w:space="0"/>
              <w:left w:val="single" w:color="auto" w:sz="4" w:space="0"/>
              <w:right w:val="single" w:color="auto" w:sz="4" w:space="0"/>
            </w:tcBorders>
            <w:vAlign w:val="center"/>
          </w:tcPr>
          <w:p>
            <w:pPr>
              <w:pStyle w:val="35"/>
            </w:pPr>
            <w:r>
              <w:rPr>
                <w:rFonts w:hint="eastAsia"/>
              </w:rPr>
              <w:t>乙二醇</w:t>
            </w: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rPr>
                <w:szCs w:val="21"/>
              </w:rPr>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521" w:type="pct"/>
            <w:tcBorders>
              <w:top w:val="single" w:color="auto" w:sz="4" w:space="0"/>
              <w:left w:val="single" w:color="auto" w:sz="4" w:space="0"/>
              <w:bottom w:val="single" w:color="auto" w:sz="4" w:space="0"/>
            </w:tcBorders>
            <w:vAlign w:val="center"/>
          </w:tcPr>
          <w:p>
            <w:pPr>
              <w:pStyle w:val="35"/>
            </w:pPr>
            <w:r>
              <w:rPr>
                <w:rFonts w:hint="eastAsia"/>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tcBorders>
              <w:top w:val="single" w:color="auto" w:sz="4" w:space="0"/>
              <w:left w:val="single" w:color="auto" w:sz="4" w:space="0"/>
              <w:right w:val="single" w:color="auto" w:sz="4" w:space="0"/>
            </w:tcBorders>
            <w:vAlign w:val="center"/>
          </w:tcPr>
          <w:p>
            <w:pPr>
              <w:jc w:val="center"/>
              <w:rPr>
                <w:szCs w:val="21"/>
              </w:rPr>
            </w:pPr>
            <w:r>
              <w:rPr>
                <w:rFonts w:hint="eastAsia"/>
                <w:szCs w:val="21"/>
              </w:rPr>
              <w:t>非甲烷总烃</w:t>
            </w:r>
          </w:p>
        </w:tc>
        <w:tc>
          <w:tcPr>
            <w:tcW w:w="670" w:type="pct"/>
            <w:tcBorders>
              <w:top w:val="single" w:color="auto" w:sz="4" w:space="0"/>
              <w:left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right w:val="single" w:color="auto" w:sz="4" w:space="0"/>
            </w:tcBorders>
            <w:vAlign w:val="center"/>
          </w:tcPr>
          <w:p>
            <w:pPr>
              <w:pStyle w:val="35"/>
            </w:pPr>
            <w:r>
              <w:rPr>
                <w:rFonts w:hint="eastAsia"/>
              </w:rPr>
              <w:t>2.0</w:t>
            </w:r>
            <w:r>
              <w:t>mg/m</w:t>
            </w:r>
            <w:r>
              <w:rPr>
                <w:vertAlign w:val="superscript"/>
              </w:rPr>
              <w:t>3</w:t>
            </w:r>
          </w:p>
        </w:tc>
        <w:tc>
          <w:tcPr>
            <w:tcW w:w="673" w:type="pct"/>
            <w:tcBorders>
              <w:top w:val="single" w:color="auto" w:sz="4" w:space="0"/>
              <w:left w:val="single" w:color="auto" w:sz="4" w:space="0"/>
              <w:right w:val="single" w:color="auto" w:sz="4" w:space="0"/>
            </w:tcBorders>
            <w:vAlign w:val="center"/>
          </w:tcPr>
          <w:p>
            <w:pPr>
              <w:pStyle w:val="35"/>
              <w:rPr>
                <w:szCs w:val="21"/>
              </w:rPr>
            </w:pPr>
            <w:r>
              <w:rPr>
                <w:rFonts w:hint="eastAsia"/>
                <w:szCs w:val="21"/>
              </w:rPr>
              <w:t>0.28~0.79</w:t>
            </w:r>
          </w:p>
        </w:tc>
        <w:tc>
          <w:tcPr>
            <w:tcW w:w="511" w:type="pct"/>
            <w:tcBorders>
              <w:top w:val="single" w:color="auto" w:sz="4" w:space="0"/>
              <w:left w:val="single" w:color="auto" w:sz="4" w:space="0"/>
              <w:right w:val="single" w:color="auto" w:sz="4" w:space="0"/>
            </w:tcBorders>
            <w:vAlign w:val="center"/>
          </w:tcPr>
          <w:p>
            <w:pPr>
              <w:pStyle w:val="35"/>
            </w:pPr>
            <w:r>
              <w:rPr>
                <w:rFonts w:hint="eastAsia"/>
              </w:rPr>
              <w:t>39.5</w:t>
            </w:r>
          </w:p>
        </w:tc>
        <w:tc>
          <w:tcPr>
            <w:tcW w:w="416" w:type="pct"/>
            <w:tcBorders>
              <w:top w:val="single" w:color="auto" w:sz="4" w:space="0"/>
              <w:left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bottom w:val="single" w:color="auto" w:sz="4" w:space="0"/>
            </w:tcBorders>
            <w:vAlign w:val="center"/>
          </w:tcPr>
          <w:p>
            <w:pPr>
              <w:pStyle w:val="35"/>
            </w:pPr>
            <w:r>
              <w:rPr>
                <w:rFonts w:hint="eastAsi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restart"/>
            <w:tcBorders>
              <w:right w:val="single" w:color="auto" w:sz="4" w:space="0"/>
            </w:tcBorders>
            <w:vAlign w:val="center"/>
          </w:tcPr>
          <w:p>
            <w:pPr>
              <w:pStyle w:val="35"/>
            </w:pPr>
            <w:r>
              <w:rPr>
                <w:rFonts w:hint="eastAsia"/>
              </w:rPr>
              <w:t>濮阳职业技术学院</w:t>
            </w:r>
          </w:p>
        </w:tc>
        <w:tc>
          <w:tcPr>
            <w:tcW w:w="762" w:type="pct"/>
            <w:vMerge w:val="restart"/>
            <w:tcBorders>
              <w:top w:val="single" w:color="auto" w:sz="4" w:space="0"/>
              <w:left w:val="single" w:color="auto" w:sz="4" w:space="0"/>
              <w:right w:val="single" w:color="auto" w:sz="4" w:space="0"/>
            </w:tcBorders>
            <w:vAlign w:val="center"/>
          </w:tcPr>
          <w:p>
            <w:pPr>
              <w:pStyle w:val="35"/>
            </w:pPr>
            <w:r>
              <w:rPr>
                <w:rFonts w:hint="eastAsia"/>
              </w:rPr>
              <w:t>甲醇</w:t>
            </w: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t>3000 μg/m</w:t>
            </w:r>
            <w:r>
              <w:rPr>
                <w:vertAlign w:val="superscript"/>
              </w:rPr>
              <w:t>3</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bottom w:val="single" w:color="auto" w:sz="4" w:space="0"/>
            </w:tcBorders>
            <w:vAlign w:val="center"/>
          </w:tcPr>
          <w:p>
            <w:pPr>
              <w:pStyle w:val="35"/>
            </w:pPr>
            <w:r>
              <w:rPr>
                <w:rFonts w:hint="eastAsi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vMerge w:val="continue"/>
            <w:tcBorders>
              <w:left w:val="single" w:color="auto" w:sz="4" w:space="0"/>
              <w:bottom w:val="single" w:color="auto" w:sz="4" w:space="0"/>
              <w:right w:val="single" w:color="auto" w:sz="4" w:space="0"/>
            </w:tcBorders>
            <w:vAlign w:val="center"/>
          </w:tcPr>
          <w:p>
            <w:pPr>
              <w:pStyle w:val="35"/>
            </w:pP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2</w:t>
            </w:r>
            <w:r>
              <w:t>4</w:t>
            </w:r>
            <w:r>
              <w:rPr>
                <w:rFonts w:hint="eastAsia"/>
              </w:rPr>
              <w:t>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t>1000μg/m</w:t>
            </w:r>
            <w:r>
              <w:rPr>
                <w:vertAlign w:val="superscript"/>
              </w:rPr>
              <w:t>3</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bottom w:val="single" w:color="auto" w:sz="4" w:space="0"/>
            </w:tcBorders>
            <w:vAlign w:val="center"/>
          </w:tcPr>
          <w:p>
            <w:pPr>
              <w:pStyle w:val="35"/>
            </w:pPr>
            <w:r>
              <w:rPr>
                <w:rFonts w:hint="eastAsi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乙二醇</w:t>
            </w:r>
          </w:p>
        </w:tc>
        <w:tc>
          <w:tcPr>
            <w:tcW w:w="670"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673" w:type="pct"/>
            <w:tcBorders>
              <w:top w:val="single" w:color="auto" w:sz="4" w:space="0"/>
              <w:left w:val="single" w:color="auto" w:sz="4" w:space="0"/>
              <w:bottom w:val="single" w:color="auto" w:sz="4" w:space="0"/>
              <w:right w:val="single" w:color="auto" w:sz="4" w:space="0"/>
            </w:tcBorders>
            <w:vAlign w:val="center"/>
          </w:tcPr>
          <w:p>
            <w:pPr>
              <w:pStyle w:val="35"/>
            </w:pPr>
            <w:r>
              <w:t>ND</w:t>
            </w:r>
          </w:p>
        </w:tc>
        <w:tc>
          <w:tcPr>
            <w:tcW w:w="511"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416" w:type="pct"/>
            <w:tcBorders>
              <w:top w:val="single" w:color="auto" w:sz="4" w:space="0"/>
              <w:left w:val="single" w:color="auto" w:sz="4" w:space="0"/>
              <w:bottom w:val="single" w:color="auto" w:sz="4" w:space="0"/>
              <w:right w:val="single" w:color="auto" w:sz="4" w:space="0"/>
            </w:tcBorders>
            <w:vAlign w:val="center"/>
          </w:tcPr>
          <w:p>
            <w:pPr>
              <w:pStyle w:val="35"/>
            </w:pPr>
            <w:r>
              <w:rPr>
                <w:rFonts w:hint="eastAsia"/>
              </w:rPr>
              <w:t>/</w:t>
            </w:r>
          </w:p>
        </w:tc>
        <w:tc>
          <w:tcPr>
            <w:tcW w:w="521" w:type="pct"/>
            <w:tcBorders>
              <w:top w:val="single" w:color="auto" w:sz="4" w:space="0"/>
              <w:left w:val="single" w:color="auto" w:sz="4" w:space="0"/>
              <w:bottom w:val="single" w:color="auto" w:sz="4" w:space="0"/>
            </w:tcBorders>
            <w:vAlign w:val="center"/>
          </w:tcPr>
          <w:p>
            <w:pPr>
              <w:pStyle w:val="35"/>
            </w:pPr>
            <w:r>
              <w:rPr>
                <w:rFonts w:hint="eastAsia"/>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27" w:type="pct"/>
            <w:vMerge w:val="continue"/>
            <w:tcBorders>
              <w:right w:val="single" w:color="auto" w:sz="4" w:space="0"/>
            </w:tcBorders>
            <w:vAlign w:val="center"/>
          </w:tcPr>
          <w:p>
            <w:pPr>
              <w:pStyle w:val="35"/>
            </w:pPr>
          </w:p>
        </w:tc>
        <w:tc>
          <w:tcPr>
            <w:tcW w:w="762" w:type="pct"/>
            <w:tcBorders>
              <w:top w:val="single" w:color="auto" w:sz="4" w:space="0"/>
              <w:left w:val="single" w:color="auto" w:sz="4" w:space="0"/>
              <w:right w:val="single" w:color="auto" w:sz="4" w:space="0"/>
            </w:tcBorders>
            <w:vAlign w:val="center"/>
          </w:tcPr>
          <w:p>
            <w:pPr>
              <w:jc w:val="center"/>
              <w:rPr>
                <w:szCs w:val="21"/>
              </w:rPr>
            </w:pPr>
            <w:r>
              <w:rPr>
                <w:rFonts w:hint="eastAsia"/>
                <w:szCs w:val="21"/>
              </w:rPr>
              <w:t>非甲烷总烃</w:t>
            </w:r>
          </w:p>
        </w:tc>
        <w:tc>
          <w:tcPr>
            <w:tcW w:w="670" w:type="pct"/>
            <w:tcBorders>
              <w:top w:val="single" w:color="auto" w:sz="4" w:space="0"/>
              <w:left w:val="single" w:color="auto" w:sz="4" w:space="0"/>
              <w:right w:val="single" w:color="auto" w:sz="4" w:space="0"/>
            </w:tcBorders>
            <w:vAlign w:val="center"/>
          </w:tcPr>
          <w:p>
            <w:pPr>
              <w:pStyle w:val="35"/>
            </w:pPr>
            <w:r>
              <w:rPr>
                <w:rFonts w:hint="eastAsia"/>
              </w:rPr>
              <w:t>1小时平均</w:t>
            </w:r>
          </w:p>
        </w:tc>
        <w:tc>
          <w:tcPr>
            <w:tcW w:w="817" w:type="pct"/>
            <w:tcBorders>
              <w:top w:val="single" w:color="auto" w:sz="4" w:space="0"/>
              <w:left w:val="single" w:color="auto" w:sz="4" w:space="0"/>
              <w:right w:val="single" w:color="auto" w:sz="4" w:space="0"/>
            </w:tcBorders>
            <w:vAlign w:val="center"/>
          </w:tcPr>
          <w:p>
            <w:pPr>
              <w:pStyle w:val="35"/>
            </w:pPr>
            <w:r>
              <w:rPr>
                <w:rFonts w:hint="eastAsia"/>
              </w:rPr>
              <w:t>2.0</w:t>
            </w:r>
            <w:r>
              <w:t>mg/m</w:t>
            </w:r>
            <w:r>
              <w:rPr>
                <w:vertAlign w:val="superscript"/>
              </w:rPr>
              <w:t>3</w:t>
            </w:r>
          </w:p>
        </w:tc>
        <w:tc>
          <w:tcPr>
            <w:tcW w:w="673" w:type="pct"/>
            <w:tcBorders>
              <w:top w:val="single" w:color="auto" w:sz="4" w:space="0"/>
              <w:left w:val="single" w:color="auto" w:sz="4" w:space="0"/>
              <w:right w:val="single" w:color="auto" w:sz="4" w:space="0"/>
            </w:tcBorders>
            <w:vAlign w:val="center"/>
          </w:tcPr>
          <w:p>
            <w:pPr>
              <w:pStyle w:val="35"/>
            </w:pPr>
            <w:r>
              <w:rPr>
                <w:rFonts w:hint="eastAsia"/>
              </w:rPr>
              <w:t>0.32~0.77</w:t>
            </w:r>
          </w:p>
        </w:tc>
        <w:tc>
          <w:tcPr>
            <w:tcW w:w="511" w:type="pct"/>
            <w:tcBorders>
              <w:top w:val="single" w:color="auto" w:sz="4" w:space="0"/>
              <w:left w:val="single" w:color="auto" w:sz="4" w:space="0"/>
              <w:right w:val="single" w:color="auto" w:sz="4" w:space="0"/>
            </w:tcBorders>
            <w:vAlign w:val="center"/>
          </w:tcPr>
          <w:p>
            <w:pPr>
              <w:pStyle w:val="35"/>
            </w:pPr>
            <w:r>
              <w:rPr>
                <w:rFonts w:hint="eastAsia"/>
              </w:rPr>
              <w:t>38.5</w:t>
            </w:r>
          </w:p>
        </w:tc>
        <w:tc>
          <w:tcPr>
            <w:tcW w:w="416" w:type="pct"/>
            <w:tcBorders>
              <w:top w:val="single" w:color="auto" w:sz="4" w:space="0"/>
              <w:left w:val="single" w:color="auto" w:sz="4" w:space="0"/>
              <w:right w:val="single" w:color="auto" w:sz="4" w:space="0"/>
            </w:tcBorders>
            <w:vAlign w:val="center"/>
          </w:tcPr>
          <w:p>
            <w:pPr>
              <w:pStyle w:val="35"/>
            </w:pPr>
            <w:r>
              <w:rPr>
                <w:rFonts w:hint="eastAsia"/>
              </w:rPr>
              <w:t>0</w:t>
            </w:r>
          </w:p>
        </w:tc>
        <w:tc>
          <w:tcPr>
            <w:tcW w:w="521" w:type="pct"/>
            <w:tcBorders>
              <w:top w:val="single" w:color="auto" w:sz="4" w:space="0"/>
              <w:left w:val="single" w:color="auto" w:sz="4" w:space="0"/>
            </w:tcBorders>
            <w:vAlign w:val="center"/>
          </w:tcPr>
          <w:p>
            <w:pPr>
              <w:pStyle w:val="35"/>
            </w:pPr>
            <w:r>
              <w:rPr>
                <w:rFonts w:hint="eastAsia"/>
              </w:rPr>
              <w:t>达标</w:t>
            </w:r>
          </w:p>
        </w:tc>
      </w:tr>
    </w:tbl>
    <w:p>
      <w:pPr>
        <w:pStyle w:val="59"/>
        <w:ind w:firstLine="420" w:firstLineChars="200"/>
      </w:pPr>
      <w:r>
        <w:rPr>
          <w:rFonts w:hint="eastAsia"/>
        </w:rPr>
        <w:t>注：</w:t>
      </w: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ND</w:t>
      </w:r>
      <w:r>
        <w:rPr>
          <w:rFonts w:hint="eastAsia"/>
        </w:rPr>
        <w:t>表示未检出；</w:t>
      </w: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对于没有环境质量标准、只</w:t>
      </w:r>
      <w:r>
        <w:t>留现状值</w:t>
      </w:r>
      <w:r>
        <w:rPr>
          <w:rFonts w:hint="eastAsia"/>
        </w:rPr>
        <w:t>的污染物，不再评价达标情况。</w:t>
      </w:r>
    </w:p>
    <w:p>
      <w:pPr>
        <w:pStyle w:val="27"/>
        <w:ind w:firstLine="560"/>
      </w:pPr>
      <w:r>
        <w:rPr>
          <w:rFonts w:hint="eastAsia"/>
        </w:rPr>
        <w:t>由表4.3-6可知，两次监测期间评价区域内各监测点位其他污染物均不超标。</w:t>
      </w:r>
    </w:p>
    <w:p>
      <w:pPr>
        <w:pStyle w:val="5"/>
        <w:adjustRightInd w:val="0"/>
        <w:snapToGrid w:val="0"/>
        <w:spacing w:before="0" w:after="0" w:line="520" w:lineRule="exact"/>
        <w:rPr>
          <w:rFonts w:eastAsia="楷体_GB2312"/>
          <w:sz w:val="28"/>
          <w:szCs w:val="22"/>
        </w:rPr>
      </w:pPr>
      <w:r>
        <w:rPr>
          <w:rFonts w:eastAsia="楷体_GB2312"/>
          <w:sz w:val="28"/>
          <w:szCs w:val="22"/>
        </w:rPr>
        <w:t>4.</w:t>
      </w:r>
      <w:r>
        <w:rPr>
          <w:rFonts w:hint="eastAsia" w:eastAsia="楷体_GB2312"/>
          <w:sz w:val="28"/>
          <w:szCs w:val="22"/>
        </w:rPr>
        <w:t>3.</w:t>
      </w:r>
      <w:r>
        <w:rPr>
          <w:rFonts w:eastAsia="楷体_GB2312"/>
          <w:sz w:val="28"/>
          <w:szCs w:val="22"/>
        </w:rPr>
        <w:t>2 地表水环境质量现状</w:t>
      </w:r>
      <w:r>
        <w:rPr>
          <w:rFonts w:hint="eastAsia" w:eastAsia="楷体_GB2312"/>
          <w:sz w:val="28"/>
          <w:szCs w:val="22"/>
        </w:rPr>
        <w:t>调查</w:t>
      </w:r>
      <w:r>
        <w:rPr>
          <w:rFonts w:eastAsia="楷体_GB2312"/>
          <w:sz w:val="28"/>
          <w:szCs w:val="22"/>
        </w:rPr>
        <w:t>与评价</w:t>
      </w:r>
    </w:p>
    <w:p>
      <w:pPr>
        <w:pStyle w:val="27"/>
        <w:ind w:firstLine="560"/>
        <w:rPr>
          <w:szCs w:val="20"/>
        </w:rPr>
      </w:pPr>
      <w:r>
        <w:rPr>
          <w:rFonts w:hint="eastAsia"/>
          <w:szCs w:val="20"/>
        </w:rPr>
        <w:t>本次</w:t>
      </w:r>
      <w:r>
        <w:rPr>
          <w:szCs w:val="20"/>
        </w:rPr>
        <w:t>地表水环境质量现状数据</w:t>
      </w:r>
      <w:r>
        <w:rPr>
          <w:rFonts w:hint="eastAsia"/>
          <w:szCs w:val="20"/>
        </w:rPr>
        <w:t>引用濮阳</w:t>
      </w:r>
      <w:r>
        <w:rPr>
          <w:szCs w:val="20"/>
        </w:rPr>
        <w:t>市</w:t>
      </w:r>
      <w:r>
        <w:rPr>
          <w:rFonts w:hint="eastAsia"/>
          <w:szCs w:val="20"/>
        </w:rPr>
        <w:t>人民政府网</w:t>
      </w:r>
      <w:r>
        <w:rPr>
          <w:szCs w:val="20"/>
        </w:rPr>
        <w:t>站</w:t>
      </w:r>
      <w:r>
        <w:rPr>
          <w:rFonts w:hint="eastAsia"/>
          <w:szCs w:val="20"/>
        </w:rPr>
        <w:t>公开发布的</w:t>
      </w:r>
      <w:r>
        <w:rPr>
          <w:szCs w:val="20"/>
        </w:rPr>
        <w:t>2020</w:t>
      </w:r>
      <w:r>
        <w:rPr>
          <w:rFonts w:hint="eastAsia"/>
          <w:szCs w:val="20"/>
        </w:rPr>
        <w:t>年1月~11月濮阳市环境质量月报中的数据，引用断面为马颊河南乐水文站，具体监测结果见表4.3-8</w:t>
      </w:r>
      <w:r>
        <w:rPr>
          <w:szCs w:val="20"/>
        </w:rPr>
        <w:t>。</w:t>
      </w:r>
    </w:p>
    <w:p>
      <w:pPr>
        <w:pStyle w:val="32"/>
      </w:pPr>
      <w:r>
        <w:rPr>
          <w:rFonts w:hint="eastAsia"/>
        </w:rPr>
        <w:t>表4.3-8</w:t>
      </w:r>
      <w:r>
        <w:t xml:space="preserve">         </w:t>
      </w:r>
      <w:r>
        <w:rPr>
          <w:rFonts w:hint="eastAsia"/>
        </w:rPr>
        <w:t xml:space="preserve">  </w:t>
      </w:r>
      <w:r>
        <w:t xml:space="preserve">  </w:t>
      </w:r>
      <w:r>
        <w:rPr>
          <w:rFonts w:hint="eastAsia"/>
        </w:rPr>
        <w:t>马颊河南乐水文站</w:t>
      </w:r>
      <w:r>
        <w:t>监测数据一览表</w:t>
      </w:r>
    </w:p>
    <w:tbl>
      <w:tblPr>
        <w:tblStyle w:val="21"/>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154"/>
        <w:gridCol w:w="1557"/>
        <w:gridCol w:w="554"/>
        <w:gridCol w:w="1136"/>
        <w:gridCol w:w="1025"/>
        <w:gridCol w:w="1159"/>
        <w:gridCol w:w="550"/>
        <w:gridCol w:w="8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1203" w:type="pct"/>
            <w:vMerge w:val="restart"/>
            <w:vAlign w:val="center"/>
          </w:tcPr>
          <w:p>
            <w:pPr>
              <w:adjustRightInd w:val="0"/>
              <w:snapToGrid w:val="0"/>
              <w:spacing w:line="280" w:lineRule="exact"/>
              <w:jc w:val="center"/>
              <w:rPr>
                <w:b/>
                <w:bCs/>
                <w:szCs w:val="21"/>
              </w:rPr>
            </w:pPr>
            <w:r>
              <w:rPr>
                <w:b/>
                <w:bCs/>
                <w:szCs w:val="21"/>
              </w:rPr>
              <w:t>监测断面</w:t>
            </w:r>
          </w:p>
        </w:tc>
        <w:tc>
          <w:tcPr>
            <w:tcW w:w="869" w:type="pct"/>
            <w:vMerge w:val="restart"/>
            <w:vAlign w:val="center"/>
          </w:tcPr>
          <w:p>
            <w:pPr>
              <w:adjustRightInd w:val="0"/>
              <w:snapToGrid w:val="0"/>
              <w:spacing w:line="280" w:lineRule="exact"/>
              <w:jc w:val="center"/>
              <w:rPr>
                <w:b/>
                <w:bCs/>
                <w:szCs w:val="21"/>
              </w:rPr>
            </w:pPr>
            <w:r>
              <w:rPr>
                <w:b/>
                <w:bCs/>
                <w:szCs w:val="21"/>
              </w:rPr>
              <w:t>监测时间</w:t>
            </w:r>
          </w:p>
        </w:tc>
        <w:tc>
          <w:tcPr>
            <w:tcW w:w="308" w:type="pct"/>
            <w:vMerge w:val="restart"/>
            <w:vAlign w:val="center"/>
          </w:tcPr>
          <w:p>
            <w:pPr>
              <w:adjustRightInd w:val="0"/>
              <w:snapToGrid w:val="0"/>
              <w:spacing w:line="280" w:lineRule="exact"/>
              <w:jc w:val="center"/>
              <w:rPr>
                <w:b/>
                <w:bCs/>
                <w:szCs w:val="21"/>
              </w:rPr>
            </w:pPr>
            <w:r>
              <w:rPr>
                <w:rFonts w:hint="eastAsia"/>
                <w:b/>
                <w:bCs/>
                <w:szCs w:val="21"/>
              </w:rPr>
              <w:t>水质</w:t>
            </w:r>
          </w:p>
          <w:p>
            <w:pPr>
              <w:adjustRightInd w:val="0"/>
              <w:snapToGrid w:val="0"/>
              <w:spacing w:line="280" w:lineRule="exact"/>
              <w:jc w:val="center"/>
              <w:rPr>
                <w:b/>
                <w:bCs/>
                <w:szCs w:val="21"/>
              </w:rPr>
            </w:pPr>
            <w:r>
              <w:rPr>
                <w:rFonts w:hint="eastAsia"/>
                <w:b/>
                <w:bCs/>
                <w:szCs w:val="21"/>
              </w:rPr>
              <w:t>目标</w:t>
            </w:r>
          </w:p>
        </w:tc>
        <w:tc>
          <w:tcPr>
            <w:tcW w:w="1853" w:type="pct"/>
            <w:gridSpan w:val="3"/>
            <w:vAlign w:val="center"/>
          </w:tcPr>
          <w:p>
            <w:pPr>
              <w:adjustRightInd w:val="0"/>
              <w:snapToGrid w:val="0"/>
              <w:spacing w:line="280" w:lineRule="exact"/>
              <w:jc w:val="center"/>
              <w:rPr>
                <w:b/>
                <w:bCs/>
                <w:szCs w:val="21"/>
              </w:rPr>
            </w:pPr>
            <w:r>
              <w:rPr>
                <w:rFonts w:hint="eastAsia"/>
                <w:b/>
                <w:bCs/>
                <w:szCs w:val="21"/>
              </w:rPr>
              <w:t>主要污染物监测值（mg/L）</w:t>
            </w:r>
          </w:p>
        </w:tc>
        <w:tc>
          <w:tcPr>
            <w:tcW w:w="307" w:type="pct"/>
            <w:vMerge w:val="restart"/>
            <w:vAlign w:val="center"/>
          </w:tcPr>
          <w:p>
            <w:pPr>
              <w:adjustRightInd w:val="0"/>
              <w:snapToGrid w:val="0"/>
              <w:spacing w:line="280" w:lineRule="exact"/>
              <w:jc w:val="center"/>
              <w:rPr>
                <w:b/>
                <w:bCs/>
                <w:szCs w:val="21"/>
              </w:rPr>
            </w:pPr>
            <w:r>
              <w:rPr>
                <w:rFonts w:hint="eastAsia"/>
                <w:b/>
                <w:bCs/>
                <w:szCs w:val="21"/>
              </w:rPr>
              <w:t>是否</w:t>
            </w:r>
          </w:p>
          <w:p>
            <w:pPr>
              <w:adjustRightInd w:val="0"/>
              <w:snapToGrid w:val="0"/>
              <w:spacing w:line="280" w:lineRule="exact"/>
              <w:jc w:val="center"/>
              <w:rPr>
                <w:b/>
                <w:bCs/>
                <w:szCs w:val="21"/>
              </w:rPr>
            </w:pPr>
            <w:r>
              <w:rPr>
                <w:rFonts w:hint="eastAsia"/>
                <w:b/>
                <w:bCs/>
                <w:szCs w:val="21"/>
              </w:rPr>
              <w:t>达标</w:t>
            </w:r>
          </w:p>
        </w:tc>
        <w:tc>
          <w:tcPr>
            <w:tcW w:w="457" w:type="pct"/>
            <w:vMerge w:val="restart"/>
            <w:vAlign w:val="center"/>
          </w:tcPr>
          <w:p>
            <w:pPr>
              <w:adjustRightInd w:val="0"/>
              <w:snapToGrid w:val="0"/>
              <w:spacing w:line="280" w:lineRule="exact"/>
              <w:jc w:val="center"/>
              <w:rPr>
                <w:b/>
                <w:bCs/>
                <w:szCs w:val="21"/>
              </w:rPr>
            </w:pPr>
            <w:r>
              <w:rPr>
                <w:rFonts w:hint="eastAsia"/>
                <w:b/>
                <w:bCs/>
                <w:szCs w:val="21"/>
              </w:rPr>
              <w:t>累计超</w:t>
            </w:r>
          </w:p>
          <w:p>
            <w:pPr>
              <w:adjustRightInd w:val="0"/>
              <w:snapToGrid w:val="0"/>
              <w:spacing w:line="280" w:lineRule="exact"/>
              <w:jc w:val="center"/>
              <w:rPr>
                <w:b/>
                <w:bCs/>
                <w:szCs w:val="21"/>
              </w:rPr>
            </w:pPr>
            <w:r>
              <w:rPr>
                <w:rFonts w:hint="eastAsia"/>
                <w:b/>
                <w:bCs/>
                <w:szCs w:val="21"/>
              </w:rPr>
              <w:t>标月数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1203" w:type="pct"/>
            <w:vMerge w:val="continue"/>
            <w:vAlign w:val="center"/>
          </w:tcPr>
          <w:p>
            <w:pPr>
              <w:adjustRightInd w:val="0"/>
              <w:snapToGrid w:val="0"/>
              <w:spacing w:line="280" w:lineRule="exact"/>
              <w:jc w:val="center"/>
              <w:rPr>
                <w:b/>
                <w:bCs/>
                <w:szCs w:val="21"/>
              </w:rPr>
            </w:pPr>
          </w:p>
        </w:tc>
        <w:tc>
          <w:tcPr>
            <w:tcW w:w="869" w:type="pct"/>
            <w:vMerge w:val="continue"/>
            <w:vAlign w:val="center"/>
          </w:tcPr>
          <w:p>
            <w:pPr>
              <w:adjustRightInd w:val="0"/>
              <w:snapToGrid w:val="0"/>
              <w:spacing w:line="280" w:lineRule="exact"/>
              <w:jc w:val="center"/>
              <w:rPr>
                <w:b/>
                <w:bCs/>
                <w:szCs w:val="21"/>
              </w:rPr>
            </w:pPr>
          </w:p>
        </w:tc>
        <w:tc>
          <w:tcPr>
            <w:tcW w:w="308" w:type="pct"/>
            <w:vMerge w:val="continue"/>
            <w:vAlign w:val="center"/>
          </w:tcPr>
          <w:p>
            <w:pPr>
              <w:adjustRightInd w:val="0"/>
              <w:snapToGrid w:val="0"/>
              <w:spacing w:line="280" w:lineRule="exact"/>
              <w:jc w:val="center"/>
              <w:rPr>
                <w:b/>
                <w:bCs/>
                <w:szCs w:val="21"/>
              </w:rPr>
            </w:pPr>
          </w:p>
        </w:tc>
        <w:tc>
          <w:tcPr>
            <w:tcW w:w="634" w:type="pct"/>
            <w:vAlign w:val="center"/>
          </w:tcPr>
          <w:p>
            <w:pPr>
              <w:adjustRightInd w:val="0"/>
              <w:snapToGrid w:val="0"/>
              <w:spacing w:line="280" w:lineRule="exact"/>
              <w:jc w:val="center"/>
              <w:rPr>
                <w:b/>
                <w:bCs/>
                <w:szCs w:val="21"/>
              </w:rPr>
            </w:pPr>
            <w:r>
              <w:rPr>
                <w:b/>
                <w:bCs/>
                <w:szCs w:val="21"/>
              </w:rPr>
              <w:t>COD</w:t>
            </w:r>
          </w:p>
        </w:tc>
        <w:tc>
          <w:tcPr>
            <w:tcW w:w="572" w:type="pct"/>
            <w:vAlign w:val="center"/>
          </w:tcPr>
          <w:p>
            <w:pPr>
              <w:adjustRightInd w:val="0"/>
              <w:snapToGrid w:val="0"/>
              <w:spacing w:line="280" w:lineRule="exact"/>
              <w:jc w:val="center"/>
              <w:rPr>
                <w:b/>
                <w:bCs/>
                <w:szCs w:val="21"/>
              </w:rPr>
            </w:pPr>
            <w:r>
              <w:rPr>
                <w:b/>
                <w:bCs/>
                <w:szCs w:val="21"/>
              </w:rPr>
              <w:t>氨氮</w:t>
            </w:r>
          </w:p>
        </w:tc>
        <w:tc>
          <w:tcPr>
            <w:tcW w:w="646" w:type="pct"/>
            <w:vAlign w:val="center"/>
          </w:tcPr>
          <w:p>
            <w:pPr>
              <w:adjustRightInd w:val="0"/>
              <w:snapToGrid w:val="0"/>
              <w:spacing w:line="280" w:lineRule="exact"/>
              <w:jc w:val="center"/>
              <w:rPr>
                <w:b/>
                <w:bCs/>
                <w:szCs w:val="21"/>
              </w:rPr>
            </w:pPr>
            <w:r>
              <w:rPr>
                <w:b/>
                <w:bCs/>
                <w:szCs w:val="21"/>
              </w:rPr>
              <w:t>总磷</w:t>
            </w:r>
          </w:p>
        </w:tc>
        <w:tc>
          <w:tcPr>
            <w:tcW w:w="307" w:type="pct"/>
            <w:vMerge w:val="continue"/>
            <w:vAlign w:val="center"/>
          </w:tcPr>
          <w:p>
            <w:pPr>
              <w:adjustRightInd w:val="0"/>
              <w:snapToGrid w:val="0"/>
              <w:spacing w:line="280" w:lineRule="exact"/>
              <w:jc w:val="center"/>
              <w:rPr>
                <w:b/>
                <w:bCs/>
                <w:szCs w:val="21"/>
              </w:rPr>
            </w:pPr>
          </w:p>
        </w:tc>
        <w:tc>
          <w:tcPr>
            <w:tcW w:w="457" w:type="pct"/>
            <w:vMerge w:val="continue"/>
            <w:vAlign w:val="center"/>
          </w:tcPr>
          <w:p>
            <w:pPr>
              <w:adjustRightInd w:val="0"/>
              <w:snapToGrid w:val="0"/>
              <w:spacing w:line="280" w:lineRule="exact"/>
              <w:jc w:val="center"/>
              <w:rPr>
                <w:b/>
                <w:bCs/>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restart"/>
            <w:vAlign w:val="center"/>
          </w:tcPr>
          <w:p>
            <w:pPr>
              <w:adjustRightInd w:val="0"/>
              <w:snapToGrid w:val="0"/>
              <w:spacing w:line="280" w:lineRule="exact"/>
              <w:jc w:val="center"/>
              <w:rPr>
                <w:szCs w:val="21"/>
              </w:rPr>
            </w:pPr>
            <w:r>
              <w:rPr>
                <w:rFonts w:hint="eastAsia"/>
                <w:szCs w:val="21"/>
              </w:rPr>
              <w:t>马颊河南乐水文站</w:t>
            </w:r>
          </w:p>
        </w:tc>
        <w:tc>
          <w:tcPr>
            <w:tcW w:w="869" w:type="pct"/>
            <w:vAlign w:val="center"/>
          </w:tcPr>
          <w:p>
            <w:pPr>
              <w:adjustRightInd w:val="0"/>
              <w:snapToGrid w:val="0"/>
              <w:spacing w:line="280" w:lineRule="exact"/>
              <w:jc w:val="center"/>
              <w:rPr>
                <w:szCs w:val="21"/>
              </w:rPr>
            </w:pPr>
            <w:r>
              <w:rPr>
                <w:szCs w:val="21"/>
              </w:rPr>
              <w:t>2020年1月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17</w:t>
            </w:r>
          </w:p>
        </w:tc>
        <w:tc>
          <w:tcPr>
            <w:tcW w:w="572" w:type="pct"/>
            <w:vAlign w:val="center"/>
          </w:tcPr>
          <w:p>
            <w:pPr>
              <w:adjustRightInd w:val="0"/>
              <w:snapToGrid w:val="0"/>
              <w:spacing w:line="280" w:lineRule="exact"/>
              <w:jc w:val="center"/>
              <w:rPr>
                <w:szCs w:val="21"/>
              </w:rPr>
            </w:pPr>
            <w:r>
              <w:rPr>
                <w:rFonts w:hint="eastAsia"/>
                <w:szCs w:val="21"/>
              </w:rPr>
              <w:t>0.8</w:t>
            </w:r>
          </w:p>
        </w:tc>
        <w:tc>
          <w:tcPr>
            <w:tcW w:w="646" w:type="pct"/>
            <w:vAlign w:val="center"/>
          </w:tcPr>
          <w:p>
            <w:pPr>
              <w:adjustRightInd w:val="0"/>
              <w:snapToGrid w:val="0"/>
              <w:spacing w:line="280" w:lineRule="exact"/>
              <w:jc w:val="center"/>
              <w:rPr>
                <w:szCs w:val="21"/>
              </w:rPr>
            </w:pPr>
            <w:r>
              <w:rPr>
                <w:rFonts w:hint="eastAsia"/>
                <w:szCs w:val="21"/>
              </w:rPr>
              <w:t>0.2</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2020年2月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17</w:t>
            </w:r>
          </w:p>
        </w:tc>
        <w:tc>
          <w:tcPr>
            <w:tcW w:w="572" w:type="pct"/>
            <w:vAlign w:val="center"/>
          </w:tcPr>
          <w:p>
            <w:pPr>
              <w:adjustRightInd w:val="0"/>
              <w:snapToGrid w:val="0"/>
              <w:spacing w:line="280" w:lineRule="exact"/>
              <w:jc w:val="center"/>
              <w:rPr>
                <w:szCs w:val="21"/>
              </w:rPr>
            </w:pPr>
            <w:r>
              <w:rPr>
                <w:rFonts w:hint="eastAsia"/>
                <w:szCs w:val="21"/>
              </w:rPr>
              <w:t>0.34</w:t>
            </w:r>
          </w:p>
        </w:tc>
        <w:tc>
          <w:tcPr>
            <w:tcW w:w="646" w:type="pct"/>
            <w:vAlign w:val="center"/>
          </w:tcPr>
          <w:p>
            <w:pPr>
              <w:adjustRightInd w:val="0"/>
              <w:snapToGrid w:val="0"/>
              <w:spacing w:line="280" w:lineRule="exact"/>
              <w:jc w:val="center"/>
              <w:rPr>
                <w:szCs w:val="21"/>
              </w:rPr>
            </w:pPr>
            <w:r>
              <w:rPr>
                <w:rFonts w:hint="eastAsia"/>
                <w:szCs w:val="21"/>
              </w:rPr>
              <w:t>0.088</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2020年3月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13</w:t>
            </w:r>
          </w:p>
        </w:tc>
        <w:tc>
          <w:tcPr>
            <w:tcW w:w="572" w:type="pct"/>
            <w:vAlign w:val="center"/>
          </w:tcPr>
          <w:p>
            <w:pPr>
              <w:adjustRightInd w:val="0"/>
              <w:snapToGrid w:val="0"/>
              <w:spacing w:line="280" w:lineRule="exact"/>
              <w:jc w:val="center"/>
              <w:rPr>
                <w:szCs w:val="21"/>
              </w:rPr>
            </w:pPr>
            <w:r>
              <w:rPr>
                <w:rFonts w:hint="eastAsia"/>
                <w:szCs w:val="21"/>
              </w:rPr>
              <w:t>0.05</w:t>
            </w:r>
          </w:p>
        </w:tc>
        <w:tc>
          <w:tcPr>
            <w:tcW w:w="646" w:type="pct"/>
            <w:vAlign w:val="center"/>
          </w:tcPr>
          <w:p>
            <w:pPr>
              <w:adjustRightInd w:val="0"/>
              <w:snapToGrid w:val="0"/>
              <w:spacing w:line="280" w:lineRule="exact"/>
              <w:jc w:val="center"/>
            </w:pPr>
            <w:r>
              <w:rPr>
                <w:rFonts w:hint="eastAsia"/>
              </w:rPr>
              <w:t>0</w:t>
            </w:r>
            <w:r>
              <w:rPr>
                <w:rFonts w:hint="eastAsia"/>
                <w:szCs w:val="21"/>
              </w:rPr>
              <w:t>.03</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2020年4月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14</w:t>
            </w:r>
          </w:p>
        </w:tc>
        <w:tc>
          <w:tcPr>
            <w:tcW w:w="572" w:type="pct"/>
            <w:vAlign w:val="center"/>
          </w:tcPr>
          <w:p>
            <w:pPr>
              <w:adjustRightInd w:val="0"/>
              <w:snapToGrid w:val="0"/>
              <w:spacing w:line="280" w:lineRule="exact"/>
              <w:jc w:val="center"/>
              <w:rPr>
                <w:szCs w:val="21"/>
              </w:rPr>
            </w:pPr>
            <w:r>
              <w:rPr>
                <w:rFonts w:hint="eastAsia"/>
                <w:szCs w:val="21"/>
              </w:rPr>
              <w:t>0.05</w:t>
            </w:r>
          </w:p>
        </w:tc>
        <w:tc>
          <w:tcPr>
            <w:tcW w:w="646" w:type="pct"/>
            <w:vAlign w:val="center"/>
          </w:tcPr>
          <w:p>
            <w:pPr>
              <w:adjustRightInd w:val="0"/>
              <w:snapToGrid w:val="0"/>
              <w:spacing w:line="280" w:lineRule="exact"/>
              <w:jc w:val="center"/>
              <w:rPr>
                <w:szCs w:val="21"/>
              </w:rPr>
            </w:pPr>
            <w:r>
              <w:rPr>
                <w:rFonts w:hint="eastAsia"/>
                <w:szCs w:val="21"/>
              </w:rPr>
              <w:t>0.02</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2020年5月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28</w:t>
            </w:r>
          </w:p>
        </w:tc>
        <w:tc>
          <w:tcPr>
            <w:tcW w:w="572" w:type="pct"/>
            <w:vAlign w:val="center"/>
          </w:tcPr>
          <w:p>
            <w:pPr>
              <w:adjustRightInd w:val="0"/>
              <w:snapToGrid w:val="0"/>
              <w:spacing w:line="280" w:lineRule="exact"/>
              <w:jc w:val="center"/>
              <w:rPr>
                <w:szCs w:val="21"/>
              </w:rPr>
            </w:pPr>
            <w:r>
              <w:rPr>
                <w:rFonts w:hint="eastAsia"/>
                <w:szCs w:val="21"/>
              </w:rPr>
              <w:t>0.16</w:t>
            </w:r>
          </w:p>
        </w:tc>
        <w:tc>
          <w:tcPr>
            <w:tcW w:w="646" w:type="pct"/>
            <w:vAlign w:val="center"/>
          </w:tcPr>
          <w:p>
            <w:pPr>
              <w:adjustRightInd w:val="0"/>
              <w:snapToGrid w:val="0"/>
              <w:spacing w:line="280" w:lineRule="exact"/>
              <w:jc w:val="center"/>
              <w:rPr>
                <w:szCs w:val="21"/>
              </w:rPr>
            </w:pPr>
            <w:r>
              <w:rPr>
                <w:rFonts w:hint="eastAsia"/>
                <w:szCs w:val="21"/>
              </w:rPr>
              <w:t>0.03</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2020年6月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28</w:t>
            </w:r>
          </w:p>
        </w:tc>
        <w:tc>
          <w:tcPr>
            <w:tcW w:w="572" w:type="pct"/>
            <w:vAlign w:val="center"/>
          </w:tcPr>
          <w:p>
            <w:pPr>
              <w:adjustRightInd w:val="0"/>
              <w:snapToGrid w:val="0"/>
              <w:spacing w:line="280" w:lineRule="exact"/>
              <w:jc w:val="center"/>
              <w:rPr>
                <w:szCs w:val="21"/>
              </w:rPr>
            </w:pPr>
            <w:r>
              <w:rPr>
                <w:rFonts w:hint="eastAsia"/>
                <w:szCs w:val="21"/>
              </w:rPr>
              <w:t>0.2</w:t>
            </w:r>
          </w:p>
        </w:tc>
        <w:tc>
          <w:tcPr>
            <w:tcW w:w="646" w:type="pct"/>
            <w:vAlign w:val="center"/>
          </w:tcPr>
          <w:p>
            <w:pPr>
              <w:adjustRightInd w:val="0"/>
              <w:snapToGrid w:val="0"/>
              <w:spacing w:line="280" w:lineRule="exact"/>
              <w:jc w:val="center"/>
              <w:rPr>
                <w:szCs w:val="21"/>
              </w:rPr>
            </w:pPr>
            <w:r>
              <w:rPr>
                <w:rFonts w:hint="eastAsia"/>
                <w:szCs w:val="21"/>
              </w:rPr>
              <w:t>0.031</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2020年7月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11</w:t>
            </w:r>
          </w:p>
        </w:tc>
        <w:tc>
          <w:tcPr>
            <w:tcW w:w="572" w:type="pct"/>
            <w:vAlign w:val="center"/>
          </w:tcPr>
          <w:p>
            <w:pPr>
              <w:adjustRightInd w:val="0"/>
              <w:snapToGrid w:val="0"/>
              <w:spacing w:line="280" w:lineRule="exact"/>
              <w:jc w:val="center"/>
              <w:rPr>
                <w:szCs w:val="21"/>
              </w:rPr>
            </w:pPr>
            <w:r>
              <w:rPr>
                <w:rFonts w:hint="eastAsia"/>
                <w:szCs w:val="21"/>
              </w:rPr>
              <w:t>0.27</w:t>
            </w:r>
          </w:p>
        </w:tc>
        <w:tc>
          <w:tcPr>
            <w:tcW w:w="646" w:type="pct"/>
            <w:vAlign w:val="center"/>
          </w:tcPr>
          <w:p>
            <w:pPr>
              <w:adjustRightInd w:val="0"/>
              <w:snapToGrid w:val="0"/>
              <w:spacing w:line="280" w:lineRule="exact"/>
              <w:jc w:val="center"/>
              <w:rPr>
                <w:szCs w:val="21"/>
              </w:rPr>
            </w:pPr>
            <w:r>
              <w:rPr>
                <w:rFonts w:hint="eastAsia"/>
                <w:szCs w:val="21"/>
              </w:rPr>
              <w:t>0.029</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2020年8月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15.5</w:t>
            </w:r>
          </w:p>
        </w:tc>
        <w:tc>
          <w:tcPr>
            <w:tcW w:w="572" w:type="pct"/>
            <w:vAlign w:val="center"/>
          </w:tcPr>
          <w:p>
            <w:pPr>
              <w:adjustRightInd w:val="0"/>
              <w:snapToGrid w:val="0"/>
              <w:spacing w:line="280" w:lineRule="exact"/>
              <w:jc w:val="center"/>
              <w:rPr>
                <w:szCs w:val="21"/>
              </w:rPr>
            </w:pPr>
            <w:r>
              <w:rPr>
                <w:rFonts w:hint="eastAsia"/>
                <w:szCs w:val="21"/>
              </w:rPr>
              <w:t>0.31</w:t>
            </w:r>
          </w:p>
        </w:tc>
        <w:tc>
          <w:tcPr>
            <w:tcW w:w="646" w:type="pct"/>
            <w:vAlign w:val="center"/>
          </w:tcPr>
          <w:p>
            <w:pPr>
              <w:adjustRightInd w:val="0"/>
              <w:snapToGrid w:val="0"/>
              <w:spacing w:line="280" w:lineRule="exact"/>
              <w:jc w:val="center"/>
              <w:rPr>
                <w:szCs w:val="21"/>
              </w:rPr>
            </w:pPr>
            <w:r>
              <w:rPr>
                <w:rFonts w:hint="eastAsia"/>
                <w:szCs w:val="21"/>
              </w:rPr>
              <w:t>0.052</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2020年9月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15.5</w:t>
            </w:r>
          </w:p>
        </w:tc>
        <w:tc>
          <w:tcPr>
            <w:tcW w:w="572" w:type="pct"/>
            <w:vAlign w:val="center"/>
          </w:tcPr>
          <w:p>
            <w:pPr>
              <w:adjustRightInd w:val="0"/>
              <w:snapToGrid w:val="0"/>
              <w:spacing w:line="280" w:lineRule="exact"/>
              <w:jc w:val="center"/>
              <w:rPr>
                <w:szCs w:val="21"/>
              </w:rPr>
            </w:pPr>
            <w:r>
              <w:rPr>
                <w:rFonts w:hint="eastAsia"/>
                <w:szCs w:val="21"/>
              </w:rPr>
              <w:t>0.24</w:t>
            </w:r>
          </w:p>
        </w:tc>
        <w:tc>
          <w:tcPr>
            <w:tcW w:w="646" w:type="pct"/>
            <w:vAlign w:val="center"/>
          </w:tcPr>
          <w:p>
            <w:pPr>
              <w:adjustRightInd w:val="0"/>
              <w:snapToGrid w:val="0"/>
              <w:spacing w:line="280" w:lineRule="exact"/>
              <w:jc w:val="center"/>
              <w:rPr>
                <w:szCs w:val="21"/>
              </w:rPr>
            </w:pPr>
            <w:r>
              <w:rPr>
                <w:rFonts w:hint="eastAsia"/>
                <w:szCs w:val="21"/>
              </w:rPr>
              <w:t>0.056</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2020年10月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15.5</w:t>
            </w:r>
          </w:p>
        </w:tc>
        <w:tc>
          <w:tcPr>
            <w:tcW w:w="572" w:type="pct"/>
            <w:vAlign w:val="center"/>
          </w:tcPr>
          <w:p>
            <w:pPr>
              <w:adjustRightInd w:val="0"/>
              <w:snapToGrid w:val="0"/>
              <w:spacing w:line="280" w:lineRule="exact"/>
              <w:jc w:val="center"/>
              <w:rPr>
                <w:szCs w:val="21"/>
              </w:rPr>
            </w:pPr>
            <w:r>
              <w:rPr>
                <w:rFonts w:hint="eastAsia"/>
                <w:szCs w:val="21"/>
              </w:rPr>
              <w:t>0.28</w:t>
            </w:r>
          </w:p>
        </w:tc>
        <w:tc>
          <w:tcPr>
            <w:tcW w:w="646" w:type="pct"/>
            <w:vAlign w:val="center"/>
          </w:tcPr>
          <w:p>
            <w:pPr>
              <w:adjustRightInd w:val="0"/>
              <w:snapToGrid w:val="0"/>
              <w:spacing w:line="280" w:lineRule="exact"/>
              <w:jc w:val="center"/>
              <w:rPr>
                <w:szCs w:val="21"/>
              </w:rPr>
            </w:pPr>
            <w:r>
              <w:rPr>
                <w:rFonts w:hint="eastAsia"/>
                <w:szCs w:val="21"/>
              </w:rPr>
              <w:t>0.05</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03" w:type="pct"/>
            <w:vMerge w:val="continue"/>
            <w:vAlign w:val="center"/>
          </w:tcPr>
          <w:p>
            <w:pPr>
              <w:adjustRightInd w:val="0"/>
              <w:snapToGrid w:val="0"/>
              <w:spacing w:line="280" w:lineRule="exact"/>
              <w:jc w:val="center"/>
              <w:rPr>
                <w:szCs w:val="21"/>
              </w:rPr>
            </w:pPr>
          </w:p>
        </w:tc>
        <w:tc>
          <w:tcPr>
            <w:tcW w:w="869" w:type="pct"/>
            <w:vAlign w:val="center"/>
          </w:tcPr>
          <w:p>
            <w:pPr>
              <w:adjustRightInd w:val="0"/>
              <w:snapToGrid w:val="0"/>
              <w:spacing w:line="280" w:lineRule="exact"/>
              <w:jc w:val="center"/>
              <w:rPr>
                <w:szCs w:val="21"/>
              </w:rPr>
            </w:pPr>
            <w:r>
              <w:rPr>
                <w:szCs w:val="21"/>
              </w:rPr>
              <w:t>2020年11月</w:t>
            </w:r>
          </w:p>
        </w:tc>
        <w:tc>
          <w:tcPr>
            <w:tcW w:w="308" w:type="pct"/>
            <w:vAlign w:val="center"/>
          </w:tcPr>
          <w:p>
            <w:pPr>
              <w:adjustRightInd w:val="0"/>
              <w:snapToGrid w:val="0"/>
              <w:spacing w:line="280" w:lineRule="exact"/>
              <w:jc w:val="center"/>
              <w:rPr>
                <w:szCs w:val="21"/>
              </w:rPr>
            </w:pP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p>
        </w:tc>
        <w:tc>
          <w:tcPr>
            <w:tcW w:w="634" w:type="pct"/>
            <w:vAlign w:val="center"/>
          </w:tcPr>
          <w:p>
            <w:pPr>
              <w:adjustRightInd w:val="0"/>
              <w:snapToGrid w:val="0"/>
              <w:spacing w:line="280" w:lineRule="exact"/>
              <w:jc w:val="center"/>
              <w:rPr>
                <w:szCs w:val="21"/>
              </w:rPr>
            </w:pPr>
            <w:r>
              <w:rPr>
                <w:rFonts w:hint="eastAsia"/>
                <w:szCs w:val="21"/>
              </w:rPr>
              <w:t>21</w:t>
            </w:r>
          </w:p>
        </w:tc>
        <w:tc>
          <w:tcPr>
            <w:tcW w:w="572" w:type="pct"/>
            <w:vAlign w:val="center"/>
          </w:tcPr>
          <w:p>
            <w:pPr>
              <w:adjustRightInd w:val="0"/>
              <w:snapToGrid w:val="0"/>
              <w:spacing w:line="280" w:lineRule="exact"/>
              <w:jc w:val="center"/>
              <w:rPr>
                <w:szCs w:val="21"/>
              </w:rPr>
            </w:pPr>
            <w:r>
              <w:rPr>
                <w:rFonts w:hint="eastAsia"/>
                <w:szCs w:val="21"/>
              </w:rPr>
              <w:t>0.67</w:t>
            </w:r>
          </w:p>
        </w:tc>
        <w:tc>
          <w:tcPr>
            <w:tcW w:w="646" w:type="pct"/>
            <w:vAlign w:val="center"/>
          </w:tcPr>
          <w:p>
            <w:pPr>
              <w:adjustRightInd w:val="0"/>
              <w:snapToGrid w:val="0"/>
              <w:spacing w:line="280" w:lineRule="exact"/>
              <w:jc w:val="center"/>
              <w:rPr>
                <w:szCs w:val="21"/>
              </w:rPr>
            </w:pPr>
            <w:r>
              <w:rPr>
                <w:rFonts w:hint="eastAsia"/>
                <w:szCs w:val="21"/>
              </w:rPr>
              <w:t>0.088</w:t>
            </w:r>
          </w:p>
        </w:tc>
        <w:tc>
          <w:tcPr>
            <w:tcW w:w="307" w:type="pct"/>
            <w:vAlign w:val="center"/>
          </w:tcPr>
          <w:p>
            <w:pPr>
              <w:adjustRightInd w:val="0"/>
              <w:snapToGrid w:val="0"/>
              <w:spacing w:line="280" w:lineRule="exact"/>
              <w:jc w:val="center"/>
              <w:rPr>
                <w:szCs w:val="21"/>
              </w:rPr>
            </w:pPr>
            <w:r>
              <w:rPr>
                <w:rFonts w:hint="eastAsia"/>
                <w:szCs w:val="21"/>
              </w:rPr>
              <w:t>是</w:t>
            </w:r>
          </w:p>
        </w:tc>
        <w:tc>
          <w:tcPr>
            <w:tcW w:w="457" w:type="pct"/>
            <w:vAlign w:val="center"/>
          </w:tcPr>
          <w:p>
            <w:pPr>
              <w:adjustRightInd w:val="0"/>
              <w:snapToGrid w:val="0"/>
              <w:spacing w:line="280" w:lineRule="exact"/>
              <w:jc w:val="center"/>
              <w:rPr>
                <w:szCs w:val="21"/>
              </w:rPr>
            </w:pPr>
            <w:r>
              <w:rPr>
                <w:rFonts w:hint="eastAsia"/>
                <w:szCs w:val="21"/>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381" w:type="pct"/>
            <w:gridSpan w:val="3"/>
            <w:vAlign w:val="center"/>
          </w:tcPr>
          <w:p>
            <w:pPr>
              <w:adjustRightInd w:val="0"/>
              <w:snapToGrid w:val="0"/>
              <w:spacing w:line="280" w:lineRule="exact"/>
              <w:jc w:val="center"/>
              <w:rPr>
                <w:szCs w:val="21"/>
              </w:rPr>
            </w:pPr>
            <w:r>
              <w:rPr>
                <w:rFonts w:hint="eastAsia"/>
                <w:szCs w:val="21"/>
              </w:rPr>
              <w:t xml:space="preserve">GB3838-2002  </w:t>
            </w:r>
            <w:r>
              <w:rPr>
                <w:rFonts w:hint="eastAsia"/>
                <w:szCs w:val="21"/>
              </w:rPr>
              <w:fldChar w:fldCharType="begin"/>
            </w:r>
            <w:r>
              <w:rPr>
                <w:rFonts w:hint="eastAsia"/>
                <w:szCs w:val="21"/>
              </w:rPr>
              <w:instrText xml:space="preserve"> = 4 \* ROMAN \* MERGEFORMAT </w:instrText>
            </w:r>
            <w:r>
              <w:rPr>
                <w:rFonts w:hint="eastAsia"/>
                <w:szCs w:val="21"/>
              </w:rPr>
              <w:fldChar w:fldCharType="separate"/>
            </w:r>
            <w:r>
              <w:t>IV</w:t>
            </w:r>
            <w:r>
              <w:rPr>
                <w:rFonts w:hint="eastAsia"/>
                <w:szCs w:val="21"/>
              </w:rPr>
              <w:fldChar w:fldCharType="end"/>
            </w:r>
            <w:r>
              <w:rPr>
                <w:rFonts w:hint="eastAsia"/>
                <w:szCs w:val="21"/>
              </w:rPr>
              <w:t>类</w:t>
            </w:r>
            <w:r>
              <w:rPr>
                <w:szCs w:val="21"/>
              </w:rPr>
              <w:t>标准值</w:t>
            </w:r>
          </w:p>
        </w:tc>
        <w:tc>
          <w:tcPr>
            <w:tcW w:w="634" w:type="pct"/>
            <w:vAlign w:val="center"/>
          </w:tcPr>
          <w:p>
            <w:pPr>
              <w:adjustRightInd w:val="0"/>
              <w:snapToGrid w:val="0"/>
              <w:spacing w:line="280" w:lineRule="exact"/>
              <w:jc w:val="center"/>
              <w:rPr>
                <w:szCs w:val="21"/>
              </w:rPr>
            </w:pPr>
            <w:r>
              <w:rPr>
                <w:rFonts w:hint="eastAsia"/>
                <w:szCs w:val="21"/>
              </w:rPr>
              <w:t>30</w:t>
            </w:r>
          </w:p>
        </w:tc>
        <w:tc>
          <w:tcPr>
            <w:tcW w:w="572" w:type="pct"/>
            <w:vAlign w:val="center"/>
          </w:tcPr>
          <w:p>
            <w:pPr>
              <w:adjustRightInd w:val="0"/>
              <w:snapToGrid w:val="0"/>
              <w:spacing w:line="280" w:lineRule="exact"/>
              <w:jc w:val="center"/>
              <w:rPr>
                <w:szCs w:val="21"/>
              </w:rPr>
            </w:pPr>
            <w:r>
              <w:rPr>
                <w:rFonts w:hint="eastAsia"/>
                <w:szCs w:val="21"/>
              </w:rPr>
              <w:t>1.5</w:t>
            </w:r>
          </w:p>
        </w:tc>
        <w:tc>
          <w:tcPr>
            <w:tcW w:w="646" w:type="pct"/>
            <w:vAlign w:val="center"/>
          </w:tcPr>
          <w:p>
            <w:pPr>
              <w:adjustRightInd w:val="0"/>
              <w:snapToGrid w:val="0"/>
              <w:spacing w:line="280" w:lineRule="exact"/>
              <w:jc w:val="center"/>
              <w:rPr>
                <w:szCs w:val="21"/>
              </w:rPr>
            </w:pPr>
            <w:r>
              <w:rPr>
                <w:rFonts w:hint="eastAsia"/>
                <w:szCs w:val="21"/>
              </w:rPr>
              <w:t>0.3</w:t>
            </w:r>
          </w:p>
        </w:tc>
        <w:tc>
          <w:tcPr>
            <w:tcW w:w="307" w:type="pct"/>
            <w:vAlign w:val="center"/>
          </w:tcPr>
          <w:p>
            <w:pPr>
              <w:adjustRightInd w:val="0"/>
              <w:snapToGrid w:val="0"/>
              <w:spacing w:line="280" w:lineRule="exact"/>
              <w:jc w:val="center"/>
              <w:rPr>
                <w:szCs w:val="21"/>
              </w:rPr>
            </w:pPr>
            <w:r>
              <w:rPr>
                <w:rFonts w:hint="eastAsia"/>
                <w:szCs w:val="21"/>
              </w:rPr>
              <w:t>/</w:t>
            </w:r>
          </w:p>
        </w:tc>
        <w:tc>
          <w:tcPr>
            <w:tcW w:w="457" w:type="pct"/>
            <w:vAlign w:val="center"/>
          </w:tcPr>
          <w:p>
            <w:pPr>
              <w:adjustRightInd w:val="0"/>
              <w:snapToGrid w:val="0"/>
              <w:spacing w:line="280" w:lineRule="exact"/>
              <w:jc w:val="center"/>
              <w:rPr>
                <w:szCs w:val="21"/>
              </w:rPr>
            </w:pPr>
            <w:r>
              <w:rPr>
                <w:rFonts w:hint="eastAsia"/>
                <w:szCs w:val="21"/>
              </w:rPr>
              <w:t>/</w:t>
            </w:r>
          </w:p>
        </w:tc>
      </w:tr>
    </w:tbl>
    <w:p>
      <w:pPr>
        <w:pStyle w:val="27"/>
        <w:spacing w:line="240" w:lineRule="atLeast"/>
        <w:ind w:firstLine="0" w:firstLineChars="0"/>
        <w:jc w:val="center"/>
        <w:rPr>
          <w:szCs w:val="28"/>
        </w:rPr>
      </w:pPr>
      <w:r>
        <w:drawing>
          <wp:inline distT="0" distB="0" distL="114300" distR="114300">
            <wp:extent cx="4572000" cy="2743200"/>
            <wp:effectExtent l="4445" t="4445" r="14605" b="14605"/>
            <wp:docPr id="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pPr>
        <w:pStyle w:val="58"/>
      </w:pPr>
      <w:r>
        <w:rPr>
          <w:rFonts w:hint="eastAsia"/>
        </w:rPr>
        <w:t>图4.3-1    2020年 马颊河南乐水文站COD变化趋势图</w:t>
      </w:r>
    </w:p>
    <w:p>
      <w:pPr>
        <w:pStyle w:val="27"/>
        <w:spacing w:line="240" w:lineRule="atLeast"/>
        <w:ind w:firstLine="0" w:firstLineChars="0"/>
        <w:jc w:val="center"/>
        <w:rPr>
          <w:szCs w:val="28"/>
        </w:rPr>
      </w:pPr>
      <w:r>
        <w:drawing>
          <wp:inline distT="0" distB="0" distL="114300" distR="114300">
            <wp:extent cx="4572000" cy="2743200"/>
            <wp:effectExtent l="4445" t="4445" r="14605" b="14605"/>
            <wp:docPr id="1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pPr>
        <w:pStyle w:val="58"/>
        <w:rPr>
          <w:sz w:val="28"/>
          <w:szCs w:val="28"/>
        </w:rPr>
      </w:pPr>
      <w:r>
        <w:rPr>
          <w:rFonts w:hint="eastAsia"/>
          <w:sz w:val="28"/>
          <w:szCs w:val="28"/>
        </w:rPr>
        <w:t>图4.3-2    2020年</w:t>
      </w:r>
      <w:r>
        <w:t xml:space="preserve"> </w:t>
      </w:r>
      <w:r>
        <w:rPr>
          <w:rFonts w:hint="eastAsia"/>
        </w:rPr>
        <w:t>马颊河南乐水文站氨氮变化趋势图</w:t>
      </w:r>
    </w:p>
    <w:p>
      <w:pPr>
        <w:pStyle w:val="27"/>
        <w:spacing w:line="240" w:lineRule="atLeast"/>
        <w:ind w:firstLine="0" w:firstLineChars="0"/>
        <w:jc w:val="center"/>
        <w:rPr>
          <w:szCs w:val="28"/>
        </w:rPr>
      </w:pPr>
      <w:r>
        <w:drawing>
          <wp:inline distT="0" distB="0" distL="114300" distR="114300">
            <wp:extent cx="4572000" cy="2743200"/>
            <wp:effectExtent l="4445" t="4445" r="14605" b="14605"/>
            <wp:docPr id="1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pPr>
        <w:pStyle w:val="58"/>
      </w:pPr>
      <w:r>
        <w:rPr>
          <w:rFonts w:hint="eastAsia"/>
        </w:rPr>
        <w:t>图4.3-3    2020年马颊河南乐水文站总磷变化趋势图</w:t>
      </w:r>
    </w:p>
    <w:p>
      <w:pPr>
        <w:pStyle w:val="27"/>
        <w:ind w:firstLine="560"/>
        <w:rPr>
          <w:szCs w:val="28"/>
        </w:rPr>
      </w:pPr>
      <w:r>
        <w:rPr>
          <w:rFonts w:hint="eastAsia"/>
          <w:szCs w:val="28"/>
        </w:rPr>
        <w:t>根据上表可知，</w:t>
      </w:r>
      <w:r>
        <w:rPr>
          <w:szCs w:val="28"/>
        </w:rPr>
        <w:t>2020年1~1</w:t>
      </w:r>
      <w:r>
        <w:rPr>
          <w:rFonts w:hint="eastAsia"/>
          <w:szCs w:val="28"/>
        </w:rPr>
        <w:t>1</w:t>
      </w:r>
      <w:r>
        <w:rPr>
          <w:szCs w:val="28"/>
        </w:rPr>
        <w:t>月</w:t>
      </w:r>
      <w:r>
        <w:rPr>
          <w:rFonts w:hint="eastAsia"/>
          <w:szCs w:val="28"/>
        </w:rPr>
        <w:t>马颊河南乐水文站</w:t>
      </w:r>
      <w:r>
        <w:rPr>
          <w:szCs w:val="20"/>
        </w:rPr>
        <w:t>断面</w:t>
      </w:r>
      <w:r>
        <w:rPr>
          <w:rFonts w:hint="eastAsia"/>
          <w:szCs w:val="28"/>
        </w:rPr>
        <w:t>C</w:t>
      </w:r>
      <w:r>
        <w:rPr>
          <w:szCs w:val="28"/>
        </w:rPr>
        <w:t>OD</w:t>
      </w:r>
      <w:r>
        <w:rPr>
          <w:rFonts w:hint="eastAsia"/>
          <w:szCs w:val="28"/>
        </w:rPr>
        <w:t>、</w:t>
      </w:r>
      <w:r>
        <w:rPr>
          <w:szCs w:val="28"/>
        </w:rPr>
        <w:t>氨氮</w:t>
      </w:r>
      <w:r>
        <w:rPr>
          <w:rFonts w:hint="eastAsia"/>
          <w:szCs w:val="28"/>
        </w:rPr>
        <w:t>、</w:t>
      </w:r>
      <w:r>
        <w:rPr>
          <w:szCs w:val="28"/>
        </w:rPr>
        <w:t>总磷</w:t>
      </w:r>
      <w:r>
        <w:rPr>
          <w:rFonts w:hint="eastAsia"/>
          <w:szCs w:val="28"/>
        </w:rPr>
        <w:t>全年监测值存在波动现象，但各监测值均达标，</w:t>
      </w:r>
      <w:r>
        <w:rPr>
          <w:szCs w:val="28"/>
        </w:rPr>
        <w:t>满足《地表水环境质量标准》（GB3838-2002）</w:t>
      </w:r>
      <w:r>
        <w:rPr>
          <w:rFonts w:hint="eastAsia"/>
          <w:sz w:val="21"/>
          <w:szCs w:val="21"/>
        </w:rPr>
        <w:fldChar w:fldCharType="begin"/>
      </w:r>
      <w:r>
        <w:rPr>
          <w:rFonts w:hint="eastAsia"/>
          <w:sz w:val="21"/>
          <w:szCs w:val="21"/>
        </w:rPr>
        <w:instrText xml:space="preserve"> = 4 \* ROMAN \* MERGEFORMAT </w:instrText>
      </w:r>
      <w:r>
        <w:rPr>
          <w:rFonts w:hint="eastAsia"/>
          <w:sz w:val="21"/>
          <w:szCs w:val="21"/>
        </w:rPr>
        <w:fldChar w:fldCharType="separate"/>
      </w:r>
      <w:r>
        <w:t>IV</w:t>
      </w:r>
      <w:r>
        <w:rPr>
          <w:rFonts w:hint="eastAsia"/>
          <w:sz w:val="21"/>
          <w:szCs w:val="21"/>
        </w:rPr>
        <w:fldChar w:fldCharType="end"/>
      </w:r>
      <w:r>
        <w:rPr>
          <w:szCs w:val="28"/>
        </w:rPr>
        <w:t>类标准的要求。</w:t>
      </w:r>
    </w:p>
    <w:p>
      <w:pPr>
        <w:pStyle w:val="5"/>
        <w:adjustRightInd w:val="0"/>
        <w:snapToGrid w:val="0"/>
        <w:spacing w:before="0" w:after="0" w:line="520" w:lineRule="exact"/>
        <w:rPr>
          <w:rFonts w:eastAsia="楷体_GB2312"/>
          <w:sz w:val="28"/>
          <w:szCs w:val="22"/>
        </w:rPr>
      </w:pPr>
      <w:r>
        <w:rPr>
          <w:rFonts w:eastAsia="楷体_GB2312"/>
          <w:sz w:val="28"/>
          <w:szCs w:val="22"/>
        </w:rPr>
        <w:t>4.</w:t>
      </w:r>
      <w:r>
        <w:rPr>
          <w:rFonts w:hint="eastAsia" w:eastAsia="楷体_GB2312"/>
          <w:sz w:val="28"/>
          <w:szCs w:val="22"/>
        </w:rPr>
        <w:t>3.3</w:t>
      </w:r>
      <w:r>
        <w:rPr>
          <w:rFonts w:eastAsia="楷体_GB2312"/>
          <w:sz w:val="28"/>
          <w:szCs w:val="22"/>
        </w:rPr>
        <w:t xml:space="preserve"> 声环境质量现状监测与评价</w:t>
      </w:r>
    </w:p>
    <w:p>
      <w:pPr>
        <w:pStyle w:val="33"/>
      </w:pPr>
      <w:r>
        <w:rPr>
          <w:rFonts w:hint="eastAsia"/>
        </w:rPr>
        <w:t>4.3.3.1</w:t>
      </w:r>
      <w:r>
        <w:t xml:space="preserve"> 现状监测</w:t>
      </w:r>
    </w:p>
    <w:p>
      <w:pPr>
        <w:adjustRightInd w:val="0"/>
        <w:snapToGrid w:val="0"/>
        <w:spacing w:line="540" w:lineRule="exact"/>
        <w:ind w:firstLine="560" w:firstLineChars="200"/>
        <w:rPr>
          <w:sz w:val="28"/>
          <w:szCs w:val="28"/>
        </w:rPr>
      </w:pPr>
      <w:r>
        <w:rPr>
          <w:rFonts w:hint="eastAsia"/>
          <w:sz w:val="28"/>
          <w:szCs w:val="28"/>
        </w:rPr>
        <w:t>（1）</w:t>
      </w:r>
      <w:r>
        <w:rPr>
          <w:sz w:val="28"/>
          <w:szCs w:val="28"/>
        </w:rPr>
        <w:t>监测布点和监测因子</w:t>
      </w:r>
    </w:p>
    <w:p>
      <w:pPr>
        <w:adjustRightInd w:val="0"/>
        <w:snapToGrid w:val="0"/>
        <w:spacing w:line="540" w:lineRule="exact"/>
        <w:ind w:firstLine="560" w:firstLineChars="200"/>
        <w:rPr>
          <w:sz w:val="28"/>
          <w:szCs w:val="22"/>
        </w:rPr>
      </w:pPr>
      <w:r>
        <w:rPr>
          <w:sz w:val="28"/>
          <w:szCs w:val="22"/>
        </w:rPr>
        <w:t>根据项目噪声源分布情况及厂址周围噪声敏感点分布情况，在</w:t>
      </w:r>
      <w:r>
        <w:rPr>
          <w:rFonts w:hint="eastAsia"/>
          <w:sz w:val="28"/>
          <w:szCs w:val="22"/>
        </w:rPr>
        <w:t>厂址</w:t>
      </w:r>
      <w:r>
        <w:rPr>
          <w:sz w:val="28"/>
          <w:szCs w:val="22"/>
        </w:rPr>
        <w:t>东、南、西、北厂界</w:t>
      </w:r>
      <w:r>
        <w:rPr>
          <w:sz w:val="28"/>
          <w:szCs w:val="21"/>
        </w:rPr>
        <w:t>各布设一个监测点。</w:t>
      </w:r>
    </w:p>
    <w:p>
      <w:pPr>
        <w:adjustRightInd w:val="0"/>
        <w:snapToGrid w:val="0"/>
        <w:spacing w:line="540" w:lineRule="exact"/>
        <w:ind w:firstLine="560" w:firstLineChars="200"/>
        <w:rPr>
          <w:sz w:val="28"/>
          <w:szCs w:val="28"/>
        </w:rPr>
      </w:pPr>
      <w:r>
        <w:rPr>
          <w:rFonts w:hint="eastAsia"/>
          <w:sz w:val="28"/>
          <w:szCs w:val="28"/>
        </w:rPr>
        <w:t>（2）</w:t>
      </w:r>
      <w:r>
        <w:rPr>
          <w:sz w:val="28"/>
          <w:szCs w:val="28"/>
        </w:rPr>
        <w:t>监测时间和频率</w:t>
      </w:r>
    </w:p>
    <w:p>
      <w:pPr>
        <w:adjustRightInd w:val="0"/>
        <w:snapToGrid w:val="0"/>
        <w:spacing w:line="540" w:lineRule="exact"/>
        <w:ind w:firstLine="560" w:firstLineChars="200"/>
        <w:rPr>
          <w:sz w:val="28"/>
          <w:szCs w:val="22"/>
        </w:rPr>
      </w:pPr>
      <w:r>
        <w:rPr>
          <w:sz w:val="28"/>
          <w:szCs w:val="22"/>
        </w:rPr>
        <w:t>连续监测两天，每天昼夜各监测一次。</w:t>
      </w:r>
    </w:p>
    <w:p>
      <w:pPr>
        <w:adjustRightInd w:val="0"/>
        <w:snapToGrid w:val="0"/>
        <w:spacing w:line="540" w:lineRule="exact"/>
        <w:ind w:firstLine="560" w:firstLineChars="200"/>
        <w:rPr>
          <w:sz w:val="28"/>
          <w:szCs w:val="28"/>
        </w:rPr>
      </w:pPr>
      <w:r>
        <w:rPr>
          <w:rFonts w:hint="eastAsia"/>
          <w:sz w:val="28"/>
          <w:szCs w:val="28"/>
        </w:rPr>
        <w:t>（3）</w:t>
      </w:r>
      <w:r>
        <w:rPr>
          <w:sz w:val="28"/>
          <w:szCs w:val="28"/>
        </w:rPr>
        <w:t>监测分析方法</w:t>
      </w:r>
    </w:p>
    <w:p>
      <w:pPr>
        <w:adjustRightInd w:val="0"/>
        <w:snapToGrid w:val="0"/>
        <w:spacing w:line="540" w:lineRule="exact"/>
        <w:ind w:firstLine="570"/>
        <w:rPr>
          <w:sz w:val="28"/>
          <w:szCs w:val="28"/>
        </w:rPr>
      </w:pPr>
      <w:r>
        <w:rPr>
          <w:sz w:val="28"/>
          <w:szCs w:val="28"/>
        </w:rPr>
        <w:t>监测方法按《声环境质量标准》（GB3096-2008）中规定执行。</w:t>
      </w:r>
    </w:p>
    <w:p>
      <w:pPr>
        <w:adjustRightInd w:val="0"/>
        <w:snapToGrid w:val="0"/>
        <w:spacing w:line="540" w:lineRule="exact"/>
        <w:ind w:firstLine="560" w:firstLineChars="200"/>
        <w:rPr>
          <w:sz w:val="28"/>
          <w:szCs w:val="28"/>
        </w:rPr>
      </w:pPr>
      <w:r>
        <w:rPr>
          <w:rFonts w:hint="eastAsia"/>
          <w:sz w:val="28"/>
          <w:szCs w:val="28"/>
        </w:rPr>
        <w:t>（4）</w:t>
      </w:r>
      <w:r>
        <w:rPr>
          <w:sz w:val="28"/>
          <w:szCs w:val="28"/>
        </w:rPr>
        <w:t>监测结果</w:t>
      </w:r>
    </w:p>
    <w:p>
      <w:pPr>
        <w:adjustRightInd w:val="0"/>
        <w:snapToGrid w:val="0"/>
        <w:spacing w:line="540" w:lineRule="exact"/>
        <w:ind w:firstLine="560" w:firstLineChars="200"/>
        <w:rPr>
          <w:sz w:val="28"/>
          <w:szCs w:val="22"/>
        </w:rPr>
      </w:pPr>
      <w:r>
        <w:rPr>
          <w:sz w:val="28"/>
          <w:szCs w:val="22"/>
        </w:rPr>
        <w:t>本次声环境质量现状监测结果见表4</w:t>
      </w:r>
      <w:r>
        <w:rPr>
          <w:rFonts w:hint="eastAsia"/>
          <w:sz w:val="28"/>
          <w:szCs w:val="22"/>
        </w:rPr>
        <w:t>.3</w:t>
      </w:r>
      <w:r>
        <w:rPr>
          <w:sz w:val="28"/>
          <w:szCs w:val="22"/>
        </w:rPr>
        <w:t>-</w:t>
      </w:r>
      <w:r>
        <w:rPr>
          <w:rFonts w:hint="eastAsia"/>
          <w:sz w:val="28"/>
          <w:szCs w:val="22"/>
        </w:rPr>
        <w:t>9</w:t>
      </w:r>
      <w:r>
        <w:rPr>
          <w:sz w:val="28"/>
          <w:szCs w:val="22"/>
        </w:rPr>
        <w:t>。</w:t>
      </w:r>
    </w:p>
    <w:p>
      <w:pPr>
        <w:pStyle w:val="32"/>
      </w:pPr>
      <w:r>
        <w:rPr>
          <w:rFonts w:hint="eastAsia"/>
        </w:rPr>
        <w:t>表4.3-9</w:t>
      </w:r>
      <w:r>
        <w:t xml:space="preserve">     </w:t>
      </w:r>
      <w:r>
        <w:rPr>
          <w:rFonts w:hint="eastAsia"/>
        </w:rPr>
        <w:t xml:space="preserve">         </w:t>
      </w:r>
      <w:r>
        <w:t>声环境质量现状监测结果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4"/>
        <w:gridCol w:w="1528"/>
        <w:gridCol w:w="1529"/>
        <w:gridCol w:w="1529"/>
        <w:gridCol w:w="1529"/>
        <w:gridCol w:w="153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64" w:type="pct"/>
            <w:gridSpan w:val="2"/>
            <w:vMerge w:val="restart"/>
            <w:tcBorders>
              <w:bottom w:val="single" w:color="auto" w:sz="4" w:space="0"/>
              <w:right w:val="single" w:color="auto" w:sz="4" w:space="0"/>
              <w:tl2br w:val="nil"/>
              <w:tr2bl w:val="nil"/>
            </w:tcBorders>
            <w:vAlign w:val="center"/>
          </w:tcPr>
          <w:p>
            <w:pPr>
              <w:pStyle w:val="35"/>
              <w:rPr>
                <w:b/>
                <w:bCs/>
              </w:rPr>
            </w:pPr>
            <w:r>
              <w:rPr>
                <w:b/>
                <w:bCs/>
              </w:rPr>
              <w:t>检测点位及结果检测日期</w:t>
            </w:r>
          </w:p>
        </w:tc>
        <w:tc>
          <w:tcPr>
            <w:tcW w:w="3335" w:type="pct"/>
            <w:gridSpan w:val="4"/>
            <w:tcBorders>
              <w:left w:val="single" w:color="auto" w:sz="4" w:space="0"/>
              <w:bottom w:val="single" w:color="auto" w:sz="4" w:space="0"/>
              <w:tl2br w:val="nil"/>
              <w:tr2bl w:val="nil"/>
            </w:tcBorders>
            <w:vAlign w:val="center"/>
          </w:tcPr>
          <w:p>
            <w:pPr>
              <w:pStyle w:val="35"/>
              <w:rPr>
                <w:b/>
                <w:bCs/>
              </w:rPr>
            </w:pPr>
            <w:r>
              <w:rPr>
                <w:b/>
                <w:bCs/>
              </w:rPr>
              <w:t>环境噪声[dB(A)]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64" w:type="pct"/>
            <w:gridSpan w:val="2"/>
            <w:vMerge w:val="continue"/>
            <w:tcBorders>
              <w:top w:val="single" w:color="auto" w:sz="4" w:space="0"/>
              <w:bottom w:val="single" w:color="auto" w:sz="4" w:space="0"/>
              <w:right w:val="single" w:color="auto" w:sz="4" w:space="0"/>
              <w:tl2br w:val="nil"/>
              <w:tr2bl w:val="nil"/>
            </w:tcBorders>
            <w:vAlign w:val="center"/>
          </w:tcPr>
          <w:p>
            <w:pPr>
              <w:pStyle w:val="35"/>
              <w:rPr>
                <w:b/>
                <w:bCs/>
              </w:rPr>
            </w:pP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rPr>
                <w:b/>
                <w:bCs/>
              </w:rPr>
            </w:pPr>
            <w:r>
              <w:rPr>
                <w:b/>
                <w:bCs/>
              </w:rPr>
              <w:t>东厂界</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rPr>
                <w:b/>
                <w:bCs/>
              </w:rPr>
            </w:pPr>
            <w:r>
              <w:rPr>
                <w:b/>
                <w:bCs/>
              </w:rPr>
              <w:t>南厂界</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rPr>
                <w:b/>
                <w:bCs/>
              </w:rPr>
            </w:pPr>
            <w:r>
              <w:rPr>
                <w:b/>
                <w:bCs/>
              </w:rPr>
              <w:t>西厂界</w:t>
            </w:r>
          </w:p>
        </w:tc>
        <w:tc>
          <w:tcPr>
            <w:tcW w:w="835" w:type="pct"/>
            <w:tcBorders>
              <w:top w:val="single" w:color="auto" w:sz="4" w:space="0"/>
              <w:left w:val="single" w:color="auto" w:sz="4" w:space="0"/>
              <w:bottom w:val="single" w:color="auto" w:sz="4" w:space="0"/>
              <w:tl2br w:val="nil"/>
              <w:tr2bl w:val="nil"/>
            </w:tcBorders>
            <w:vAlign w:val="center"/>
          </w:tcPr>
          <w:p>
            <w:pPr>
              <w:pStyle w:val="35"/>
              <w:rPr>
                <w:b/>
                <w:bCs/>
              </w:rPr>
            </w:pPr>
            <w:r>
              <w:rPr>
                <w:b/>
                <w:bCs/>
              </w:rPr>
              <w:t>北厂界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31" w:type="pct"/>
            <w:vMerge w:val="restart"/>
            <w:tcBorders>
              <w:top w:val="single" w:color="auto" w:sz="4" w:space="0"/>
              <w:bottom w:val="single" w:color="auto" w:sz="4" w:space="0"/>
              <w:right w:val="single" w:color="auto" w:sz="4" w:space="0"/>
              <w:tl2br w:val="nil"/>
              <w:tr2bl w:val="nil"/>
            </w:tcBorders>
            <w:vAlign w:val="center"/>
          </w:tcPr>
          <w:p>
            <w:pPr>
              <w:pStyle w:val="35"/>
            </w:pPr>
            <w:r>
              <w:t>202</w:t>
            </w:r>
            <w:r>
              <w:rPr>
                <w:rFonts w:hint="eastAsia"/>
              </w:rPr>
              <w:t>1</w:t>
            </w:r>
            <w:r>
              <w:t>-03-</w:t>
            </w:r>
            <w:r>
              <w:rPr>
                <w:rFonts w:hint="eastAsia"/>
              </w:rPr>
              <w:t>21</w:t>
            </w:r>
          </w:p>
        </w:tc>
        <w:tc>
          <w:tcPr>
            <w:tcW w:w="832"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t>昼间</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60</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59</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60</w:t>
            </w:r>
          </w:p>
        </w:tc>
        <w:tc>
          <w:tcPr>
            <w:tcW w:w="835" w:type="pct"/>
            <w:tcBorders>
              <w:top w:val="single" w:color="auto" w:sz="4" w:space="0"/>
              <w:left w:val="single" w:color="auto" w:sz="4" w:space="0"/>
              <w:bottom w:val="single" w:color="auto" w:sz="4" w:space="0"/>
              <w:tl2br w:val="nil"/>
              <w:tr2bl w:val="nil"/>
            </w:tcBorders>
            <w:vAlign w:val="center"/>
          </w:tcPr>
          <w:p>
            <w:pPr>
              <w:pStyle w:val="35"/>
            </w:pPr>
            <w:r>
              <w:rPr>
                <w:rFonts w:hint="eastAsia"/>
              </w:rPr>
              <w:t>58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31" w:type="pct"/>
            <w:vMerge w:val="continue"/>
            <w:tcBorders>
              <w:top w:val="single" w:color="auto" w:sz="4" w:space="0"/>
              <w:bottom w:val="single" w:color="auto" w:sz="4" w:space="0"/>
              <w:right w:val="single" w:color="auto" w:sz="4" w:space="0"/>
              <w:tl2br w:val="nil"/>
              <w:tr2bl w:val="nil"/>
            </w:tcBorders>
            <w:vAlign w:val="center"/>
          </w:tcPr>
          <w:p>
            <w:pPr>
              <w:pStyle w:val="35"/>
            </w:pPr>
            <w:r>
              <w:t>2020-03-09</w:t>
            </w:r>
          </w:p>
        </w:tc>
        <w:tc>
          <w:tcPr>
            <w:tcW w:w="832"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t>夜间</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52</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51</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52</w:t>
            </w:r>
          </w:p>
        </w:tc>
        <w:tc>
          <w:tcPr>
            <w:tcW w:w="835" w:type="pct"/>
            <w:tcBorders>
              <w:top w:val="single" w:color="auto" w:sz="4" w:space="0"/>
              <w:left w:val="single" w:color="auto" w:sz="4" w:space="0"/>
              <w:bottom w:val="single" w:color="auto" w:sz="4" w:space="0"/>
              <w:tl2br w:val="nil"/>
              <w:tr2bl w:val="nil"/>
            </w:tcBorders>
            <w:vAlign w:val="center"/>
          </w:tcPr>
          <w:p>
            <w:pPr>
              <w:pStyle w:val="35"/>
            </w:pPr>
            <w:r>
              <w:rPr>
                <w:rFonts w:hint="eastAsia"/>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31" w:type="pct"/>
            <w:vMerge w:val="restart"/>
            <w:tcBorders>
              <w:top w:val="single" w:color="auto" w:sz="4" w:space="0"/>
              <w:bottom w:val="single" w:color="auto" w:sz="4" w:space="0"/>
              <w:right w:val="single" w:color="auto" w:sz="4" w:space="0"/>
              <w:tl2br w:val="nil"/>
              <w:tr2bl w:val="nil"/>
            </w:tcBorders>
            <w:vAlign w:val="center"/>
          </w:tcPr>
          <w:p>
            <w:pPr>
              <w:pStyle w:val="35"/>
            </w:pPr>
            <w:r>
              <w:t>202</w:t>
            </w:r>
            <w:r>
              <w:rPr>
                <w:rFonts w:hint="eastAsia"/>
              </w:rPr>
              <w:t>1</w:t>
            </w:r>
            <w:r>
              <w:t>-03-</w:t>
            </w:r>
            <w:r>
              <w:rPr>
                <w:rFonts w:hint="eastAsia"/>
              </w:rPr>
              <w:t>22</w:t>
            </w:r>
          </w:p>
        </w:tc>
        <w:tc>
          <w:tcPr>
            <w:tcW w:w="832"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t>昼间</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56</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53</w:t>
            </w:r>
          </w:p>
        </w:tc>
        <w:tc>
          <w:tcPr>
            <w:tcW w:w="833" w:type="pct"/>
            <w:tcBorders>
              <w:top w:val="single" w:color="auto" w:sz="4" w:space="0"/>
              <w:left w:val="single" w:color="auto" w:sz="4" w:space="0"/>
              <w:bottom w:val="single" w:color="auto" w:sz="4" w:space="0"/>
              <w:right w:val="single" w:color="auto" w:sz="4" w:space="0"/>
              <w:tl2br w:val="nil"/>
              <w:tr2bl w:val="nil"/>
            </w:tcBorders>
            <w:vAlign w:val="center"/>
          </w:tcPr>
          <w:p>
            <w:pPr>
              <w:pStyle w:val="35"/>
            </w:pPr>
            <w:r>
              <w:rPr>
                <w:rFonts w:hint="eastAsia"/>
              </w:rPr>
              <w:t>56</w:t>
            </w:r>
          </w:p>
        </w:tc>
        <w:tc>
          <w:tcPr>
            <w:tcW w:w="835" w:type="pct"/>
            <w:tcBorders>
              <w:top w:val="single" w:color="auto" w:sz="4" w:space="0"/>
              <w:left w:val="single" w:color="auto" w:sz="4" w:space="0"/>
              <w:bottom w:val="single" w:color="auto" w:sz="4" w:space="0"/>
              <w:tl2br w:val="nil"/>
              <w:tr2bl w:val="nil"/>
            </w:tcBorders>
            <w:vAlign w:val="center"/>
          </w:tcPr>
          <w:p>
            <w:pPr>
              <w:pStyle w:val="35"/>
            </w:pPr>
            <w:r>
              <w:rPr>
                <w:rFonts w:hint="eastAsia"/>
              </w:rPr>
              <w:t>56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31" w:type="pct"/>
            <w:vMerge w:val="continue"/>
            <w:tcBorders>
              <w:top w:val="single" w:color="auto" w:sz="4" w:space="0"/>
              <w:right w:val="single" w:color="auto" w:sz="4" w:space="0"/>
              <w:tl2br w:val="nil"/>
              <w:tr2bl w:val="nil"/>
            </w:tcBorders>
            <w:vAlign w:val="center"/>
          </w:tcPr>
          <w:p>
            <w:pPr>
              <w:pStyle w:val="35"/>
            </w:pPr>
            <w:r>
              <w:t>2020-03-10</w:t>
            </w:r>
          </w:p>
        </w:tc>
        <w:tc>
          <w:tcPr>
            <w:tcW w:w="832" w:type="pct"/>
            <w:tcBorders>
              <w:top w:val="single" w:color="auto" w:sz="4" w:space="0"/>
              <w:left w:val="single" w:color="auto" w:sz="4" w:space="0"/>
              <w:right w:val="single" w:color="auto" w:sz="4" w:space="0"/>
              <w:tl2br w:val="nil"/>
              <w:tr2bl w:val="nil"/>
            </w:tcBorders>
            <w:vAlign w:val="center"/>
          </w:tcPr>
          <w:p>
            <w:pPr>
              <w:pStyle w:val="35"/>
            </w:pPr>
            <w:r>
              <w:t>夜间</w:t>
            </w:r>
          </w:p>
        </w:tc>
        <w:tc>
          <w:tcPr>
            <w:tcW w:w="833" w:type="pct"/>
            <w:tcBorders>
              <w:top w:val="single" w:color="auto" w:sz="4" w:space="0"/>
              <w:left w:val="single" w:color="auto" w:sz="4" w:space="0"/>
              <w:right w:val="single" w:color="auto" w:sz="4" w:space="0"/>
              <w:tl2br w:val="nil"/>
              <w:tr2bl w:val="nil"/>
            </w:tcBorders>
            <w:vAlign w:val="center"/>
          </w:tcPr>
          <w:p>
            <w:pPr>
              <w:pStyle w:val="35"/>
            </w:pPr>
            <w:r>
              <w:rPr>
                <w:rFonts w:hint="eastAsia"/>
              </w:rPr>
              <w:t>54</w:t>
            </w:r>
          </w:p>
        </w:tc>
        <w:tc>
          <w:tcPr>
            <w:tcW w:w="833" w:type="pct"/>
            <w:tcBorders>
              <w:top w:val="single" w:color="auto" w:sz="4" w:space="0"/>
              <w:left w:val="single" w:color="auto" w:sz="4" w:space="0"/>
              <w:right w:val="single" w:color="auto" w:sz="4" w:space="0"/>
              <w:tl2br w:val="nil"/>
              <w:tr2bl w:val="nil"/>
            </w:tcBorders>
            <w:vAlign w:val="center"/>
          </w:tcPr>
          <w:p>
            <w:pPr>
              <w:pStyle w:val="35"/>
            </w:pPr>
            <w:r>
              <w:rPr>
                <w:rFonts w:hint="eastAsia"/>
              </w:rPr>
              <w:t>49</w:t>
            </w:r>
          </w:p>
        </w:tc>
        <w:tc>
          <w:tcPr>
            <w:tcW w:w="833" w:type="pct"/>
            <w:tcBorders>
              <w:top w:val="single" w:color="auto" w:sz="4" w:space="0"/>
              <w:left w:val="single" w:color="auto" w:sz="4" w:space="0"/>
              <w:right w:val="single" w:color="auto" w:sz="4" w:space="0"/>
              <w:tl2br w:val="nil"/>
              <w:tr2bl w:val="nil"/>
            </w:tcBorders>
            <w:vAlign w:val="center"/>
          </w:tcPr>
          <w:p>
            <w:pPr>
              <w:pStyle w:val="35"/>
            </w:pPr>
            <w:r>
              <w:rPr>
                <w:rFonts w:hint="eastAsia"/>
              </w:rPr>
              <w:t>52</w:t>
            </w:r>
          </w:p>
        </w:tc>
        <w:tc>
          <w:tcPr>
            <w:tcW w:w="835" w:type="pct"/>
            <w:tcBorders>
              <w:top w:val="single" w:color="auto" w:sz="4" w:space="0"/>
              <w:left w:val="single" w:color="auto" w:sz="4" w:space="0"/>
              <w:tl2br w:val="nil"/>
              <w:tr2bl w:val="nil"/>
            </w:tcBorders>
            <w:vAlign w:val="center"/>
          </w:tcPr>
          <w:p>
            <w:pPr>
              <w:pStyle w:val="35"/>
            </w:pPr>
            <w:r>
              <w:rPr>
                <w:rFonts w:hint="eastAsia"/>
              </w:rPr>
              <w:t>53</w:t>
            </w:r>
          </w:p>
        </w:tc>
      </w:tr>
    </w:tbl>
    <w:p>
      <w:pPr>
        <w:pStyle w:val="33"/>
      </w:pPr>
      <w:r>
        <w:rPr>
          <w:rFonts w:hint="eastAsia"/>
        </w:rPr>
        <w:t>4.3.3.2</w:t>
      </w:r>
      <w:r>
        <w:t xml:space="preserve"> 现状评价</w:t>
      </w:r>
    </w:p>
    <w:p>
      <w:pPr>
        <w:pStyle w:val="27"/>
        <w:ind w:firstLine="560"/>
        <w:rPr>
          <w:szCs w:val="28"/>
        </w:rPr>
      </w:pPr>
      <w:r>
        <w:rPr>
          <w:rFonts w:hint="eastAsia"/>
          <w:szCs w:val="28"/>
        </w:rPr>
        <w:t>（1）</w:t>
      </w:r>
      <w:r>
        <w:rPr>
          <w:szCs w:val="28"/>
        </w:rPr>
        <w:t>评价方法</w:t>
      </w:r>
    </w:p>
    <w:p>
      <w:pPr>
        <w:pStyle w:val="27"/>
        <w:ind w:firstLine="560"/>
      </w:pPr>
      <w:r>
        <w:t>评价方法：将噪声现状监测值与评价标准值进行比较，对评价区域内的声环境质量现状进行评价。</w:t>
      </w:r>
    </w:p>
    <w:p>
      <w:pPr>
        <w:pStyle w:val="27"/>
        <w:ind w:firstLine="560"/>
        <w:rPr>
          <w:szCs w:val="28"/>
        </w:rPr>
      </w:pPr>
      <w:r>
        <w:rPr>
          <w:rFonts w:hint="eastAsia"/>
          <w:szCs w:val="28"/>
        </w:rPr>
        <w:t>（2）</w:t>
      </w:r>
      <w:r>
        <w:rPr>
          <w:szCs w:val="28"/>
        </w:rPr>
        <w:t>评价标准</w:t>
      </w:r>
    </w:p>
    <w:p>
      <w:pPr>
        <w:pStyle w:val="27"/>
        <w:ind w:firstLine="560"/>
      </w:pPr>
      <w:r>
        <w:t>执行《声环境质量标准》（GB3096-2008）</w:t>
      </w:r>
      <w:r>
        <w:rPr>
          <w:rFonts w:hint="eastAsia"/>
        </w:rPr>
        <w:t>3</w:t>
      </w:r>
      <w:r>
        <w:t>类标准，详见表4</w:t>
      </w:r>
      <w:r>
        <w:rPr>
          <w:rFonts w:hint="eastAsia"/>
        </w:rPr>
        <w:t>.3</w:t>
      </w:r>
      <w:r>
        <w:t>-</w:t>
      </w:r>
      <w:r>
        <w:rPr>
          <w:rFonts w:hint="eastAsia"/>
        </w:rPr>
        <w:t>10</w:t>
      </w:r>
      <w:r>
        <w:t>。</w:t>
      </w:r>
    </w:p>
    <w:p>
      <w:pPr>
        <w:spacing w:before="120" w:beforeLines="50"/>
        <w:ind w:firstLine="482" w:firstLineChars="200"/>
        <w:rPr>
          <w:rFonts w:eastAsia="黑体"/>
          <w:sz w:val="24"/>
          <w:szCs w:val="22"/>
        </w:rPr>
      </w:pPr>
      <w:r>
        <w:rPr>
          <w:rFonts w:eastAsia="黑体"/>
          <w:b/>
          <w:sz w:val="24"/>
          <w:szCs w:val="22"/>
        </w:rPr>
        <w:t>表</w:t>
      </w:r>
      <w:r>
        <w:rPr>
          <w:rFonts w:hint="eastAsia" w:eastAsia="黑体"/>
          <w:b/>
          <w:sz w:val="24"/>
          <w:szCs w:val="22"/>
        </w:rPr>
        <w:t>4.3</w:t>
      </w:r>
      <w:r>
        <w:rPr>
          <w:rFonts w:eastAsia="黑体"/>
          <w:b/>
          <w:sz w:val="24"/>
          <w:szCs w:val="22"/>
        </w:rPr>
        <w:t>-</w:t>
      </w:r>
      <w:r>
        <w:rPr>
          <w:rFonts w:hint="eastAsia" w:eastAsia="黑体"/>
          <w:b/>
          <w:sz w:val="24"/>
          <w:szCs w:val="22"/>
        </w:rPr>
        <w:t xml:space="preserve">10  </w:t>
      </w:r>
      <w:r>
        <w:rPr>
          <w:rFonts w:eastAsia="黑体"/>
          <w:b/>
          <w:sz w:val="24"/>
          <w:szCs w:val="22"/>
        </w:rPr>
        <w:t xml:space="preserve"> </w:t>
      </w:r>
      <w:r>
        <w:rPr>
          <w:rFonts w:hint="eastAsia" w:eastAsia="黑体"/>
          <w:b/>
          <w:sz w:val="24"/>
          <w:szCs w:val="22"/>
        </w:rPr>
        <w:t xml:space="preserve">     </w:t>
      </w:r>
      <w:r>
        <w:rPr>
          <w:rFonts w:eastAsia="黑体"/>
          <w:b/>
          <w:sz w:val="24"/>
          <w:szCs w:val="22"/>
        </w:rPr>
        <w:t xml:space="preserve"> 厂址区域声</w:t>
      </w:r>
      <w:r>
        <w:rPr>
          <w:rFonts w:eastAsia="黑体"/>
          <w:b/>
          <w:sz w:val="24"/>
        </w:rPr>
        <w:t>环境质量评价</w:t>
      </w:r>
      <w:r>
        <w:rPr>
          <w:rFonts w:eastAsia="黑体"/>
          <w:b/>
          <w:sz w:val="24"/>
          <w:szCs w:val="22"/>
        </w:rPr>
        <w:t>执行标准</w:t>
      </w:r>
      <w:r>
        <w:rPr>
          <w:rFonts w:eastAsia="黑体"/>
          <w:sz w:val="24"/>
          <w:szCs w:val="22"/>
        </w:rPr>
        <w:t xml:space="preserve">         </w:t>
      </w:r>
      <w:r>
        <w:rPr>
          <w:rFonts w:eastAsia="黑体"/>
          <w:szCs w:val="21"/>
        </w:rPr>
        <w:t>单位：dB(A)</w:t>
      </w:r>
    </w:p>
    <w:tbl>
      <w:tblPr>
        <w:tblStyle w:val="2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5"/>
        <w:gridCol w:w="3589"/>
        <w:gridCol w:w="35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87" w:type="pct"/>
            <w:tcBorders>
              <w:tl2br w:val="nil"/>
              <w:tr2bl w:val="nil"/>
            </w:tcBorders>
            <w:vAlign w:val="center"/>
          </w:tcPr>
          <w:p>
            <w:pPr>
              <w:tabs>
                <w:tab w:val="left" w:pos="4540"/>
              </w:tabs>
              <w:spacing w:line="320" w:lineRule="exact"/>
              <w:jc w:val="center"/>
              <w:rPr>
                <w:b/>
                <w:szCs w:val="22"/>
              </w:rPr>
            </w:pPr>
            <w:r>
              <w:rPr>
                <w:b/>
                <w:szCs w:val="22"/>
              </w:rPr>
              <w:t>项目</w:t>
            </w:r>
          </w:p>
        </w:tc>
        <w:tc>
          <w:tcPr>
            <w:tcW w:w="3912" w:type="pct"/>
            <w:gridSpan w:val="2"/>
            <w:tcBorders>
              <w:tl2br w:val="nil"/>
              <w:tr2bl w:val="nil"/>
            </w:tcBorders>
            <w:vAlign w:val="center"/>
          </w:tcPr>
          <w:p>
            <w:pPr>
              <w:tabs>
                <w:tab w:val="left" w:pos="4540"/>
              </w:tabs>
              <w:spacing w:line="320" w:lineRule="exact"/>
              <w:jc w:val="center"/>
              <w:rPr>
                <w:b/>
                <w:szCs w:val="22"/>
              </w:rPr>
            </w:pPr>
            <w:r>
              <w:rPr>
                <w:b/>
                <w:szCs w:val="22"/>
              </w:rPr>
              <w:t>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87" w:type="pct"/>
            <w:vMerge w:val="restart"/>
            <w:tcBorders>
              <w:tl2br w:val="nil"/>
              <w:tr2bl w:val="nil"/>
            </w:tcBorders>
            <w:vAlign w:val="center"/>
          </w:tcPr>
          <w:p>
            <w:pPr>
              <w:tabs>
                <w:tab w:val="left" w:pos="4540"/>
              </w:tabs>
              <w:spacing w:line="320" w:lineRule="exact"/>
              <w:jc w:val="center"/>
              <w:rPr>
                <w:szCs w:val="22"/>
              </w:rPr>
            </w:pPr>
            <w:r>
              <w:rPr>
                <w:szCs w:val="22"/>
              </w:rPr>
              <w:t>标准值</w:t>
            </w:r>
          </w:p>
        </w:tc>
        <w:tc>
          <w:tcPr>
            <w:tcW w:w="3912" w:type="pct"/>
            <w:gridSpan w:val="2"/>
            <w:tcBorders>
              <w:tl2br w:val="nil"/>
              <w:tr2bl w:val="nil"/>
            </w:tcBorders>
            <w:vAlign w:val="center"/>
          </w:tcPr>
          <w:p>
            <w:pPr>
              <w:tabs>
                <w:tab w:val="left" w:pos="4540"/>
              </w:tabs>
              <w:spacing w:line="320" w:lineRule="exact"/>
              <w:jc w:val="center"/>
              <w:rPr>
                <w:szCs w:val="22"/>
              </w:rPr>
            </w:pPr>
            <w:r>
              <w:rPr>
                <w:szCs w:val="22"/>
              </w:rPr>
              <w:t>《声环境质量标准》（GB3096-2008）</w:t>
            </w:r>
            <w:r>
              <w:rPr>
                <w:rFonts w:hint="eastAsia"/>
                <w:szCs w:val="22"/>
              </w:rPr>
              <w:t>3</w:t>
            </w:r>
            <w:r>
              <w:rPr>
                <w:szCs w:val="22"/>
              </w:rPr>
              <w:t>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87" w:type="pct"/>
            <w:vMerge w:val="continue"/>
            <w:tcBorders>
              <w:tl2br w:val="nil"/>
              <w:tr2bl w:val="nil"/>
            </w:tcBorders>
            <w:vAlign w:val="center"/>
          </w:tcPr>
          <w:p>
            <w:pPr>
              <w:tabs>
                <w:tab w:val="left" w:pos="4540"/>
              </w:tabs>
              <w:spacing w:line="320" w:lineRule="exact"/>
              <w:jc w:val="center"/>
              <w:rPr>
                <w:szCs w:val="22"/>
              </w:rPr>
            </w:pPr>
          </w:p>
        </w:tc>
        <w:tc>
          <w:tcPr>
            <w:tcW w:w="1956" w:type="pct"/>
            <w:tcBorders>
              <w:tl2br w:val="nil"/>
              <w:tr2bl w:val="nil"/>
            </w:tcBorders>
            <w:vAlign w:val="center"/>
          </w:tcPr>
          <w:p>
            <w:pPr>
              <w:tabs>
                <w:tab w:val="left" w:pos="4540"/>
              </w:tabs>
              <w:spacing w:line="320" w:lineRule="exact"/>
              <w:jc w:val="center"/>
              <w:rPr>
                <w:szCs w:val="22"/>
              </w:rPr>
            </w:pPr>
            <w:r>
              <w:rPr>
                <w:szCs w:val="22"/>
              </w:rPr>
              <w:t>昼间</w:t>
            </w:r>
          </w:p>
        </w:tc>
        <w:tc>
          <w:tcPr>
            <w:tcW w:w="1956" w:type="pct"/>
            <w:tcBorders>
              <w:tl2br w:val="nil"/>
              <w:tr2bl w:val="nil"/>
            </w:tcBorders>
            <w:vAlign w:val="center"/>
          </w:tcPr>
          <w:p>
            <w:pPr>
              <w:tabs>
                <w:tab w:val="left" w:pos="4540"/>
              </w:tabs>
              <w:spacing w:line="320" w:lineRule="exact"/>
              <w:jc w:val="center"/>
              <w:rPr>
                <w:szCs w:val="22"/>
              </w:rPr>
            </w:pPr>
            <w:r>
              <w:rPr>
                <w:szCs w:val="22"/>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087" w:type="pct"/>
            <w:vMerge w:val="continue"/>
            <w:tcBorders>
              <w:tl2br w:val="nil"/>
              <w:tr2bl w:val="nil"/>
            </w:tcBorders>
            <w:vAlign w:val="center"/>
          </w:tcPr>
          <w:p>
            <w:pPr>
              <w:tabs>
                <w:tab w:val="left" w:pos="4540"/>
              </w:tabs>
              <w:spacing w:line="320" w:lineRule="exact"/>
              <w:jc w:val="center"/>
              <w:rPr>
                <w:szCs w:val="22"/>
              </w:rPr>
            </w:pPr>
          </w:p>
        </w:tc>
        <w:tc>
          <w:tcPr>
            <w:tcW w:w="1956" w:type="pct"/>
            <w:tcBorders>
              <w:tl2br w:val="nil"/>
              <w:tr2bl w:val="nil"/>
            </w:tcBorders>
            <w:vAlign w:val="center"/>
          </w:tcPr>
          <w:p>
            <w:pPr>
              <w:tabs>
                <w:tab w:val="left" w:pos="4540"/>
              </w:tabs>
              <w:spacing w:line="320" w:lineRule="exact"/>
              <w:jc w:val="center"/>
              <w:rPr>
                <w:szCs w:val="22"/>
              </w:rPr>
            </w:pPr>
            <w:r>
              <w:rPr>
                <w:szCs w:val="22"/>
              </w:rPr>
              <w:t>6</w:t>
            </w:r>
            <w:r>
              <w:rPr>
                <w:rFonts w:hint="eastAsia"/>
                <w:szCs w:val="22"/>
              </w:rPr>
              <w:t>5</w:t>
            </w:r>
          </w:p>
        </w:tc>
        <w:tc>
          <w:tcPr>
            <w:tcW w:w="1956" w:type="pct"/>
            <w:tcBorders>
              <w:tl2br w:val="nil"/>
              <w:tr2bl w:val="nil"/>
            </w:tcBorders>
            <w:vAlign w:val="center"/>
          </w:tcPr>
          <w:p>
            <w:pPr>
              <w:tabs>
                <w:tab w:val="left" w:pos="4540"/>
              </w:tabs>
              <w:spacing w:line="320" w:lineRule="exact"/>
              <w:jc w:val="center"/>
              <w:rPr>
                <w:szCs w:val="22"/>
              </w:rPr>
            </w:pPr>
            <w:r>
              <w:rPr>
                <w:szCs w:val="22"/>
              </w:rPr>
              <w:t>5</w:t>
            </w:r>
            <w:r>
              <w:rPr>
                <w:rFonts w:hint="eastAsia"/>
                <w:szCs w:val="22"/>
              </w:rPr>
              <w:t>5</w:t>
            </w:r>
          </w:p>
        </w:tc>
      </w:tr>
    </w:tbl>
    <w:p>
      <w:pPr>
        <w:pStyle w:val="27"/>
        <w:ind w:firstLine="560"/>
        <w:rPr>
          <w:szCs w:val="28"/>
        </w:rPr>
      </w:pPr>
      <w:r>
        <w:rPr>
          <w:rFonts w:hint="eastAsia"/>
          <w:szCs w:val="28"/>
        </w:rPr>
        <w:t>（3）</w:t>
      </w:r>
      <w:r>
        <w:rPr>
          <w:szCs w:val="28"/>
        </w:rPr>
        <w:t>评价结果</w:t>
      </w:r>
    </w:p>
    <w:p>
      <w:pPr>
        <w:pStyle w:val="27"/>
        <w:ind w:firstLine="560"/>
      </w:pPr>
      <w:r>
        <w:rPr>
          <w:rFonts w:hint="eastAsia"/>
        </w:rPr>
        <w:t>各厂界</w:t>
      </w:r>
      <w:r>
        <w:t>昼间、夜间声环境现状监测结果均</w:t>
      </w:r>
      <w:r>
        <w:rPr>
          <w:rFonts w:hint="eastAsia"/>
        </w:rPr>
        <w:t>低于</w:t>
      </w:r>
      <w:r>
        <w:t>《声环境质量标准》（GB3096-2008）</w:t>
      </w:r>
      <w:r>
        <w:rPr>
          <w:rFonts w:hint="eastAsia"/>
        </w:rPr>
        <w:t>3</w:t>
      </w:r>
      <w:r>
        <w:t>类标准限值</w:t>
      </w:r>
      <w:r>
        <w:rPr>
          <w:rFonts w:hint="eastAsia"/>
        </w:rPr>
        <w:t>。</w:t>
      </w:r>
    </w:p>
    <w:p>
      <w:pPr>
        <w:pStyle w:val="27"/>
        <w:ind w:firstLine="560"/>
      </w:pPr>
    </w:p>
    <w:p>
      <w:pPr>
        <w:pStyle w:val="31"/>
        <w:rPr>
          <w:rStyle w:val="25"/>
          <w:rFonts w:ascii="Calibri" w:hAnsi="Calibri" w:eastAsia="宋体"/>
          <w:b w:val="0"/>
        </w:rPr>
      </w:pPr>
      <w:r>
        <w:t>4.</w:t>
      </w:r>
      <w:r>
        <w:rPr>
          <w:rFonts w:hint="eastAsia"/>
        </w:rPr>
        <w:t>3.4</w:t>
      </w:r>
      <w:r>
        <w:t xml:space="preserve"> 土壤环境质量现状监测与评价</w:t>
      </w:r>
    </w:p>
    <w:p>
      <w:pPr>
        <w:pStyle w:val="33"/>
      </w:pPr>
      <w:r>
        <w:t>4.</w:t>
      </w:r>
      <w:r>
        <w:rPr>
          <w:rFonts w:hint="eastAsia"/>
        </w:rPr>
        <w:t>3</w:t>
      </w:r>
      <w:r>
        <w:t>.</w:t>
      </w:r>
      <w:r>
        <w:rPr>
          <w:rFonts w:hint="eastAsia"/>
        </w:rPr>
        <w:t>4.</w:t>
      </w:r>
      <w:r>
        <w:t>1 现状监测</w:t>
      </w:r>
    </w:p>
    <w:p>
      <w:pPr>
        <w:pStyle w:val="27"/>
        <w:ind w:firstLine="560"/>
      </w:pPr>
      <w:r>
        <w:rPr>
          <w:rFonts w:hint="eastAsia"/>
        </w:rPr>
        <w:t>（1）</w:t>
      </w:r>
      <w:r>
        <w:t>监测因子</w:t>
      </w:r>
    </w:p>
    <w:p>
      <w:pPr>
        <w:pStyle w:val="27"/>
        <w:ind w:firstLine="560"/>
      </w:pPr>
      <w:r>
        <w:rPr>
          <w:rFonts w:hint="eastAsia"/>
        </w:rPr>
        <w:t>按《环境影响评价技术导则 土壤环境（试行）》（HJ964-2018）要求，土壤环境现状监测因子分为基本因子和特征因子；基本因子为GB15618、GB36600中规定的基本项目；既是特征因子，又是基本因子的，按特征因子对待。</w:t>
      </w:r>
    </w:p>
    <w:p>
      <w:pPr>
        <w:pStyle w:val="27"/>
        <w:ind w:firstLine="560"/>
      </w:pPr>
      <w:r>
        <w:rPr>
          <w:rFonts w:hint="eastAsia"/>
        </w:rPr>
        <w:t>本项目</w:t>
      </w:r>
      <w:r>
        <w:t>土壤环境质量现状监测</w:t>
      </w:r>
      <w:r>
        <w:rPr>
          <w:rFonts w:hint="eastAsia"/>
        </w:rPr>
        <w:t>基本</w:t>
      </w:r>
      <w:r>
        <w:t>因子</w:t>
      </w:r>
      <w:r>
        <w:rPr>
          <w:rFonts w:hint="eastAsia"/>
        </w:rPr>
        <w:t>为《土壤环境质量 建设用地土壤污染风险管控标准》（试行）45项基本项目，以及氰化物（仅现有污水处理站区域柱状样监测）、石油烃等2项特征因子。</w:t>
      </w:r>
    </w:p>
    <w:p>
      <w:pPr>
        <w:pStyle w:val="27"/>
        <w:ind w:firstLine="560"/>
      </w:pPr>
      <w:r>
        <w:rPr>
          <w:rFonts w:hint="eastAsia"/>
        </w:rPr>
        <w:t>（2）</w:t>
      </w:r>
      <w:r>
        <w:t>监测布点</w:t>
      </w:r>
      <w:r>
        <w:rPr>
          <w:rFonts w:hint="eastAsia"/>
        </w:rPr>
        <w:t>情况</w:t>
      </w:r>
    </w:p>
    <w:p>
      <w:pPr>
        <w:pStyle w:val="27"/>
        <w:ind w:firstLine="560"/>
      </w:pPr>
      <w:r>
        <w:rPr>
          <w:rFonts w:hint="eastAsia"/>
        </w:rPr>
        <w:t>按《环境影响评价技术导则 土壤环境（试行）》（HJ964-2018）要求，根据项目土壤环境影响类型、评价工作等级、土地利用类型，采用均布性与代表性相结合的原则布设土壤环境现状监测点位。在占地范围内，共设置了3个柱状样点和1个表层样点。在占地范围外，共设置了4个表层样点。此外，在现有工程重要装置区附近设置了2个柱状样点和1个表层样点。详见表4.3-11和环境质量现状监测点位图。</w:t>
      </w:r>
    </w:p>
    <w:p>
      <w:pPr>
        <w:pStyle w:val="32"/>
        <w:tabs>
          <w:tab w:val="left" w:pos="4540"/>
          <w:tab w:val="clear" w:pos="900"/>
        </w:tabs>
      </w:pPr>
      <w:r>
        <w:t>表4.3-</w:t>
      </w:r>
      <w:r>
        <w:rPr>
          <w:rFonts w:hint="eastAsia"/>
        </w:rPr>
        <w:t xml:space="preserve">11            </w:t>
      </w:r>
      <w:r>
        <w:t>土壤环境质量现状监测布点情况</w:t>
      </w:r>
    </w:p>
    <w:tbl>
      <w:tblPr>
        <w:tblStyle w:val="22"/>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1083"/>
        <w:gridCol w:w="700"/>
        <w:gridCol w:w="1942"/>
        <w:gridCol w:w="1742"/>
        <w:gridCol w:w="353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blHeader/>
        </w:trPr>
        <w:tc>
          <w:tcPr>
            <w:tcW w:w="1106" w:type="dxa"/>
            <w:vAlign w:val="center"/>
          </w:tcPr>
          <w:p>
            <w:pPr>
              <w:pStyle w:val="35"/>
              <w:rPr>
                <w:b/>
                <w:bCs/>
              </w:rPr>
            </w:pPr>
            <w:r>
              <w:rPr>
                <w:b/>
                <w:bCs/>
              </w:rPr>
              <w:t>区域</w:t>
            </w:r>
          </w:p>
        </w:tc>
        <w:tc>
          <w:tcPr>
            <w:tcW w:w="709" w:type="dxa"/>
            <w:vAlign w:val="center"/>
          </w:tcPr>
          <w:p>
            <w:pPr>
              <w:pStyle w:val="35"/>
              <w:rPr>
                <w:b/>
                <w:bCs/>
              </w:rPr>
            </w:pPr>
            <w:r>
              <w:rPr>
                <w:b/>
                <w:bCs/>
              </w:rPr>
              <w:t>序号</w:t>
            </w:r>
          </w:p>
        </w:tc>
        <w:tc>
          <w:tcPr>
            <w:tcW w:w="1979" w:type="dxa"/>
            <w:tcBorders>
              <w:top w:val="single" w:color="auto" w:sz="8" w:space="0"/>
            </w:tcBorders>
            <w:vAlign w:val="center"/>
          </w:tcPr>
          <w:p>
            <w:pPr>
              <w:pStyle w:val="35"/>
              <w:rPr>
                <w:b/>
                <w:bCs/>
              </w:rPr>
            </w:pPr>
            <w:r>
              <w:rPr>
                <w:b/>
                <w:bCs/>
              </w:rPr>
              <w:t>点位</w:t>
            </w:r>
          </w:p>
        </w:tc>
        <w:tc>
          <w:tcPr>
            <w:tcW w:w="1760" w:type="dxa"/>
            <w:vAlign w:val="center"/>
          </w:tcPr>
          <w:p>
            <w:pPr>
              <w:pStyle w:val="35"/>
              <w:rPr>
                <w:b/>
                <w:bCs/>
              </w:rPr>
            </w:pPr>
            <w:r>
              <w:rPr>
                <w:b/>
                <w:bCs/>
              </w:rPr>
              <w:t>采样深度</w:t>
            </w:r>
          </w:p>
        </w:tc>
        <w:tc>
          <w:tcPr>
            <w:tcW w:w="3621" w:type="dxa"/>
            <w:vAlign w:val="center"/>
          </w:tcPr>
          <w:p>
            <w:pPr>
              <w:pStyle w:val="35"/>
              <w:rPr>
                <w:b/>
                <w:bCs/>
              </w:rPr>
            </w:pPr>
            <w:r>
              <w:rPr>
                <w:b/>
                <w:bCs/>
              </w:rPr>
              <w:t>监测因子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5" w:hRule="atLeast"/>
        </w:trPr>
        <w:tc>
          <w:tcPr>
            <w:tcW w:w="1106" w:type="dxa"/>
            <w:vMerge w:val="restart"/>
            <w:vAlign w:val="center"/>
          </w:tcPr>
          <w:p>
            <w:pPr>
              <w:pStyle w:val="35"/>
            </w:pPr>
            <w:r>
              <w:rPr>
                <w:rFonts w:hint="eastAsia"/>
              </w:rPr>
              <w:t>项目</w:t>
            </w:r>
            <w:r>
              <w:t>占地范围内</w:t>
            </w:r>
          </w:p>
        </w:tc>
        <w:tc>
          <w:tcPr>
            <w:tcW w:w="709" w:type="dxa"/>
            <w:vAlign w:val="center"/>
          </w:tcPr>
          <w:p>
            <w:pPr>
              <w:pStyle w:val="35"/>
            </w:pPr>
            <w:r>
              <w:t>1#</w:t>
            </w:r>
          </w:p>
        </w:tc>
        <w:tc>
          <w:tcPr>
            <w:tcW w:w="1979" w:type="dxa"/>
            <w:vAlign w:val="center"/>
          </w:tcPr>
          <w:p>
            <w:pPr>
              <w:pStyle w:val="35"/>
            </w:pPr>
            <w:r>
              <w:rPr>
                <w:rFonts w:hint="eastAsia"/>
              </w:rPr>
              <w:t>合成釜附近</w:t>
            </w:r>
          </w:p>
        </w:tc>
        <w:tc>
          <w:tcPr>
            <w:tcW w:w="1760" w:type="dxa"/>
            <w:vMerge w:val="restart"/>
            <w:vAlign w:val="center"/>
          </w:tcPr>
          <w:p>
            <w:pPr>
              <w:pStyle w:val="35"/>
            </w:pPr>
            <w:r>
              <w:t>柱状样</w:t>
            </w:r>
          </w:p>
          <w:p>
            <w:pPr>
              <w:pStyle w:val="35"/>
            </w:pPr>
            <w:r>
              <w:t>（0-0.5m、0.5-1.5m、1.5-3m）</w:t>
            </w:r>
          </w:p>
        </w:tc>
        <w:tc>
          <w:tcPr>
            <w:tcW w:w="3621" w:type="dxa"/>
            <w:vMerge w:val="restart"/>
            <w:vAlign w:val="center"/>
          </w:tcPr>
          <w:p>
            <w:pPr>
              <w:pStyle w:val="35"/>
              <w:jc w:val="both"/>
            </w:pPr>
            <w:r>
              <w:t>《土壤环境质量 建设用地土壤污染风险管控标准》（试行）（第二类用地）45项基本因子；</w:t>
            </w:r>
          </w:p>
          <w:p>
            <w:pPr>
              <w:pStyle w:val="35"/>
              <w:jc w:val="both"/>
            </w:pPr>
            <w:r>
              <w:t>特征因子：</w:t>
            </w:r>
            <w:r>
              <w:rPr>
                <w:rFonts w:hint="eastAsia"/>
              </w:rPr>
              <w:t>石油烃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continue"/>
            <w:vAlign w:val="center"/>
          </w:tcPr>
          <w:p>
            <w:pPr>
              <w:pStyle w:val="35"/>
            </w:pPr>
          </w:p>
        </w:tc>
        <w:tc>
          <w:tcPr>
            <w:tcW w:w="709" w:type="dxa"/>
            <w:vAlign w:val="center"/>
          </w:tcPr>
          <w:p>
            <w:pPr>
              <w:pStyle w:val="35"/>
            </w:pPr>
            <w:r>
              <w:t>2#</w:t>
            </w:r>
          </w:p>
        </w:tc>
        <w:tc>
          <w:tcPr>
            <w:tcW w:w="1979" w:type="dxa"/>
            <w:vAlign w:val="center"/>
          </w:tcPr>
          <w:p>
            <w:pPr>
              <w:pStyle w:val="35"/>
            </w:pPr>
            <w:r>
              <w:rPr>
                <w:rFonts w:hint="eastAsia"/>
              </w:rPr>
              <w:t>乙二醇精馏工段</w:t>
            </w:r>
          </w:p>
        </w:tc>
        <w:tc>
          <w:tcPr>
            <w:tcW w:w="1760" w:type="dxa"/>
            <w:vMerge w:val="continue"/>
            <w:vAlign w:val="center"/>
          </w:tcPr>
          <w:p>
            <w:pPr>
              <w:pStyle w:val="35"/>
            </w:pP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continue"/>
            <w:vAlign w:val="center"/>
          </w:tcPr>
          <w:p>
            <w:pPr>
              <w:pStyle w:val="35"/>
            </w:pPr>
          </w:p>
        </w:tc>
        <w:tc>
          <w:tcPr>
            <w:tcW w:w="709" w:type="dxa"/>
            <w:vAlign w:val="center"/>
          </w:tcPr>
          <w:p>
            <w:pPr>
              <w:pStyle w:val="35"/>
            </w:pPr>
            <w:r>
              <w:t>3#</w:t>
            </w:r>
          </w:p>
        </w:tc>
        <w:tc>
          <w:tcPr>
            <w:tcW w:w="1979" w:type="dxa"/>
            <w:vAlign w:val="center"/>
          </w:tcPr>
          <w:p>
            <w:pPr>
              <w:pStyle w:val="35"/>
            </w:pPr>
            <w:r>
              <w:rPr>
                <w:rFonts w:hint="eastAsia"/>
              </w:rPr>
              <w:t>尾气洗涤塔</w:t>
            </w:r>
          </w:p>
        </w:tc>
        <w:tc>
          <w:tcPr>
            <w:tcW w:w="1760" w:type="dxa"/>
            <w:vMerge w:val="continue"/>
            <w:vAlign w:val="center"/>
          </w:tcPr>
          <w:p>
            <w:pPr>
              <w:pStyle w:val="35"/>
            </w:pP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continue"/>
            <w:vAlign w:val="center"/>
          </w:tcPr>
          <w:p>
            <w:pPr>
              <w:pStyle w:val="35"/>
            </w:pPr>
          </w:p>
        </w:tc>
        <w:tc>
          <w:tcPr>
            <w:tcW w:w="709" w:type="dxa"/>
            <w:vAlign w:val="center"/>
          </w:tcPr>
          <w:p>
            <w:pPr>
              <w:pStyle w:val="35"/>
            </w:pPr>
            <w:r>
              <w:t>4#</w:t>
            </w:r>
          </w:p>
        </w:tc>
        <w:tc>
          <w:tcPr>
            <w:tcW w:w="1979" w:type="dxa"/>
            <w:vAlign w:val="center"/>
          </w:tcPr>
          <w:p>
            <w:pPr>
              <w:pStyle w:val="35"/>
            </w:pPr>
            <w:r>
              <w:rPr>
                <w:rFonts w:hint="eastAsia"/>
              </w:rPr>
              <w:t>闪蒸液罐</w:t>
            </w:r>
          </w:p>
        </w:tc>
        <w:tc>
          <w:tcPr>
            <w:tcW w:w="1760" w:type="dxa"/>
            <w:vAlign w:val="center"/>
          </w:tcPr>
          <w:p>
            <w:pPr>
              <w:pStyle w:val="35"/>
            </w:pPr>
            <w:r>
              <w:t>0-0.2m</w:t>
            </w: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restart"/>
            <w:vAlign w:val="center"/>
          </w:tcPr>
          <w:p>
            <w:pPr>
              <w:pStyle w:val="35"/>
            </w:pPr>
            <w:r>
              <w:t>现有工程</w:t>
            </w:r>
          </w:p>
        </w:tc>
        <w:tc>
          <w:tcPr>
            <w:tcW w:w="709" w:type="dxa"/>
            <w:vAlign w:val="center"/>
          </w:tcPr>
          <w:p>
            <w:pPr>
              <w:pStyle w:val="35"/>
            </w:pPr>
            <w:r>
              <w:t>5#</w:t>
            </w:r>
          </w:p>
        </w:tc>
        <w:tc>
          <w:tcPr>
            <w:tcW w:w="1979" w:type="dxa"/>
            <w:vAlign w:val="center"/>
          </w:tcPr>
          <w:p>
            <w:pPr>
              <w:pStyle w:val="35"/>
            </w:pPr>
            <w:r>
              <w:t>现有MMA装置区</w:t>
            </w:r>
            <w:r>
              <w:rPr>
                <w:rFonts w:hint="eastAsia"/>
              </w:rPr>
              <w:t>（罐区附近）</w:t>
            </w:r>
          </w:p>
        </w:tc>
        <w:tc>
          <w:tcPr>
            <w:tcW w:w="1760" w:type="dxa"/>
            <w:vAlign w:val="center"/>
          </w:tcPr>
          <w:p>
            <w:pPr>
              <w:pStyle w:val="35"/>
            </w:pPr>
            <w:r>
              <w:t>0-0.2m</w:t>
            </w:r>
          </w:p>
        </w:tc>
        <w:tc>
          <w:tcPr>
            <w:tcW w:w="3621" w:type="dxa"/>
            <w:vMerge w:val="restart"/>
            <w:vAlign w:val="center"/>
          </w:tcPr>
          <w:p>
            <w:pPr>
              <w:pStyle w:val="35"/>
              <w:jc w:val="both"/>
            </w:pPr>
            <w:r>
              <w:t>《土壤环境质量 建设用地土壤污染风险管控标准》（试行）（第二类用地）45项基本因子；</w:t>
            </w:r>
          </w:p>
          <w:p>
            <w:pPr>
              <w:pStyle w:val="35"/>
              <w:jc w:val="both"/>
            </w:pPr>
            <w:r>
              <w:t>特征因子：</w:t>
            </w:r>
            <w:r>
              <w:rPr>
                <w:rFonts w:hint="eastAsia"/>
              </w:rPr>
              <w:t>石油烃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continue"/>
            <w:vAlign w:val="center"/>
          </w:tcPr>
          <w:p>
            <w:pPr>
              <w:pStyle w:val="35"/>
            </w:pPr>
          </w:p>
        </w:tc>
        <w:tc>
          <w:tcPr>
            <w:tcW w:w="709" w:type="dxa"/>
            <w:vAlign w:val="center"/>
          </w:tcPr>
          <w:p>
            <w:pPr>
              <w:pStyle w:val="35"/>
            </w:pPr>
            <w:r>
              <w:t>6#</w:t>
            </w:r>
          </w:p>
        </w:tc>
        <w:tc>
          <w:tcPr>
            <w:tcW w:w="1979" w:type="dxa"/>
            <w:vAlign w:val="center"/>
          </w:tcPr>
          <w:p>
            <w:pPr>
              <w:pStyle w:val="35"/>
            </w:pPr>
            <w:r>
              <w:t>现有甲醇装置区</w:t>
            </w:r>
            <w:r>
              <w:rPr>
                <w:rFonts w:hint="eastAsia"/>
              </w:rPr>
              <w:t>（甲醇罐区附近）</w:t>
            </w:r>
          </w:p>
        </w:tc>
        <w:tc>
          <w:tcPr>
            <w:tcW w:w="1760" w:type="dxa"/>
            <w:vAlign w:val="center"/>
          </w:tcPr>
          <w:p>
            <w:pPr>
              <w:pStyle w:val="35"/>
            </w:pPr>
            <w:r>
              <w:t>柱状样</w:t>
            </w:r>
          </w:p>
          <w:p>
            <w:pPr>
              <w:pStyle w:val="35"/>
            </w:pPr>
            <w:r>
              <w:t>（0-0.5m、0.5-1.5m、1.5-3m）</w:t>
            </w: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 w:hRule="atLeast"/>
        </w:trPr>
        <w:tc>
          <w:tcPr>
            <w:tcW w:w="1106" w:type="dxa"/>
            <w:vMerge w:val="continue"/>
            <w:vAlign w:val="center"/>
          </w:tcPr>
          <w:p>
            <w:pPr>
              <w:pStyle w:val="35"/>
            </w:pPr>
          </w:p>
        </w:tc>
        <w:tc>
          <w:tcPr>
            <w:tcW w:w="709" w:type="dxa"/>
            <w:vAlign w:val="center"/>
          </w:tcPr>
          <w:p>
            <w:pPr>
              <w:pStyle w:val="35"/>
            </w:pPr>
            <w:r>
              <w:t>7#</w:t>
            </w:r>
          </w:p>
        </w:tc>
        <w:tc>
          <w:tcPr>
            <w:tcW w:w="1979" w:type="dxa"/>
            <w:vAlign w:val="center"/>
          </w:tcPr>
          <w:p>
            <w:pPr>
              <w:pStyle w:val="35"/>
            </w:pPr>
            <w:r>
              <w:rPr>
                <w:rFonts w:hint="eastAsia"/>
              </w:rPr>
              <w:t>现有污水处理站区域</w:t>
            </w:r>
          </w:p>
        </w:tc>
        <w:tc>
          <w:tcPr>
            <w:tcW w:w="1760" w:type="dxa"/>
            <w:vAlign w:val="center"/>
          </w:tcPr>
          <w:p>
            <w:pPr>
              <w:pStyle w:val="35"/>
            </w:pPr>
            <w:r>
              <w:t>柱状样</w:t>
            </w:r>
          </w:p>
          <w:p>
            <w:pPr>
              <w:pStyle w:val="35"/>
            </w:pPr>
            <w:r>
              <w:t>（0-0.5m、0.5-1.5m、1.5-3m）</w:t>
            </w:r>
          </w:p>
        </w:tc>
        <w:tc>
          <w:tcPr>
            <w:tcW w:w="3621" w:type="dxa"/>
            <w:vAlign w:val="center"/>
          </w:tcPr>
          <w:p>
            <w:pPr>
              <w:pStyle w:val="35"/>
              <w:jc w:val="both"/>
            </w:pPr>
            <w:r>
              <w:t>《土壤环境质量 建设用地土壤污染风险管控标准》（试行）（第二类用地）45项基本因子；</w:t>
            </w:r>
          </w:p>
          <w:p>
            <w:pPr>
              <w:pStyle w:val="35"/>
              <w:jc w:val="both"/>
            </w:pPr>
            <w:r>
              <w:t>特征因子：</w:t>
            </w:r>
            <w:r>
              <w:rPr>
                <w:rFonts w:hint="eastAsia"/>
              </w:rPr>
              <w:t>氰化物</w:t>
            </w:r>
            <w:r>
              <w:t>、</w:t>
            </w:r>
            <w:r>
              <w:rPr>
                <w:rFonts w:hint="eastAsia"/>
              </w:rPr>
              <w:t>石油烃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8" w:hRule="atLeast"/>
        </w:trPr>
        <w:tc>
          <w:tcPr>
            <w:tcW w:w="1106" w:type="dxa"/>
            <w:vMerge w:val="restart"/>
            <w:vAlign w:val="center"/>
          </w:tcPr>
          <w:p>
            <w:pPr>
              <w:pStyle w:val="35"/>
            </w:pPr>
            <w:r>
              <w:t>厂界外</w:t>
            </w:r>
          </w:p>
        </w:tc>
        <w:tc>
          <w:tcPr>
            <w:tcW w:w="709" w:type="dxa"/>
            <w:vAlign w:val="center"/>
          </w:tcPr>
          <w:p>
            <w:pPr>
              <w:pStyle w:val="35"/>
            </w:pPr>
            <w:r>
              <w:t>8#</w:t>
            </w:r>
          </w:p>
        </w:tc>
        <w:tc>
          <w:tcPr>
            <w:tcW w:w="1979" w:type="dxa"/>
            <w:vAlign w:val="center"/>
          </w:tcPr>
          <w:p>
            <w:pPr>
              <w:pStyle w:val="35"/>
            </w:pPr>
            <w:r>
              <w:t>张康呼村庄</w:t>
            </w:r>
          </w:p>
        </w:tc>
        <w:tc>
          <w:tcPr>
            <w:tcW w:w="1760" w:type="dxa"/>
            <w:vMerge w:val="restart"/>
            <w:vAlign w:val="center"/>
          </w:tcPr>
          <w:p>
            <w:pPr>
              <w:pStyle w:val="35"/>
            </w:pPr>
            <w:r>
              <w:t>0-0.2m</w:t>
            </w:r>
          </w:p>
        </w:tc>
        <w:tc>
          <w:tcPr>
            <w:tcW w:w="3621" w:type="dxa"/>
            <w:vMerge w:val="restart"/>
            <w:vAlign w:val="center"/>
          </w:tcPr>
          <w:p>
            <w:pPr>
              <w:pStyle w:val="35"/>
              <w:jc w:val="both"/>
            </w:pPr>
            <w:r>
              <w:t>《土壤环境质量 建设用地土壤污染风险管控标准》（试行）（第一类用地）45项基本因子；</w:t>
            </w:r>
          </w:p>
          <w:p>
            <w:pPr>
              <w:pStyle w:val="35"/>
              <w:jc w:val="both"/>
            </w:pPr>
            <w:r>
              <w:t>特征因子：</w:t>
            </w:r>
            <w:r>
              <w:rPr>
                <w:rFonts w:hint="eastAsia"/>
              </w:rPr>
              <w:t>石油烃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6" w:hRule="atLeast"/>
        </w:trPr>
        <w:tc>
          <w:tcPr>
            <w:tcW w:w="1106" w:type="dxa"/>
            <w:vMerge w:val="continue"/>
            <w:vAlign w:val="center"/>
          </w:tcPr>
          <w:p>
            <w:pPr>
              <w:pStyle w:val="35"/>
            </w:pPr>
          </w:p>
        </w:tc>
        <w:tc>
          <w:tcPr>
            <w:tcW w:w="709" w:type="dxa"/>
            <w:vAlign w:val="center"/>
          </w:tcPr>
          <w:p>
            <w:pPr>
              <w:pStyle w:val="35"/>
            </w:pPr>
            <w:r>
              <w:t>9#</w:t>
            </w:r>
          </w:p>
        </w:tc>
        <w:tc>
          <w:tcPr>
            <w:tcW w:w="1979" w:type="dxa"/>
            <w:vAlign w:val="center"/>
          </w:tcPr>
          <w:p>
            <w:pPr>
              <w:pStyle w:val="35"/>
            </w:pPr>
            <w:r>
              <w:t>项目</w:t>
            </w:r>
            <w:r>
              <w:rPr>
                <w:rFonts w:hint="eastAsia"/>
              </w:rPr>
              <w:t>东</w:t>
            </w:r>
            <w:r>
              <w:t>北侧空地</w:t>
            </w:r>
          </w:p>
        </w:tc>
        <w:tc>
          <w:tcPr>
            <w:tcW w:w="1760" w:type="dxa"/>
            <w:vMerge w:val="continue"/>
            <w:vAlign w:val="center"/>
          </w:tcPr>
          <w:p>
            <w:pPr>
              <w:pStyle w:val="35"/>
            </w:pP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6" w:hRule="atLeast"/>
        </w:trPr>
        <w:tc>
          <w:tcPr>
            <w:tcW w:w="1106" w:type="dxa"/>
            <w:vMerge w:val="continue"/>
            <w:vAlign w:val="center"/>
          </w:tcPr>
          <w:p>
            <w:pPr>
              <w:pStyle w:val="35"/>
            </w:pPr>
          </w:p>
        </w:tc>
        <w:tc>
          <w:tcPr>
            <w:tcW w:w="709" w:type="dxa"/>
            <w:vAlign w:val="center"/>
          </w:tcPr>
          <w:p>
            <w:pPr>
              <w:pStyle w:val="35"/>
            </w:pPr>
            <w:r>
              <w:t>10#</w:t>
            </w:r>
          </w:p>
        </w:tc>
        <w:tc>
          <w:tcPr>
            <w:tcW w:w="1979" w:type="dxa"/>
            <w:vAlign w:val="center"/>
          </w:tcPr>
          <w:p>
            <w:pPr>
              <w:pStyle w:val="35"/>
            </w:pPr>
            <w:r>
              <w:t>项目西北侧空地</w:t>
            </w:r>
          </w:p>
        </w:tc>
        <w:tc>
          <w:tcPr>
            <w:tcW w:w="1760" w:type="dxa"/>
            <w:vMerge w:val="continue"/>
            <w:vAlign w:val="center"/>
          </w:tcPr>
          <w:p>
            <w:pPr>
              <w:pStyle w:val="35"/>
            </w:pPr>
          </w:p>
        </w:tc>
        <w:tc>
          <w:tcPr>
            <w:tcW w:w="3621" w:type="dxa"/>
            <w:vMerge w:val="continue"/>
            <w:vAlign w:val="center"/>
          </w:tcPr>
          <w:p>
            <w:pPr>
              <w:pStyle w:val="35"/>
              <w:jc w:val="both"/>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6" w:hRule="atLeast"/>
        </w:trPr>
        <w:tc>
          <w:tcPr>
            <w:tcW w:w="1106" w:type="dxa"/>
            <w:vMerge w:val="continue"/>
            <w:vAlign w:val="center"/>
          </w:tcPr>
          <w:p>
            <w:pPr>
              <w:pStyle w:val="35"/>
            </w:pPr>
          </w:p>
        </w:tc>
        <w:tc>
          <w:tcPr>
            <w:tcW w:w="709" w:type="dxa"/>
            <w:vAlign w:val="center"/>
          </w:tcPr>
          <w:p>
            <w:pPr>
              <w:pStyle w:val="35"/>
            </w:pPr>
            <w:r>
              <w:t>11#</w:t>
            </w:r>
          </w:p>
        </w:tc>
        <w:tc>
          <w:tcPr>
            <w:tcW w:w="1979" w:type="dxa"/>
            <w:vAlign w:val="center"/>
          </w:tcPr>
          <w:p>
            <w:pPr>
              <w:pStyle w:val="35"/>
            </w:pPr>
            <w:r>
              <w:t>张康呼村农用地</w:t>
            </w:r>
          </w:p>
        </w:tc>
        <w:tc>
          <w:tcPr>
            <w:tcW w:w="1760" w:type="dxa"/>
            <w:vMerge w:val="continue"/>
            <w:vAlign w:val="center"/>
          </w:tcPr>
          <w:p>
            <w:pPr>
              <w:pStyle w:val="35"/>
            </w:pPr>
          </w:p>
        </w:tc>
        <w:tc>
          <w:tcPr>
            <w:tcW w:w="3621" w:type="dxa"/>
            <w:vAlign w:val="center"/>
          </w:tcPr>
          <w:p>
            <w:pPr>
              <w:pStyle w:val="35"/>
              <w:jc w:val="both"/>
            </w:pPr>
            <w:r>
              <w:t>《土壤环境质量 农用地土壤污染风险管控标准》（试行）8项基本因子；</w:t>
            </w:r>
          </w:p>
          <w:p>
            <w:pPr>
              <w:pStyle w:val="35"/>
              <w:jc w:val="both"/>
            </w:pPr>
            <w:r>
              <w:t>特征因子：</w:t>
            </w:r>
            <w:r>
              <w:rPr>
                <w:rFonts w:hint="eastAsia"/>
              </w:rPr>
              <w:t>石油烃</w:t>
            </w:r>
          </w:p>
        </w:tc>
      </w:tr>
    </w:tbl>
    <w:p>
      <w:pPr>
        <w:pStyle w:val="27"/>
        <w:ind w:firstLine="560"/>
      </w:pPr>
      <w:r>
        <w:rPr>
          <w:rFonts w:hint="eastAsia"/>
        </w:rPr>
        <w:t>（3）</w:t>
      </w:r>
      <w:r>
        <w:t>监测时间</w:t>
      </w:r>
      <w:r>
        <w:rPr>
          <w:rFonts w:hint="eastAsia"/>
        </w:rPr>
        <w:t>与</w:t>
      </w:r>
      <w:r>
        <w:t>频次</w:t>
      </w:r>
    </w:p>
    <w:p>
      <w:pPr>
        <w:pStyle w:val="27"/>
        <w:ind w:firstLine="560"/>
      </w:pPr>
      <w:r>
        <w:rPr>
          <w:rFonts w:hint="eastAsia"/>
        </w:rPr>
        <w:t>采样日期为2021.3.19~2021.3.20。各点位均采样一次。</w:t>
      </w:r>
    </w:p>
    <w:p>
      <w:pPr>
        <w:pStyle w:val="27"/>
        <w:ind w:firstLine="560"/>
      </w:pPr>
      <w:r>
        <w:rPr>
          <w:rFonts w:hint="eastAsia"/>
        </w:rPr>
        <w:t>（4）</w:t>
      </w:r>
      <w:r>
        <w:t>监测结果</w:t>
      </w:r>
    </w:p>
    <w:p>
      <w:pPr>
        <w:pStyle w:val="27"/>
        <w:ind w:firstLine="560"/>
      </w:pPr>
      <w:r>
        <w:t>土壤</w:t>
      </w:r>
      <w:r>
        <w:rPr>
          <w:rFonts w:hint="eastAsia"/>
        </w:rPr>
        <w:t>环境</w:t>
      </w:r>
      <w:r>
        <w:t>现状监测结果见表4</w:t>
      </w:r>
      <w:r>
        <w:rPr>
          <w:rFonts w:hint="eastAsia"/>
        </w:rPr>
        <w:t>.3</w:t>
      </w:r>
      <w:r>
        <w:t>-</w:t>
      </w:r>
      <w:r>
        <w:rPr>
          <w:rFonts w:hint="eastAsia"/>
        </w:rPr>
        <w:t>12</w:t>
      </w:r>
      <w:r>
        <w:t>。</w:t>
      </w:r>
    </w:p>
    <w:p>
      <w:pPr>
        <w:pStyle w:val="27"/>
        <w:ind w:firstLine="560"/>
      </w:pPr>
    </w:p>
    <w:p>
      <w:pPr>
        <w:pStyle w:val="27"/>
        <w:ind w:firstLine="560"/>
        <w:sectPr>
          <w:pgSz w:w="11907" w:h="16840"/>
          <w:pgMar w:top="1474" w:right="1474" w:bottom="1474" w:left="1474" w:header="851" w:footer="850" w:gutter="0"/>
          <w:cols w:space="720" w:num="1"/>
          <w:docGrid w:linePitch="312" w:charSpace="0"/>
        </w:sectPr>
      </w:pPr>
    </w:p>
    <w:p>
      <w:pPr>
        <w:pStyle w:val="32"/>
        <w:tabs>
          <w:tab w:val="left" w:pos="4540"/>
          <w:tab w:val="clear" w:pos="900"/>
        </w:tabs>
      </w:pPr>
      <w:r>
        <w:t>表4.3-</w:t>
      </w:r>
      <w:r>
        <w:rPr>
          <w:rFonts w:hint="eastAsia"/>
        </w:rPr>
        <w:t>12（1）                土壤检测结果</w:t>
      </w:r>
    </w:p>
    <w:tbl>
      <w:tblPr>
        <w:tblStyle w:val="21"/>
        <w:tblW w:w="4996"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71"/>
        <w:gridCol w:w="2310"/>
        <w:gridCol w:w="239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spacing w:before="60" w:beforeLines="25" w:after="60" w:afterLines="25"/>
              <w:jc w:val="center"/>
              <w:rPr>
                <w:b/>
                <w:bCs/>
              </w:rPr>
            </w:pPr>
            <w:r>
              <w:rPr>
                <w:rFonts w:hint="eastAsia"/>
                <w:b/>
                <w:bCs/>
              </w:rPr>
              <w:t>监 测 项 目</w:t>
            </w:r>
          </w:p>
        </w:tc>
        <w:tc>
          <w:tcPr>
            <w:tcW w:w="1238" w:type="pct"/>
            <w:vAlign w:val="center"/>
          </w:tcPr>
          <w:p>
            <w:pPr>
              <w:widowControl/>
              <w:jc w:val="center"/>
              <w:rPr>
                <w:b/>
                <w:bCs/>
              </w:rPr>
            </w:pPr>
            <w:r>
              <w:rPr>
                <w:b/>
                <w:bCs/>
              </w:rPr>
              <w:t>H02774545</w:t>
            </w:r>
          </w:p>
          <w:p>
            <w:pPr>
              <w:widowControl/>
              <w:jc w:val="center"/>
              <w:rPr>
                <w:b/>
                <w:bCs/>
              </w:rPr>
            </w:pPr>
            <w:r>
              <w:rPr>
                <w:b/>
                <w:bCs/>
              </w:rPr>
              <w:t xml:space="preserve">土壤   </w:t>
            </w:r>
          </w:p>
          <w:p>
            <w:pPr>
              <w:widowControl/>
              <w:jc w:val="center"/>
              <w:rPr>
                <w:b/>
                <w:bCs/>
              </w:rPr>
            </w:pPr>
            <w:r>
              <w:rPr>
                <w:b/>
                <w:bCs/>
              </w:rPr>
              <w:t>1#合成釜附近0-0.5m</w:t>
            </w:r>
          </w:p>
          <w:p>
            <w:pPr>
              <w:widowControl/>
              <w:jc w:val="center"/>
              <w:rPr>
                <w:b/>
                <w:bCs/>
                <w:kern w:val="0"/>
              </w:rPr>
            </w:pPr>
            <w:r>
              <w:rPr>
                <w:b/>
                <w:bCs/>
              </w:rPr>
              <w:t>土壤理化特性</w:t>
            </w:r>
          </w:p>
        </w:tc>
        <w:tc>
          <w:tcPr>
            <w:tcW w:w="1259" w:type="pct"/>
            <w:vAlign w:val="center"/>
          </w:tcPr>
          <w:p>
            <w:pPr>
              <w:widowControl/>
              <w:jc w:val="center"/>
              <w:rPr>
                <w:b/>
                <w:bCs/>
              </w:rPr>
            </w:pPr>
            <w:r>
              <w:rPr>
                <w:b/>
                <w:bCs/>
              </w:rPr>
              <w:t>H02775545</w:t>
            </w:r>
          </w:p>
          <w:p>
            <w:pPr>
              <w:widowControl/>
              <w:jc w:val="center"/>
              <w:rPr>
                <w:b/>
                <w:bCs/>
              </w:rPr>
            </w:pPr>
            <w:r>
              <w:rPr>
                <w:b/>
                <w:bCs/>
              </w:rPr>
              <w:t xml:space="preserve">土壤   </w:t>
            </w:r>
          </w:p>
          <w:p>
            <w:pPr>
              <w:widowControl/>
              <w:jc w:val="center"/>
              <w:rPr>
                <w:b/>
                <w:bCs/>
                <w:kern w:val="0"/>
              </w:rPr>
            </w:pPr>
            <w:r>
              <w:rPr>
                <w:b/>
                <w:bCs/>
              </w:rPr>
              <w:t>1#合成釜附近0.5-1.5m土壤理化特性</w:t>
            </w:r>
          </w:p>
        </w:tc>
        <w:tc>
          <w:tcPr>
            <w:tcW w:w="1307" w:type="pct"/>
            <w:vAlign w:val="center"/>
          </w:tcPr>
          <w:p>
            <w:pPr>
              <w:widowControl/>
              <w:jc w:val="center"/>
              <w:rPr>
                <w:b/>
                <w:bCs/>
              </w:rPr>
            </w:pPr>
            <w:r>
              <w:rPr>
                <w:b/>
                <w:bCs/>
              </w:rPr>
              <w:t>H02776545</w:t>
            </w:r>
          </w:p>
          <w:p>
            <w:pPr>
              <w:widowControl/>
              <w:jc w:val="center"/>
              <w:rPr>
                <w:b/>
                <w:bCs/>
              </w:rPr>
            </w:pPr>
            <w:r>
              <w:rPr>
                <w:b/>
                <w:bCs/>
              </w:rPr>
              <w:t xml:space="preserve">土壤   </w:t>
            </w:r>
          </w:p>
          <w:p>
            <w:pPr>
              <w:widowControl/>
              <w:jc w:val="center"/>
              <w:rPr>
                <w:b/>
                <w:bCs/>
                <w:kern w:val="0"/>
              </w:rPr>
            </w:pPr>
            <w:r>
              <w:rPr>
                <w:b/>
                <w:bCs/>
              </w:rPr>
              <w:t>1#合成釜附近1.5-3.0m土壤理化特性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pH</w:t>
            </w:r>
            <w:r>
              <w:rPr>
                <w:rFonts w:hAnsi="宋体"/>
              </w:rPr>
              <w:t>（无量纲）</w:t>
            </w:r>
          </w:p>
        </w:tc>
        <w:tc>
          <w:tcPr>
            <w:tcW w:w="1238" w:type="pct"/>
            <w:vAlign w:val="center"/>
          </w:tcPr>
          <w:p>
            <w:pPr>
              <w:widowControl/>
              <w:jc w:val="center"/>
              <w:rPr>
                <w:kern w:val="0"/>
              </w:rPr>
            </w:pPr>
            <w:r>
              <w:t>8.90</w:t>
            </w:r>
          </w:p>
        </w:tc>
        <w:tc>
          <w:tcPr>
            <w:tcW w:w="1259" w:type="pct"/>
            <w:vAlign w:val="center"/>
          </w:tcPr>
          <w:p>
            <w:pPr>
              <w:jc w:val="center"/>
            </w:pPr>
            <w:r>
              <w:t>8.98</w:t>
            </w:r>
          </w:p>
        </w:tc>
        <w:tc>
          <w:tcPr>
            <w:tcW w:w="1307" w:type="pct"/>
            <w:vAlign w:val="center"/>
          </w:tcPr>
          <w:p>
            <w:pPr>
              <w:jc w:val="center"/>
            </w:pPr>
            <w:r>
              <w:t>8.70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总砷，mg/kg</w:t>
            </w:r>
          </w:p>
        </w:tc>
        <w:tc>
          <w:tcPr>
            <w:tcW w:w="1238" w:type="pct"/>
            <w:vAlign w:val="center"/>
          </w:tcPr>
          <w:p>
            <w:pPr>
              <w:jc w:val="center"/>
            </w:pPr>
            <w:r>
              <w:t>5.80</w:t>
            </w:r>
          </w:p>
        </w:tc>
        <w:tc>
          <w:tcPr>
            <w:tcW w:w="1259" w:type="pct"/>
            <w:vAlign w:val="center"/>
          </w:tcPr>
          <w:p>
            <w:pPr>
              <w:jc w:val="center"/>
            </w:pPr>
            <w:r>
              <w:t>5.27</w:t>
            </w:r>
          </w:p>
        </w:tc>
        <w:tc>
          <w:tcPr>
            <w:tcW w:w="1307" w:type="pct"/>
            <w:vAlign w:val="center"/>
          </w:tcPr>
          <w:p>
            <w:pPr>
              <w:jc w:val="center"/>
            </w:pPr>
            <w:r>
              <w:t>5.19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镉，mg/kg</w:t>
            </w:r>
          </w:p>
        </w:tc>
        <w:tc>
          <w:tcPr>
            <w:tcW w:w="1238" w:type="pct"/>
            <w:vAlign w:val="center"/>
          </w:tcPr>
          <w:p>
            <w:pPr>
              <w:jc w:val="center"/>
            </w:pPr>
            <w:r>
              <w:t>0.06</w:t>
            </w:r>
          </w:p>
        </w:tc>
        <w:tc>
          <w:tcPr>
            <w:tcW w:w="1259" w:type="pct"/>
            <w:vAlign w:val="center"/>
          </w:tcPr>
          <w:p>
            <w:pPr>
              <w:jc w:val="center"/>
            </w:pPr>
            <w:r>
              <w:t>0.08</w:t>
            </w:r>
          </w:p>
        </w:tc>
        <w:tc>
          <w:tcPr>
            <w:tcW w:w="1307"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铬（六价），mg/kg</w:t>
            </w:r>
          </w:p>
        </w:tc>
        <w:tc>
          <w:tcPr>
            <w:tcW w:w="1238" w:type="pct"/>
            <w:vAlign w:val="center"/>
          </w:tcPr>
          <w:p>
            <w:pPr>
              <w:jc w:val="center"/>
            </w:pPr>
            <w:r>
              <w:t>2.4</w:t>
            </w:r>
          </w:p>
        </w:tc>
        <w:tc>
          <w:tcPr>
            <w:tcW w:w="1259" w:type="pct"/>
            <w:vAlign w:val="center"/>
          </w:tcPr>
          <w:p>
            <w:pPr>
              <w:jc w:val="center"/>
            </w:pPr>
            <w:r>
              <w:t>2.1</w:t>
            </w:r>
          </w:p>
        </w:tc>
        <w:tc>
          <w:tcPr>
            <w:tcW w:w="1307" w:type="pct"/>
            <w:vAlign w:val="center"/>
          </w:tcPr>
          <w:p>
            <w:pPr>
              <w:jc w:val="center"/>
            </w:pPr>
            <w:r>
              <w:t>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铜，mg/kg</w:t>
            </w:r>
          </w:p>
        </w:tc>
        <w:tc>
          <w:tcPr>
            <w:tcW w:w="1238" w:type="pct"/>
            <w:vAlign w:val="center"/>
          </w:tcPr>
          <w:p>
            <w:pPr>
              <w:jc w:val="center"/>
            </w:pPr>
            <w:r>
              <w:t>10</w:t>
            </w:r>
          </w:p>
        </w:tc>
        <w:tc>
          <w:tcPr>
            <w:tcW w:w="1259" w:type="pct"/>
            <w:vAlign w:val="center"/>
          </w:tcPr>
          <w:p>
            <w:pPr>
              <w:jc w:val="center"/>
            </w:pPr>
            <w:r>
              <w:t>10</w:t>
            </w:r>
          </w:p>
        </w:tc>
        <w:tc>
          <w:tcPr>
            <w:tcW w:w="1307" w:type="pct"/>
            <w:vAlign w:val="center"/>
          </w:tcPr>
          <w:p>
            <w:pPr>
              <w:jc w:val="center"/>
            </w:pPr>
            <w:r>
              <w:t>11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铅，mg/kg</w:t>
            </w:r>
          </w:p>
        </w:tc>
        <w:tc>
          <w:tcPr>
            <w:tcW w:w="1238" w:type="pct"/>
            <w:vAlign w:val="center"/>
          </w:tcPr>
          <w:p>
            <w:pPr>
              <w:jc w:val="center"/>
            </w:pPr>
            <w:r>
              <w:t>14.4</w:t>
            </w:r>
          </w:p>
        </w:tc>
        <w:tc>
          <w:tcPr>
            <w:tcW w:w="1259" w:type="pct"/>
            <w:vAlign w:val="center"/>
          </w:tcPr>
          <w:p>
            <w:pPr>
              <w:jc w:val="center"/>
            </w:pPr>
            <w:r>
              <w:t>14.5</w:t>
            </w:r>
          </w:p>
        </w:tc>
        <w:tc>
          <w:tcPr>
            <w:tcW w:w="1307" w:type="pct"/>
            <w:vAlign w:val="center"/>
          </w:tcPr>
          <w:p>
            <w:pPr>
              <w:jc w:val="center"/>
            </w:pPr>
            <w:r>
              <w:t>14.8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rPr>
                <w:rFonts w:hint="eastAsia"/>
              </w:rPr>
              <w:t>总汞，mg/kg</w:t>
            </w:r>
          </w:p>
        </w:tc>
        <w:tc>
          <w:tcPr>
            <w:tcW w:w="1238" w:type="pct"/>
            <w:vAlign w:val="center"/>
          </w:tcPr>
          <w:p>
            <w:pPr>
              <w:jc w:val="center"/>
            </w:pPr>
            <w:r>
              <w:t>0.008</w:t>
            </w:r>
          </w:p>
        </w:tc>
        <w:tc>
          <w:tcPr>
            <w:tcW w:w="1259" w:type="pct"/>
            <w:vAlign w:val="center"/>
          </w:tcPr>
          <w:p>
            <w:pPr>
              <w:jc w:val="center"/>
            </w:pPr>
            <w:r>
              <w:t>0.006</w:t>
            </w:r>
          </w:p>
        </w:tc>
        <w:tc>
          <w:tcPr>
            <w:tcW w:w="1307" w:type="pct"/>
            <w:vAlign w:val="center"/>
          </w:tcPr>
          <w:p>
            <w:pPr>
              <w:jc w:val="center"/>
            </w:pPr>
            <w:r>
              <w:t>0.005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widowControl/>
              <w:jc w:val="center"/>
            </w:pPr>
            <w:r>
              <w:rPr>
                <w:rFonts w:hint="eastAsia"/>
              </w:rPr>
              <w:t>镍，mg/kg</w:t>
            </w:r>
          </w:p>
        </w:tc>
        <w:tc>
          <w:tcPr>
            <w:tcW w:w="1238" w:type="pct"/>
            <w:vAlign w:val="center"/>
          </w:tcPr>
          <w:p>
            <w:pPr>
              <w:jc w:val="center"/>
            </w:pPr>
            <w:r>
              <w:t>18</w:t>
            </w:r>
          </w:p>
        </w:tc>
        <w:tc>
          <w:tcPr>
            <w:tcW w:w="1259" w:type="pct"/>
            <w:vAlign w:val="center"/>
          </w:tcPr>
          <w:p>
            <w:pPr>
              <w:jc w:val="center"/>
            </w:pPr>
            <w:r>
              <w:t>17</w:t>
            </w:r>
          </w:p>
        </w:tc>
        <w:tc>
          <w:tcPr>
            <w:tcW w:w="1307" w:type="pct"/>
            <w:vAlign w:val="center"/>
          </w:tcPr>
          <w:p>
            <w:pPr>
              <w:jc w:val="center"/>
            </w:pPr>
            <w:r>
              <w:t>18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1238" w:type="pct"/>
            <w:vAlign w:val="center"/>
          </w:tcPr>
          <w:p>
            <w:pPr>
              <w:jc w:val="center"/>
            </w:pPr>
            <w:r>
              <w:t>8</w:t>
            </w:r>
          </w:p>
        </w:tc>
        <w:tc>
          <w:tcPr>
            <w:tcW w:w="1259" w:type="pct"/>
            <w:vAlign w:val="center"/>
          </w:tcPr>
          <w:p>
            <w:pPr>
              <w:jc w:val="center"/>
            </w:pPr>
            <w:r>
              <w:t>46</w:t>
            </w:r>
          </w:p>
        </w:tc>
        <w:tc>
          <w:tcPr>
            <w:tcW w:w="1307" w:type="pct"/>
            <w:vAlign w:val="center"/>
          </w:tcPr>
          <w:p>
            <w:pPr>
              <w:jc w:val="center"/>
            </w:pPr>
            <w: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四氯化碳，mg/kg</w:t>
            </w:r>
          </w:p>
        </w:tc>
        <w:tc>
          <w:tcPr>
            <w:tcW w:w="1238" w:type="pct"/>
            <w:vAlign w:val="center"/>
          </w:tcPr>
          <w:p>
            <w:pPr>
              <w:jc w:val="center"/>
            </w:pPr>
            <w:r>
              <w:t>＜1.</w:t>
            </w:r>
            <w:r>
              <w:rPr>
                <w:rFonts w:hint="eastAsia"/>
              </w:rPr>
              <w:t>3</w:t>
            </w:r>
            <w:r>
              <w:t>×10</w:t>
            </w:r>
            <w:r>
              <w:rPr>
                <w:vertAlign w:val="superscript"/>
              </w:rPr>
              <w:t>-3</w:t>
            </w:r>
          </w:p>
        </w:tc>
        <w:tc>
          <w:tcPr>
            <w:tcW w:w="1259" w:type="pct"/>
            <w:vAlign w:val="center"/>
          </w:tcPr>
          <w:p>
            <w:pPr>
              <w:jc w:val="center"/>
            </w:pPr>
            <w:r>
              <w:t>＜1.</w:t>
            </w:r>
            <w:r>
              <w:rPr>
                <w:rFonts w:hint="eastAsia"/>
              </w:rPr>
              <w:t>3</w:t>
            </w:r>
            <w:r>
              <w:t>×10</w:t>
            </w:r>
            <w:r>
              <w:rPr>
                <w:vertAlign w:val="superscript"/>
              </w:rPr>
              <w:t>-3</w:t>
            </w:r>
          </w:p>
        </w:tc>
        <w:tc>
          <w:tcPr>
            <w:tcW w:w="1307"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氯仿，mg/kg</w:t>
            </w:r>
          </w:p>
        </w:tc>
        <w:tc>
          <w:tcPr>
            <w:tcW w:w="1238" w:type="pct"/>
            <w:vAlign w:val="center"/>
          </w:tcPr>
          <w:p>
            <w:pPr>
              <w:jc w:val="center"/>
            </w:pPr>
            <w:r>
              <w:t>＜</w:t>
            </w:r>
            <w:r>
              <w:rPr>
                <w:rFonts w:hint="eastAsia"/>
              </w:rPr>
              <w:t>1.1</w:t>
            </w:r>
            <w:r>
              <w:t>×10</w:t>
            </w:r>
            <w:r>
              <w:rPr>
                <w:vertAlign w:val="superscript"/>
              </w:rPr>
              <w:t>-3</w:t>
            </w:r>
          </w:p>
        </w:tc>
        <w:tc>
          <w:tcPr>
            <w:tcW w:w="1259" w:type="pct"/>
            <w:vAlign w:val="center"/>
          </w:tcPr>
          <w:p>
            <w:pPr>
              <w:jc w:val="center"/>
            </w:pPr>
            <w:r>
              <w:t>＜</w:t>
            </w:r>
            <w:r>
              <w:rPr>
                <w:rFonts w:hint="eastAsia"/>
              </w:rPr>
              <w:t>1.1</w:t>
            </w:r>
            <w:r>
              <w:t>×10</w:t>
            </w:r>
            <w:r>
              <w:rPr>
                <w:vertAlign w:val="superscript"/>
              </w:rPr>
              <w:t>-3</w:t>
            </w:r>
          </w:p>
        </w:tc>
        <w:tc>
          <w:tcPr>
            <w:tcW w:w="1307"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氯甲烷，</w:t>
            </w:r>
            <w:r>
              <w:t>mg/kg</w:t>
            </w:r>
          </w:p>
        </w:tc>
        <w:tc>
          <w:tcPr>
            <w:tcW w:w="1238" w:type="pct"/>
            <w:vAlign w:val="center"/>
          </w:tcPr>
          <w:p>
            <w:pPr>
              <w:jc w:val="center"/>
            </w:pPr>
            <w:r>
              <w:t>＜1.0×10</w:t>
            </w:r>
            <w:r>
              <w:rPr>
                <w:vertAlign w:val="superscript"/>
              </w:rPr>
              <w:t>-3</w:t>
            </w:r>
          </w:p>
        </w:tc>
        <w:tc>
          <w:tcPr>
            <w:tcW w:w="1259" w:type="pct"/>
            <w:vAlign w:val="center"/>
          </w:tcPr>
          <w:p>
            <w:pPr>
              <w:jc w:val="center"/>
            </w:pPr>
            <w:r>
              <w:t>＜1.0×10</w:t>
            </w:r>
            <w:r>
              <w:rPr>
                <w:vertAlign w:val="superscript"/>
              </w:rPr>
              <w:t>-3</w:t>
            </w:r>
          </w:p>
        </w:tc>
        <w:tc>
          <w:tcPr>
            <w:tcW w:w="130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w:t>
            </w:r>
            <w:r>
              <w:rPr>
                <w:rFonts w:hint="eastAsia"/>
              </w:rPr>
              <w:t>二氯乙烷，</w:t>
            </w:r>
            <w:r>
              <w:t>mg/kg</w:t>
            </w:r>
          </w:p>
        </w:tc>
        <w:tc>
          <w:tcPr>
            <w:tcW w:w="1238" w:type="pct"/>
            <w:vAlign w:val="center"/>
          </w:tcPr>
          <w:p>
            <w:pPr>
              <w:jc w:val="center"/>
            </w:pPr>
            <w:r>
              <w:t>＜</w:t>
            </w:r>
            <w:r>
              <w:rPr>
                <w:rFonts w:hint="eastAsia"/>
              </w:rPr>
              <w:t>1.2</w:t>
            </w:r>
            <w:r>
              <w:t>×10</w:t>
            </w:r>
            <w:r>
              <w:rPr>
                <w:vertAlign w:val="superscript"/>
              </w:rPr>
              <w:t>-3</w:t>
            </w:r>
          </w:p>
        </w:tc>
        <w:tc>
          <w:tcPr>
            <w:tcW w:w="1259" w:type="pct"/>
            <w:vAlign w:val="center"/>
          </w:tcPr>
          <w:p>
            <w:pPr>
              <w:jc w:val="center"/>
            </w:pPr>
            <w:r>
              <w:t>＜</w:t>
            </w:r>
            <w:r>
              <w:rPr>
                <w:rFonts w:hint="eastAsia"/>
              </w:rPr>
              <w:t>1.2</w:t>
            </w:r>
            <w:r>
              <w:t>×10</w:t>
            </w:r>
            <w:r>
              <w:rPr>
                <w:vertAlign w:val="superscript"/>
              </w:rPr>
              <w:t>-3</w:t>
            </w:r>
          </w:p>
        </w:tc>
        <w:tc>
          <w:tcPr>
            <w:tcW w:w="1307"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1,2-</w:t>
            </w:r>
            <w:r>
              <w:rPr>
                <w:rFonts w:hint="eastAsia"/>
              </w:rPr>
              <w:t>二氯乙烷，</w:t>
            </w:r>
            <w:r>
              <w:t>mg/kg</w:t>
            </w:r>
          </w:p>
        </w:tc>
        <w:tc>
          <w:tcPr>
            <w:tcW w:w="1238" w:type="pct"/>
            <w:vAlign w:val="center"/>
          </w:tcPr>
          <w:p>
            <w:pPr>
              <w:jc w:val="center"/>
            </w:pPr>
            <w:r>
              <w:t>＜1.3×10</w:t>
            </w:r>
            <w:r>
              <w:rPr>
                <w:vertAlign w:val="superscript"/>
              </w:rPr>
              <w:t>-3</w:t>
            </w:r>
          </w:p>
        </w:tc>
        <w:tc>
          <w:tcPr>
            <w:tcW w:w="1259" w:type="pct"/>
            <w:vAlign w:val="center"/>
          </w:tcPr>
          <w:p>
            <w:pPr>
              <w:jc w:val="center"/>
            </w:pPr>
            <w:r>
              <w:t>＜1.3×10</w:t>
            </w:r>
            <w:r>
              <w:rPr>
                <w:vertAlign w:val="superscript"/>
              </w:rPr>
              <w:t>-3</w:t>
            </w:r>
          </w:p>
        </w:tc>
        <w:tc>
          <w:tcPr>
            <w:tcW w:w="130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w:t>
            </w:r>
            <w:r>
              <w:rPr>
                <w:rFonts w:hint="eastAsia"/>
              </w:rPr>
              <w:t>二氯乙烯，</w:t>
            </w:r>
            <w:r>
              <w:t>mg/kg</w:t>
            </w:r>
          </w:p>
        </w:tc>
        <w:tc>
          <w:tcPr>
            <w:tcW w:w="1238" w:type="pct"/>
            <w:vAlign w:val="center"/>
          </w:tcPr>
          <w:p>
            <w:pPr>
              <w:jc w:val="center"/>
            </w:pPr>
            <w:r>
              <w:t>＜1.0×10</w:t>
            </w:r>
            <w:r>
              <w:rPr>
                <w:vertAlign w:val="superscript"/>
              </w:rPr>
              <w:t>-3</w:t>
            </w:r>
          </w:p>
        </w:tc>
        <w:tc>
          <w:tcPr>
            <w:tcW w:w="1259" w:type="pct"/>
            <w:vAlign w:val="center"/>
          </w:tcPr>
          <w:p>
            <w:pPr>
              <w:jc w:val="center"/>
            </w:pPr>
            <w:r>
              <w:t>＜1.0×10</w:t>
            </w:r>
            <w:r>
              <w:rPr>
                <w:vertAlign w:val="superscript"/>
              </w:rPr>
              <w:t>-3</w:t>
            </w:r>
          </w:p>
        </w:tc>
        <w:tc>
          <w:tcPr>
            <w:tcW w:w="130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顺式</w:t>
            </w:r>
            <w:r>
              <w:t>-1,2-</w:t>
            </w:r>
            <w:r>
              <w:rPr>
                <w:rFonts w:hint="eastAsia"/>
              </w:rPr>
              <w:t>二氯乙烯，</w:t>
            </w:r>
            <w:r>
              <w:t>mg/kg</w:t>
            </w:r>
          </w:p>
        </w:tc>
        <w:tc>
          <w:tcPr>
            <w:tcW w:w="1238" w:type="pct"/>
            <w:vAlign w:val="center"/>
          </w:tcPr>
          <w:p>
            <w:pPr>
              <w:jc w:val="center"/>
            </w:pPr>
            <w:r>
              <w:t>＜1.3×10</w:t>
            </w:r>
            <w:r>
              <w:rPr>
                <w:vertAlign w:val="superscript"/>
              </w:rPr>
              <w:t>-3</w:t>
            </w:r>
          </w:p>
        </w:tc>
        <w:tc>
          <w:tcPr>
            <w:tcW w:w="1259" w:type="pct"/>
            <w:vAlign w:val="center"/>
          </w:tcPr>
          <w:p>
            <w:pPr>
              <w:jc w:val="center"/>
            </w:pPr>
            <w:r>
              <w:t>＜1.3×10</w:t>
            </w:r>
            <w:r>
              <w:rPr>
                <w:vertAlign w:val="superscript"/>
              </w:rPr>
              <w:t>-3</w:t>
            </w:r>
          </w:p>
        </w:tc>
        <w:tc>
          <w:tcPr>
            <w:tcW w:w="130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反式</w:t>
            </w:r>
            <w:r>
              <w:t>-1,2-</w:t>
            </w:r>
            <w:r>
              <w:rPr>
                <w:rFonts w:hint="eastAsia"/>
              </w:rPr>
              <w:t>二氯乙烯，</w:t>
            </w:r>
            <w:r>
              <w:t>mg/kg</w:t>
            </w:r>
          </w:p>
        </w:tc>
        <w:tc>
          <w:tcPr>
            <w:tcW w:w="1238" w:type="pct"/>
            <w:vAlign w:val="center"/>
          </w:tcPr>
          <w:p>
            <w:pPr>
              <w:jc w:val="center"/>
            </w:pPr>
            <w:r>
              <w:t>＜1.4×10</w:t>
            </w:r>
            <w:r>
              <w:rPr>
                <w:vertAlign w:val="superscript"/>
              </w:rPr>
              <w:t>-3</w:t>
            </w:r>
          </w:p>
        </w:tc>
        <w:tc>
          <w:tcPr>
            <w:tcW w:w="1259" w:type="pct"/>
            <w:vAlign w:val="center"/>
          </w:tcPr>
          <w:p>
            <w:pPr>
              <w:jc w:val="center"/>
            </w:pPr>
            <w:r>
              <w:t>＜1.4×10</w:t>
            </w:r>
            <w:r>
              <w:rPr>
                <w:vertAlign w:val="superscript"/>
              </w:rPr>
              <w:t>-3</w:t>
            </w:r>
          </w:p>
        </w:tc>
        <w:tc>
          <w:tcPr>
            <w:tcW w:w="1307"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二氯甲烷，</w:t>
            </w:r>
            <w:r>
              <w:t>mg/kg</w:t>
            </w:r>
          </w:p>
        </w:tc>
        <w:tc>
          <w:tcPr>
            <w:tcW w:w="1238" w:type="pct"/>
            <w:vAlign w:val="center"/>
          </w:tcPr>
          <w:p>
            <w:pPr>
              <w:jc w:val="center"/>
            </w:pPr>
            <w:r>
              <w:t>＜</w:t>
            </w:r>
            <w:r>
              <w:rPr>
                <w:rFonts w:hint="eastAsia"/>
              </w:rPr>
              <w:t>1.5</w:t>
            </w:r>
            <w:r>
              <w:t>×10</w:t>
            </w:r>
            <w:r>
              <w:rPr>
                <w:vertAlign w:val="superscript"/>
              </w:rPr>
              <w:t>-3</w:t>
            </w:r>
          </w:p>
        </w:tc>
        <w:tc>
          <w:tcPr>
            <w:tcW w:w="1259" w:type="pct"/>
            <w:vAlign w:val="center"/>
          </w:tcPr>
          <w:p>
            <w:pPr>
              <w:jc w:val="center"/>
            </w:pPr>
            <w:r>
              <w:t>＜</w:t>
            </w:r>
            <w:r>
              <w:rPr>
                <w:rFonts w:hint="eastAsia"/>
              </w:rPr>
              <w:t>1.5</w:t>
            </w:r>
            <w:r>
              <w:t>×10</w:t>
            </w:r>
            <w:r>
              <w:rPr>
                <w:vertAlign w:val="superscript"/>
              </w:rPr>
              <w:t>-3</w:t>
            </w:r>
          </w:p>
        </w:tc>
        <w:tc>
          <w:tcPr>
            <w:tcW w:w="1307"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1,2-</w:t>
            </w:r>
            <w:r>
              <w:rPr>
                <w:rFonts w:hint="eastAsia"/>
              </w:rPr>
              <w:t>二氯丙烷，</w:t>
            </w:r>
            <w:r>
              <w:t>mg/kg</w:t>
            </w:r>
          </w:p>
        </w:tc>
        <w:tc>
          <w:tcPr>
            <w:tcW w:w="1238" w:type="pct"/>
            <w:vAlign w:val="center"/>
          </w:tcPr>
          <w:p>
            <w:pPr>
              <w:jc w:val="center"/>
            </w:pPr>
            <w:r>
              <w:t>＜1.1×10</w:t>
            </w:r>
            <w:r>
              <w:rPr>
                <w:vertAlign w:val="superscript"/>
              </w:rPr>
              <w:t>-3</w:t>
            </w:r>
          </w:p>
        </w:tc>
        <w:tc>
          <w:tcPr>
            <w:tcW w:w="1259" w:type="pct"/>
            <w:vAlign w:val="center"/>
          </w:tcPr>
          <w:p>
            <w:pPr>
              <w:jc w:val="center"/>
            </w:pPr>
            <w:r>
              <w:t>＜1.1×10</w:t>
            </w:r>
            <w:r>
              <w:rPr>
                <w:vertAlign w:val="superscript"/>
              </w:rPr>
              <w:t>-3</w:t>
            </w:r>
          </w:p>
        </w:tc>
        <w:tc>
          <w:tcPr>
            <w:tcW w:w="1307"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1,1,1,2-</w:t>
            </w:r>
            <w:r>
              <w:rPr>
                <w:rFonts w:hint="eastAsia"/>
              </w:rPr>
              <w:t>四氯乙烷，</w:t>
            </w:r>
            <w:r>
              <w:t>mg/kg</w:t>
            </w:r>
          </w:p>
        </w:tc>
        <w:tc>
          <w:tcPr>
            <w:tcW w:w="1238" w:type="pct"/>
            <w:vAlign w:val="center"/>
          </w:tcPr>
          <w:p>
            <w:pPr>
              <w:jc w:val="center"/>
            </w:pPr>
            <w:r>
              <w:t>＜1.2×10</w:t>
            </w:r>
            <w:r>
              <w:rPr>
                <w:vertAlign w:val="superscript"/>
              </w:rPr>
              <w:t>-3</w:t>
            </w:r>
          </w:p>
        </w:tc>
        <w:tc>
          <w:tcPr>
            <w:tcW w:w="1259" w:type="pct"/>
            <w:vAlign w:val="center"/>
          </w:tcPr>
          <w:p>
            <w:pPr>
              <w:jc w:val="center"/>
            </w:pPr>
            <w:r>
              <w:t>＜1.2×10</w:t>
            </w:r>
            <w:r>
              <w:rPr>
                <w:vertAlign w:val="superscript"/>
              </w:rPr>
              <w:t>-3</w:t>
            </w:r>
          </w:p>
        </w:tc>
        <w:tc>
          <w:tcPr>
            <w:tcW w:w="130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1,1,2,2-</w:t>
            </w:r>
            <w:r>
              <w:rPr>
                <w:rFonts w:hint="eastAsia"/>
              </w:rPr>
              <w:t>四氯乙烷，</w:t>
            </w:r>
            <w:r>
              <w:t>mg/kg</w:t>
            </w:r>
          </w:p>
        </w:tc>
        <w:tc>
          <w:tcPr>
            <w:tcW w:w="1238" w:type="pct"/>
            <w:vAlign w:val="center"/>
          </w:tcPr>
          <w:p>
            <w:pPr>
              <w:jc w:val="center"/>
            </w:pPr>
            <w:r>
              <w:t>＜1.2×10</w:t>
            </w:r>
            <w:r>
              <w:rPr>
                <w:vertAlign w:val="superscript"/>
              </w:rPr>
              <w:t>-3</w:t>
            </w:r>
          </w:p>
        </w:tc>
        <w:tc>
          <w:tcPr>
            <w:tcW w:w="1259" w:type="pct"/>
            <w:vAlign w:val="center"/>
          </w:tcPr>
          <w:p>
            <w:pPr>
              <w:jc w:val="center"/>
            </w:pPr>
            <w:r>
              <w:t>＜1.2×10</w:t>
            </w:r>
            <w:r>
              <w:rPr>
                <w:vertAlign w:val="superscript"/>
              </w:rPr>
              <w:t>-3</w:t>
            </w:r>
          </w:p>
        </w:tc>
        <w:tc>
          <w:tcPr>
            <w:tcW w:w="130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rPr>
                <w:rFonts w:ascii="宋体" w:hAnsi="宋体" w:cs="宋体"/>
              </w:rPr>
            </w:pPr>
            <w:r>
              <w:rPr>
                <w:rFonts w:hint="eastAsia"/>
              </w:rPr>
              <w:t>四氯乙烯，</w:t>
            </w:r>
            <w:r>
              <w:t>mg/kg</w:t>
            </w:r>
          </w:p>
        </w:tc>
        <w:tc>
          <w:tcPr>
            <w:tcW w:w="1238" w:type="pct"/>
            <w:vAlign w:val="center"/>
          </w:tcPr>
          <w:p>
            <w:pPr>
              <w:jc w:val="center"/>
            </w:pPr>
            <w:r>
              <w:t>＜</w:t>
            </w:r>
            <w:r>
              <w:rPr>
                <w:rFonts w:hint="eastAsia"/>
              </w:rPr>
              <w:t>1</w:t>
            </w:r>
            <w:r>
              <w:t>.4×10</w:t>
            </w:r>
            <w:r>
              <w:rPr>
                <w:vertAlign w:val="superscript"/>
              </w:rPr>
              <w:t>-3</w:t>
            </w:r>
          </w:p>
        </w:tc>
        <w:tc>
          <w:tcPr>
            <w:tcW w:w="1259" w:type="pct"/>
            <w:vAlign w:val="center"/>
          </w:tcPr>
          <w:p>
            <w:pPr>
              <w:jc w:val="center"/>
            </w:pPr>
            <w:r>
              <w:t>＜</w:t>
            </w:r>
            <w:r>
              <w:rPr>
                <w:rFonts w:hint="eastAsia"/>
              </w:rPr>
              <w:t>1</w:t>
            </w:r>
            <w:r>
              <w:t>.4×10</w:t>
            </w:r>
            <w:r>
              <w:rPr>
                <w:vertAlign w:val="superscript"/>
              </w:rPr>
              <w:t>-3</w:t>
            </w:r>
          </w:p>
        </w:tc>
        <w:tc>
          <w:tcPr>
            <w:tcW w:w="1307"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1,1,1-</w:t>
            </w:r>
            <w:r>
              <w:rPr>
                <w:rFonts w:hint="eastAsia"/>
              </w:rPr>
              <w:t>三氯乙烷，</w:t>
            </w:r>
            <w:r>
              <w:t>mg/kg</w:t>
            </w:r>
          </w:p>
        </w:tc>
        <w:tc>
          <w:tcPr>
            <w:tcW w:w="1238" w:type="pct"/>
            <w:vAlign w:val="center"/>
          </w:tcPr>
          <w:p>
            <w:pPr>
              <w:jc w:val="center"/>
            </w:pPr>
            <w:r>
              <w:t>＜1.3×10</w:t>
            </w:r>
            <w:r>
              <w:rPr>
                <w:vertAlign w:val="superscript"/>
              </w:rPr>
              <w:t>-3</w:t>
            </w:r>
          </w:p>
        </w:tc>
        <w:tc>
          <w:tcPr>
            <w:tcW w:w="1259" w:type="pct"/>
            <w:vAlign w:val="center"/>
          </w:tcPr>
          <w:p>
            <w:pPr>
              <w:jc w:val="center"/>
            </w:pPr>
            <w:r>
              <w:t>＜1.3×10</w:t>
            </w:r>
            <w:r>
              <w:rPr>
                <w:vertAlign w:val="superscript"/>
              </w:rPr>
              <w:t>-3</w:t>
            </w:r>
          </w:p>
        </w:tc>
        <w:tc>
          <w:tcPr>
            <w:tcW w:w="130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94" w:type="pct"/>
            <w:vAlign w:val="center"/>
          </w:tcPr>
          <w:p>
            <w:pPr>
              <w:jc w:val="center"/>
            </w:pPr>
            <w:r>
              <w:t>1,1,2-</w:t>
            </w:r>
            <w:r>
              <w:rPr>
                <w:rFonts w:hint="eastAsia"/>
              </w:rPr>
              <w:t>三氯乙烷，</w:t>
            </w:r>
            <w:r>
              <w:t>mg/kg</w:t>
            </w:r>
          </w:p>
        </w:tc>
        <w:tc>
          <w:tcPr>
            <w:tcW w:w="1238" w:type="pct"/>
            <w:vAlign w:val="center"/>
          </w:tcPr>
          <w:p>
            <w:pPr>
              <w:jc w:val="center"/>
            </w:pPr>
            <w:r>
              <w:t>＜1.2×10</w:t>
            </w:r>
            <w:r>
              <w:rPr>
                <w:vertAlign w:val="superscript"/>
              </w:rPr>
              <w:t>-3</w:t>
            </w:r>
          </w:p>
        </w:tc>
        <w:tc>
          <w:tcPr>
            <w:tcW w:w="1259" w:type="pct"/>
            <w:vAlign w:val="center"/>
          </w:tcPr>
          <w:p>
            <w:pPr>
              <w:jc w:val="center"/>
            </w:pPr>
            <w:r>
              <w:t>＜1.2×10</w:t>
            </w:r>
            <w:r>
              <w:rPr>
                <w:vertAlign w:val="superscript"/>
              </w:rPr>
              <w:t>-3</w:t>
            </w:r>
          </w:p>
        </w:tc>
        <w:tc>
          <w:tcPr>
            <w:tcW w:w="1307" w:type="pct"/>
            <w:vAlign w:val="center"/>
          </w:tcPr>
          <w:p>
            <w:pPr>
              <w:jc w:val="center"/>
            </w:pPr>
            <w:r>
              <w:t>＜1.2×10</w:t>
            </w:r>
            <w:r>
              <w:rPr>
                <w:vertAlign w:val="superscript"/>
              </w:rPr>
              <w:t>-3</w:t>
            </w:r>
          </w:p>
        </w:tc>
      </w:tr>
    </w:tbl>
    <w:p>
      <w:pPr>
        <w:pStyle w:val="60"/>
      </w:pPr>
    </w:p>
    <w:p>
      <w:pPr>
        <w:pStyle w:val="60"/>
      </w:pPr>
      <w:r>
        <w:br w:type="page"/>
      </w:r>
    </w:p>
    <w:p>
      <w:pPr>
        <w:pStyle w:val="32"/>
        <w:tabs>
          <w:tab w:val="left" w:pos="4540"/>
          <w:tab w:val="clear" w:pos="900"/>
        </w:tabs>
      </w:pPr>
      <w:r>
        <w:t>表4.3-</w:t>
      </w:r>
      <w:r>
        <w:rPr>
          <w:rFonts w:hint="eastAsia"/>
        </w:rPr>
        <w:t>12（2）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58"/>
        <w:gridCol w:w="2202"/>
        <w:gridCol w:w="2303"/>
        <w:gridCol w:w="23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spacing w:before="60" w:beforeLines="25" w:after="60" w:afterLines="25"/>
              <w:jc w:val="center"/>
              <w:rPr>
                <w:b/>
                <w:bCs/>
              </w:rPr>
            </w:pPr>
            <w:r>
              <w:rPr>
                <w:rFonts w:hint="eastAsia"/>
                <w:b/>
                <w:bCs/>
              </w:rPr>
              <w:t>监 测 项 目</w:t>
            </w:r>
          </w:p>
        </w:tc>
        <w:tc>
          <w:tcPr>
            <w:tcW w:w="1200" w:type="pct"/>
            <w:vAlign w:val="center"/>
          </w:tcPr>
          <w:p>
            <w:pPr>
              <w:widowControl/>
              <w:jc w:val="center"/>
              <w:rPr>
                <w:b/>
                <w:bCs/>
              </w:rPr>
            </w:pPr>
            <w:r>
              <w:rPr>
                <w:b/>
                <w:bCs/>
              </w:rPr>
              <w:t>H02774545</w:t>
            </w:r>
          </w:p>
          <w:p>
            <w:pPr>
              <w:widowControl/>
              <w:jc w:val="center"/>
              <w:rPr>
                <w:b/>
                <w:bCs/>
              </w:rPr>
            </w:pPr>
            <w:r>
              <w:rPr>
                <w:b/>
                <w:bCs/>
              </w:rPr>
              <w:t xml:space="preserve">土壤   </w:t>
            </w:r>
          </w:p>
          <w:p>
            <w:pPr>
              <w:widowControl/>
              <w:jc w:val="center"/>
              <w:rPr>
                <w:b/>
                <w:bCs/>
              </w:rPr>
            </w:pPr>
            <w:r>
              <w:rPr>
                <w:b/>
                <w:bCs/>
              </w:rPr>
              <w:t>1#合成釜附近0-0.5m</w:t>
            </w:r>
          </w:p>
          <w:p>
            <w:pPr>
              <w:widowControl/>
              <w:jc w:val="center"/>
              <w:rPr>
                <w:b/>
                <w:bCs/>
                <w:kern w:val="0"/>
              </w:rPr>
            </w:pPr>
            <w:r>
              <w:rPr>
                <w:b/>
                <w:bCs/>
              </w:rPr>
              <w:t>土壤理化特性</w:t>
            </w:r>
          </w:p>
        </w:tc>
        <w:tc>
          <w:tcPr>
            <w:tcW w:w="1255" w:type="pct"/>
            <w:vAlign w:val="center"/>
          </w:tcPr>
          <w:p>
            <w:pPr>
              <w:widowControl/>
              <w:jc w:val="center"/>
              <w:rPr>
                <w:b/>
                <w:bCs/>
              </w:rPr>
            </w:pPr>
            <w:r>
              <w:rPr>
                <w:b/>
                <w:bCs/>
              </w:rPr>
              <w:t>H02775545</w:t>
            </w:r>
          </w:p>
          <w:p>
            <w:pPr>
              <w:widowControl/>
              <w:jc w:val="center"/>
              <w:rPr>
                <w:b/>
                <w:bCs/>
              </w:rPr>
            </w:pPr>
            <w:r>
              <w:rPr>
                <w:b/>
                <w:bCs/>
              </w:rPr>
              <w:t xml:space="preserve">土壤   </w:t>
            </w:r>
          </w:p>
          <w:p>
            <w:pPr>
              <w:widowControl/>
              <w:jc w:val="center"/>
              <w:rPr>
                <w:b/>
                <w:bCs/>
                <w:kern w:val="0"/>
              </w:rPr>
            </w:pPr>
            <w:r>
              <w:rPr>
                <w:b/>
                <w:bCs/>
              </w:rPr>
              <w:t>1#合成釜附近0.5-1.5m土壤理化特性</w:t>
            </w:r>
          </w:p>
        </w:tc>
        <w:tc>
          <w:tcPr>
            <w:tcW w:w="1258" w:type="pct"/>
            <w:vAlign w:val="center"/>
          </w:tcPr>
          <w:p>
            <w:pPr>
              <w:widowControl/>
              <w:jc w:val="center"/>
              <w:rPr>
                <w:b/>
                <w:bCs/>
              </w:rPr>
            </w:pPr>
            <w:r>
              <w:rPr>
                <w:b/>
                <w:bCs/>
              </w:rPr>
              <w:t>H02776545</w:t>
            </w:r>
          </w:p>
          <w:p>
            <w:pPr>
              <w:widowControl/>
              <w:jc w:val="center"/>
              <w:rPr>
                <w:b/>
                <w:bCs/>
              </w:rPr>
            </w:pPr>
            <w:r>
              <w:rPr>
                <w:b/>
                <w:bCs/>
              </w:rPr>
              <w:t xml:space="preserve">土壤   </w:t>
            </w:r>
          </w:p>
          <w:p>
            <w:pPr>
              <w:widowControl/>
              <w:jc w:val="center"/>
              <w:rPr>
                <w:b/>
                <w:bCs/>
                <w:kern w:val="0"/>
              </w:rPr>
            </w:pPr>
            <w:r>
              <w:rPr>
                <w:b/>
                <w:bCs/>
              </w:rPr>
              <w:t>1#合成釜附近1.5-3.0m土壤理化特性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三氯乙烯，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t>1,2,3-</w:t>
            </w:r>
            <w:r>
              <w:rPr>
                <w:rFonts w:hint="eastAsia"/>
              </w:rPr>
              <w:t>三氯丙烷，</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氯乙烯，</w:t>
            </w:r>
            <w:r>
              <w:t>mg/kg</w:t>
            </w:r>
          </w:p>
        </w:tc>
        <w:tc>
          <w:tcPr>
            <w:tcW w:w="1200" w:type="pct"/>
            <w:vAlign w:val="center"/>
          </w:tcPr>
          <w:p>
            <w:pPr>
              <w:jc w:val="center"/>
            </w:pPr>
            <w:r>
              <w:t>＜1.0×10</w:t>
            </w:r>
            <w:r>
              <w:rPr>
                <w:vertAlign w:val="superscript"/>
              </w:rPr>
              <w:t>-3</w:t>
            </w:r>
          </w:p>
        </w:tc>
        <w:tc>
          <w:tcPr>
            <w:tcW w:w="1255" w:type="pct"/>
            <w:vAlign w:val="center"/>
          </w:tcPr>
          <w:p>
            <w:pPr>
              <w:jc w:val="center"/>
            </w:pPr>
            <w:r>
              <w:t>＜1.0×10</w:t>
            </w:r>
            <w:r>
              <w:rPr>
                <w:vertAlign w:val="superscript"/>
              </w:rPr>
              <w:t>-3</w:t>
            </w:r>
          </w:p>
        </w:tc>
        <w:tc>
          <w:tcPr>
            <w:tcW w:w="1258"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苯，</w:t>
            </w:r>
            <w:r>
              <w:t>mg/kg</w:t>
            </w:r>
          </w:p>
        </w:tc>
        <w:tc>
          <w:tcPr>
            <w:tcW w:w="1200" w:type="pct"/>
            <w:vAlign w:val="center"/>
          </w:tcPr>
          <w:p>
            <w:pPr>
              <w:jc w:val="center"/>
            </w:pPr>
            <w:r>
              <w:t>＜1.9×10</w:t>
            </w:r>
            <w:r>
              <w:rPr>
                <w:vertAlign w:val="superscript"/>
              </w:rPr>
              <w:t>-3</w:t>
            </w:r>
          </w:p>
        </w:tc>
        <w:tc>
          <w:tcPr>
            <w:tcW w:w="1255" w:type="pct"/>
            <w:vAlign w:val="center"/>
          </w:tcPr>
          <w:p>
            <w:pPr>
              <w:jc w:val="center"/>
            </w:pPr>
            <w:r>
              <w:t>＜1.9×10</w:t>
            </w:r>
            <w:r>
              <w:rPr>
                <w:vertAlign w:val="superscript"/>
              </w:rPr>
              <w:t>-3</w:t>
            </w:r>
          </w:p>
        </w:tc>
        <w:tc>
          <w:tcPr>
            <w:tcW w:w="1258"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氯苯，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t>1,2-</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8"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t>1,4-</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8"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乙苯，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苯乙烯，</w:t>
            </w:r>
            <w:r>
              <w:t>mg/kg</w:t>
            </w:r>
          </w:p>
        </w:tc>
        <w:tc>
          <w:tcPr>
            <w:tcW w:w="1200" w:type="pct"/>
            <w:vAlign w:val="center"/>
          </w:tcPr>
          <w:p>
            <w:pPr>
              <w:jc w:val="center"/>
            </w:pPr>
            <w:r>
              <w:t>＜1.</w:t>
            </w:r>
            <w:r>
              <w:rPr>
                <w:rFonts w:hint="eastAsia"/>
              </w:rPr>
              <w:t>1</w:t>
            </w:r>
            <w:r>
              <w:t>×10</w:t>
            </w:r>
            <w:r>
              <w:rPr>
                <w:vertAlign w:val="superscript"/>
              </w:rPr>
              <w:t>-3</w:t>
            </w:r>
          </w:p>
        </w:tc>
        <w:tc>
          <w:tcPr>
            <w:tcW w:w="1255" w:type="pct"/>
            <w:vAlign w:val="center"/>
          </w:tcPr>
          <w:p>
            <w:pPr>
              <w:jc w:val="center"/>
            </w:pPr>
            <w:r>
              <w:t>＜1.</w:t>
            </w:r>
            <w:r>
              <w:rPr>
                <w:rFonts w:hint="eastAsia"/>
              </w:rPr>
              <w:t>1</w:t>
            </w:r>
            <w:r>
              <w:t>×10</w:t>
            </w:r>
            <w:r>
              <w:rPr>
                <w:vertAlign w:val="superscript"/>
              </w:rPr>
              <w:t>-3</w:t>
            </w:r>
          </w:p>
        </w:tc>
        <w:tc>
          <w:tcPr>
            <w:tcW w:w="1258"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甲苯，</w:t>
            </w:r>
            <w:r>
              <w:t>mg/kg</w:t>
            </w:r>
          </w:p>
        </w:tc>
        <w:tc>
          <w:tcPr>
            <w:tcW w:w="1200" w:type="pct"/>
            <w:vAlign w:val="center"/>
          </w:tcPr>
          <w:p>
            <w:pPr>
              <w:jc w:val="center"/>
            </w:pPr>
            <w:r>
              <w:rPr>
                <w:rFonts w:hint="eastAsia"/>
              </w:rPr>
              <w:t>3</w:t>
            </w:r>
            <w:r>
              <w:t>.0×10</w:t>
            </w:r>
            <w:r>
              <w:rPr>
                <w:vertAlign w:val="superscript"/>
              </w:rPr>
              <w:t>-3</w:t>
            </w:r>
          </w:p>
        </w:tc>
        <w:tc>
          <w:tcPr>
            <w:tcW w:w="1255" w:type="pct"/>
            <w:vAlign w:val="center"/>
          </w:tcPr>
          <w:p>
            <w:pPr>
              <w:jc w:val="center"/>
            </w:pPr>
            <w:r>
              <w:rPr>
                <w:rFonts w:hint="eastAsia"/>
              </w:rPr>
              <w:t>2</w:t>
            </w:r>
            <w:r>
              <w:t>.7×10</w:t>
            </w:r>
            <w:r>
              <w:rPr>
                <w:vertAlign w:val="superscript"/>
              </w:rPr>
              <w:t>-3</w:t>
            </w:r>
          </w:p>
        </w:tc>
        <w:tc>
          <w:tcPr>
            <w:tcW w:w="1258" w:type="pct"/>
            <w:vAlign w:val="center"/>
          </w:tcPr>
          <w:p>
            <w:pPr>
              <w:jc w:val="center"/>
            </w:pPr>
            <w:r>
              <w:rPr>
                <w:rFonts w:hint="eastAsia"/>
              </w:rPr>
              <w:t>3</w:t>
            </w:r>
            <w:r>
              <w:t>.2×10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对间</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邻</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硝基苯，</w:t>
            </w:r>
            <w:r>
              <w:t>mg/kg</w:t>
            </w:r>
          </w:p>
        </w:tc>
        <w:tc>
          <w:tcPr>
            <w:tcW w:w="1200" w:type="pct"/>
            <w:vAlign w:val="center"/>
          </w:tcPr>
          <w:p>
            <w:pPr>
              <w:jc w:val="center"/>
            </w:pPr>
            <w:r>
              <w:t>＜0.09</w:t>
            </w:r>
          </w:p>
        </w:tc>
        <w:tc>
          <w:tcPr>
            <w:tcW w:w="1255" w:type="pct"/>
            <w:vAlign w:val="center"/>
          </w:tcPr>
          <w:p>
            <w:pPr>
              <w:jc w:val="center"/>
            </w:pPr>
            <w:r>
              <w:t>＜0.09</w:t>
            </w:r>
          </w:p>
        </w:tc>
        <w:tc>
          <w:tcPr>
            <w:tcW w:w="1258"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苯胺，</w:t>
            </w:r>
            <w:r>
              <w:t>mg/kg</w:t>
            </w:r>
          </w:p>
        </w:tc>
        <w:tc>
          <w:tcPr>
            <w:tcW w:w="1200" w:type="pct"/>
            <w:vAlign w:val="center"/>
          </w:tcPr>
          <w:p>
            <w:pPr>
              <w:jc w:val="center"/>
            </w:pPr>
            <w:r>
              <w:t>＜0.</w:t>
            </w:r>
            <w:r>
              <w:rPr>
                <w:rFonts w:hint="eastAsia"/>
              </w:rPr>
              <w:t>1</w:t>
            </w:r>
          </w:p>
        </w:tc>
        <w:tc>
          <w:tcPr>
            <w:tcW w:w="1255" w:type="pct"/>
            <w:vAlign w:val="center"/>
          </w:tcPr>
          <w:p>
            <w:pPr>
              <w:jc w:val="center"/>
            </w:pPr>
            <w:r>
              <w:t>＜0.</w:t>
            </w:r>
            <w:r>
              <w:rPr>
                <w:rFonts w:hint="eastAsia"/>
              </w:rPr>
              <w:t>1</w:t>
            </w:r>
          </w:p>
        </w:tc>
        <w:tc>
          <w:tcPr>
            <w:tcW w:w="1258"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t>2-</w:t>
            </w:r>
            <w:r>
              <w:rPr>
                <w:rFonts w:hint="eastAsia"/>
              </w:rPr>
              <w:t>氯酚，</w:t>
            </w:r>
            <w:r>
              <w:t>mg/kg</w:t>
            </w:r>
          </w:p>
        </w:tc>
        <w:tc>
          <w:tcPr>
            <w:tcW w:w="1200" w:type="pct"/>
            <w:vAlign w:val="center"/>
          </w:tcPr>
          <w:p>
            <w:pPr>
              <w:jc w:val="center"/>
            </w:pPr>
            <w:r>
              <w:t>＜0.06</w:t>
            </w:r>
          </w:p>
        </w:tc>
        <w:tc>
          <w:tcPr>
            <w:tcW w:w="1255" w:type="pct"/>
            <w:vAlign w:val="center"/>
          </w:tcPr>
          <w:p>
            <w:pPr>
              <w:jc w:val="center"/>
            </w:pPr>
            <w:r>
              <w:t>＜0.06</w:t>
            </w:r>
          </w:p>
        </w:tc>
        <w:tc>
          <w:tcPr>
            <w:tcW w:w="1258"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苯并（a）蒽，</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苯并（a）芘，</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8"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苯并（b）荧蒽，</w:t>
            </w:r>
            <w:r>
              <w:t>mg/kg</w:t>
            </w:r>
          </w:p>
        </w:tc>
        <w:tc>
          <w:tcPr>
            <w:tcW w:w="1200" w:type="pct"/>
            <w:vAlign w:val="center"/>
          </w:tcPr>
          <w:p>
            <w:pPr>
              <w:jc w:val="center"/>
            </w:pPr>
            <w:r>
              <w:t>＜0.2</w:t>
            </w:r>
          </w:p>
        </w:tc>
        <w:tc>
          <w:tcPr>
            <w:tcW w:w="1255" w:type="pct"/>
            <w:vAlign w:val="center"/>
          </w:tcPr>
          <w:p>
            <w:pPr>
              <w:jc w:val="center"/>
            </w:pPr>
            <w:r>
              <w:t>＜0.2</w:t>
            </w:r>
          </w:p>
        </w:tc>
        <w:tc>
          <w:tcPr>
            <w:tcW w:w="1258"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苯并（k）荧蒽，</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䓛，</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二苯并（a,h）蒽，</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8"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茚并（1,2,3-c,d）芘，</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萘，</w:t>
            </w:r>
            <w:r>
              <w:t>mg/kg</w:t>
            </w:r>
          </w:p>
        </w:tc>
        <w:tc>
          <w:tcPr>
            <w:tcW w:w="1200" w:type="pct"/>
            <w:vAlign w:val="center"/>
          </w:tcPr>
          <w:p>
            <w:pPr>
              <w:jc w:val="center"/>
            </w:pPr>
            <w:r>
              <w:t>＜0.09</w:t>
            </w:r>
          </w:p>
        </w:tc>
        <w:tc>
          <w:tcPr>
            <w:tcW w:w="1255" w:type="pct"/>
            <w:vAlign w:val="center"/>
          </w:tcPr>
          <w:p>
            <w:pPr>
              <w:jc w:val="center"/>
            </w:pPr>
            <w:r>
              <w:t>＜0.09</w:t>
            </w:r>
          </w:p>
        </w:tc>
        <w:tc>
          <w:tcPr>
            <w:tcW w:w="1258"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kern w:val="0"/>
              </w:rPr>
              <w:t>阳离子交换量，cmol(+)/kg</w:t>
            </w:r>
          </w:p>
        </w:tc>
        <w:tc>
          <w:tcPr>
            <w:tcW w:w="1200" w:type="pct"/>
            <w:vAlign w:val="center"/>
          </w:tcPr>
          <w:p>
            <w:pPr>
              <w:jc w:val="center"/>
            </w:pPr>
            <w:r>
              <w:rPr>
                <w:rFonts w:hint="eastAsia"/>
              </w:rPr>
              <w:t>6</w:t>
            </w:r>
            <w:r>
              <w:t>.58</w:t>
            </w:r>
          </w:p>
        </w:tc>
        <w:tc>
          <w:tcPr>
            <w:tcW w:w="1255" w:type="pct"/>
            <w:vAlign w:val="center"/>
          </w:tcPr>
          <w:p>
            <w:pPr>
              <w:jc w:val="center"/>
            </w:pPr>
            <w:r>
              <w:rPr>
                <w:rFonts w:hint="eastAsia"/>
              </w:rPr>
              <w:t>5</w:t>
            </w:r>
            <w:r>
              <w:t>.71</w:t>
            </w:r>
          </w:p>
        </w:tc>
        <w:tc>
          <w:tcPr>
            <w:tcW w:w="1258" w:type="pct"/>
            <w:vAlign w:val="center"/>
          </w:tcPr>
          <w:p>
            <w:pPr>
              <w:jc w:val="center"/>
            </w:pPr>
            <w:r>
              <w:rPr>
                <w:rFonts w:hint="eastAsia"/>
              </w:rPr>
              <w:t>3</w:t>
            </w:r>
            <w:r>
              <w:t>.91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氧化还原电位，mV</w:t>
            </w:r>
          </w:p>
        </w:tc>
        <w:tc>
          <w:tcPr>
            <w:tcW w:w="1200" w:type="pct"/>
            <w:vAlign w:val="center"/>
          </w:tcPr>
          <w:p>
            <w:pPr>
              <w:jc w:val="center"/>
            </w:pPr>
            <w:r>
              <w:rPr>
                <w:rFonts w:hint="eastAsia"/>
              </w:rPr>
              <w:t>3</w:t>
            </w:r>
            <w:r>
              <w:t>22</w:t>
            </w:r>
          </w:p>
        </w:tc>
        <w:tc>
          <w:tcPr>
            <w:tcW w:w="1255" w:type="pct"/>
            <w:vAlign w:val="center"/>
          </w:tcPr>
          <w:p>
            <w:pPr>
              <w:jc w:val="center"/>
            </w:pPr>
            <w:r>
              <w:rPr>
                <w:rFonts w:hint="eastAsia"/>
              </w:rPr>
              <w:t>2</w:t>
            </w:r>
            <w:r>
              <w:t>80</w:t>
            </w:r>
          </w:p>
        </w:tc>
        <w:tc>
          <w:tcPr>
            <w:tcW w:w="1258" w:type="pct"/>
            <w:vAlign w:val="center"/>
          </w:tcPr>
          <w:p>
            <w:pPr>
              <w:jc w:val="center"/>
            </w:pPr>
            <w:r>
              <w:rPr>
                <w:rFonts w:hint="eastAsia"/>
              </w:rPr>
              <w:t>2</w:t>
            </w:r>
            <w:r>
              <w:t>51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rPr>
                <w:rFonts w:ascii="宋体" w:hAnsi="宋体" w:cs="宋体"/>
              </w:rPr>
            </w:pPr>
            <w:r>
              <w:rPr>
                <w:rFonts w:hint="eastAsia"/>
              </w:rPr>
              <w:t>饱和导水率</w:t>
            </w:r>
            <w:r>
              <w:t>，mm/min</w:t>
            </w:r>
          </w:p>
        </w:tc>
        <w:tc>
          <w:tcPr>
            <w:tcW w:w="1200" w:type="pct"/>
            <w:vAlign w:val="center"/>
          </w:tcPr>
          <w:p>
            <w:pPr>
              <w:jc w:val="center"/>
            </w:pPr>
            <w:r>
              <w:rPr>
                <w:rFonts w:hint="eastAsia"/>
              </w:rPr>
              <w:t>2</w:t>
            </w:r>
            <w:r>
              <w:t>.34</w:t>
            </w:r>
          </w:p>
        </w:tc>
        <w:tc>
          <w:tcPr>
            <w:tcW w:w="1255" w:type="pct"/>
            <w:vAlign w:val="center"/>
          </w:tcPr>
          <w:p>
            <w:pPr>
              <w:jc w:val="center"/>
            </w:pPr>
            <w:r>
              <w:rPr>
                <w:rFonts w:hint="eastAsia"/>
              </w:rPr>
              <w:t>2</w:t>
            </w:r>
            <w:r>
              <w:t>.47</w:t>
            </w:r>
          </w:p>
        </w:tc>
        <w:tc>
          <w:tcPr>
            <w:tcW w:w="1258" w:type="pct"/>
            <w:vAlign w:val="center"/>
          </w:tcPr>
          <w:p>
            <w:pPr>
              <w:jc w:val="center"/>
            </w:pPr>
            <w:r>
              <w:t>2.39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土壤容重，g/cm</w:t>
            </w:r>
            <w:r>
              <w:rPr>
                <w:rFonts w:hint="eastAsia"/>
                <w:vertAlign w:val="superscript"/>
              </w:rPr>
              <w:t>3</w:t>
            </w:r>
          </w:p>
        </w:tc>
        <w:tc>
          <w:tcPr>
            <w:tcW w:w="1200" w:type="pct"/>
            <w:vAlign w:val="center"/>
          </w:tcPr>
          <w:p>
            <w:pPr>
              <w:jc w:val="center"/>
            </w:pPr>
            <w:r>
              <w:rPr>
                <w:rFonts w:hint="eastAsia"/>
              </w:rPr>
              <w:t>1</w:t>
            </w:r>
            <w:r>
              <w:t>.17</w:t>
            </w:r>
          </w:p>
        </w:tc>
        <w:tc>
          <w:tcPr>
            <w:tcW w:w="1255" w:type="pct"/>
            <w:vAlign w:val="center"/>
          </w:tcPr>
          <w:p>
            <w:pPr>
              <w:jc w:val="center"/>
            </w:pPr>
            <w:r>
              <w:rPr>
                <w:rFonts w:hint="eastAsia"/>
              </w:rPr>
              <w:t>1</w:t>
            </w:r>
            <w:r>
              <w:t>.44</w:t>
            </w:r>
          </w:p>
        </w:tc>
        <w:tc>
          <w:tcPr>
            <w:tcW w:w="1258" w:type="pct"/>
            <w:vAlign w:val="center"/>
          </w:tcPr>
          <w:p>
            <w:pPr>
              <w:jc w:val="center"/>
            </w:pPr>
            <w:r>
              <w:rPr>
                <w:rFonts w:hint="eastAsia"/>
              </w:rPr>
              <w:t>1</w:t>
            </w:r>
            <w:r>
              <w:t>.58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9" w:hRule="atLeast"/>
        </w:trPr>
        <w:tc>
          <w:tcPr>
            <w:tcW w:w="1285" w:type="pct"/>
            <w:vAlign w:val="center"/>
          </w:tcPr>
          <w:p>
            <w:pPr>
              <w:jc w:val="center"/>
            </w:pPr>
            <w:r>
              <w:rPr>
                <w:rFonts w:hint="eastAsia"/>
              </w:rPr>
              <w:t>孔隙度，%</w:t>
            </w:r>
          </w:p>
        </w:tc>
        <w:tc>
          <w:tcPr>
            <w:tcW w:w="1200" w:type="pct"/>
            <w:vAlign w:val="center"/>
          </w:tcPr>
          <w:p>
            <w:pPr>
              <w:jc w:val="center"/>
            </w:pPr>
            <w:r>
              <w:rPr>
                <w:rFonts w:hint="eastAsia"/>
              </w:rPr>
              <w:t>5</w:t>
            </w:r>
            <w:r>
              <w:t>3.0</w:t>
            </w:r>
          </w:p>
        </w:tc>
        <w:tc>
          <w:tcPr>
            <w:tcW w:w="1255" w:type="pct"/>
            <w:vAlign w:val="center"/>
          </w:tcPr>
          <w:p>
            <w:pPr>
              <w:jc w:val="center"/>
            </w:pPr>
            <w:r>
              <w:rPr>
                <w:rFonts w:hint="eastAsia"/>
              </w:rPr>
              <w:t>4</w:t>
            </w:r>
            <w:r>
              <w:t>8.6</w:t>
            </w:r>
          </w:p>
        </w:tc>
        <w:tc>
          <w:tcPr>
            <w:tcW w:w="1258" w:type="pct"/>
            <w:vAlign w:val="center"/>
          </w:tcPr>
          <w:p>
            <w:pPr>
              <w:jc w:val="center"/>
            </w:pPr>
            <w:r>
              <w:rPr>
                <w:rFonts w:hint="eastAsia"/>
              </w:rPr>
              <w:t>5</w:t>
            </w:r>
            <w:r>
              <w:t>7.2</w:t>
            </w:r>
          </w:p>
        </w:tc>
      </w:tr>
    </w:tbl>
    <w:p>
      <w:pPr>
        <w:jc w:val="center"/>
      </w:pPr>
      <w:r>
        <w:br w:type="page"/>
      </w:r>
    </w:p>
    <w:p>
      <w:pPr>
        <w:pStyle w:val="32"/>
        <w:tabs>
          <w:tab w:val="left" w:pos="4540"/>
          <w:tab w:val="clear" w:pos="900"/>
        </w:tabs>
      </w:pPr>
      <w:r>
        <w:t>表4.3-</w:t>
      </w:r>
      <w:r>
        <w:rPr>
          <w:rFonts w:hint="eastAsia"/>
        </w:rPr>
        <w:t>12（3）                 土壤检测结果</w:t>
      </w:r>
    </w:p>
    <w:tbl>
      <w:tblPr>
        <w:tblStyle w:val="21"/>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3"/>
        <w:gridCol w:w="2269"/>
        <w:gridCol w:w="2269"/>
        <w:gridCol w:w="22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spacing w:before="60" w:beforeLines="25" w:after="60" w:afterLines="25"/>
              <w:jc w:val="center"/>
              <w:rPr>
                <w:b/>
                <w:bCs/>
              </w:rPr>
            </w:pPr>
            <w:r>
              <w:rPr>
                <w:rFonts w:hint="eastAsia"/>
                <w:b/>
                <w:bCs/>
              </w:rPr>
              <w:t>监 测 项 目</w:t>
            </w:r>
          </w:p>
        </w:tc>
        <w:tc>
          <w:tcPr>
            <w:tcW w:w="1236" w:type="pct"/>
            <w:vAlign w:val="center"/>
          </w:tcPr>
          <w:p>
            <w:pPr>
              <w:widowControl/>
              <w:jc w:val="center"/>
              <w:rPr>
                <w:b/>
                <w:bCs/>
              </w:rPr>
            </w:pPr>
            <w:r>
              <w:rPr>
                <w:b/>
                <w:bCs/>
              </w:rPr>
              <w:t>H02777545</w:t>
            </w:r>
          </w:p>
          <w:p>
            <w:pPr>
              <w:widowControl/>
              <w:jc w:val="center"/>
              <w:rPr>
                <w:b/>
                <w:bCs/>
              </w:rPr>
            </w:pPr>
            <w:r>
              <w:rPr>
                <w:b/>
                <w:bCs/>
              </w:rPr>
              <w:t xml:space="preserve">土壤  </w:t>
            </w:r>
          </w:p>
          <w:p>
            <w:pPr>
              <w:widowControl/>
              <w:jc w:val="center"/>
              <w:rPr>
                <w:b/>
                <w:bCs/>
                <w:kern w:val="0"/>
              </w:rPr>
            </w:pPr>
            <w:r>
              <w:rPr>
                <w:b/>
                <w:bCs/>
              </w:rPr>
              <w:t xml:space="preserve"> 2#乙二醇精馏工段0-0.5m</w:t>
            </w:r>
          </w:p>
        </w:tc>
        <w:tc>
          <w:tcPr>
            <w:tcW w:w="1236" w:type="pct"/>
            <w:vAlign w:val="center"/>
          </w:tcPr>
          <w:p>
            <w:pPr>
              <w:widowControl/>
              <w:jc w:val="center"/>
              <w:rPr>
                <w:b/>
                <w:bCs/>
              </w:rPr>
            </w:pPr>
            <w:r>
              <w:rPr>
                <w:b/>
                <w:bCs/>
              </w:rPr>
              <w:t>H02778545</w:t>
            </w:r>
          </w:p>
          <w:p>
            <w:pPr>
              <w:widowControl/>
              <w:jc w:val="center"/>
              <w:rPr>
                <w:b/>
                <w:bCs/>
              </w:rPr>
            </w:pPr>
            <w:r>
              <w:rPr>
                <w:b/>
                <w:bCs/>
              </w:rPr>
              <w:t xml:space="preserve">土壤   </w:t>
            </w:r>
          </w:p>
          <w:p>
            <w:pPr>
              <w:widowControl/>
              <w:jc w:val="center"/>
              <w:rPr>
                <w:b/>
                <w:bCs/>
                <w:kern w:val="0"/>
              </w:rPr>
            </w:pPr>
            <w:r>
              <w:rPr>
                <w:b/>
                <w:bCs/>
              </w:rPr>
              <w:t>2#乙二醇精馏工段0.5-1.5m</w:t>
            </w:r>
          </w:p>
        </w:tc>
        <w:tc>
          <w:tcPr>
            <w:tcW w:w="1237" w:type="pct"/>
            <w:vAlign w:val="center"/>
          </w:tcPr>
          <w:p>
            <w:pPr>
              <w:widowControl/>
              <w:jc w:val="center"/>
              <w:rPr>
                <w:b/>
                <w:bCs/>
              </w:rPr>
            </w:pPr>
            <w:r>
              <w:rPr>
                <w:b/>
                <w:bCs/>
              </w:rPr>
              <w:t>H02779545</w:t>
            </w:r>
          </w:p>
          <w:p>
            <w:pPr>
              <w:widowControl/>
              <w:jc w:val="center"/>
              <w:rPr>
                <w:b/>
                <w:bCs/>
              </w:rPr>
            </w:pPr>
            <w:r>
              <w:rPr>
                <w:b/>
                <w:bCs/>
              </w:rPr>
              <w:t xml:space="preserve">土壤   </w:t>
            </w:r>
          </w:p>
          <w:p>
            <w:pPr>
              <w:widowControl/>
              <w:jc w:val="center"/>
              <w:rPr>
                <w:b/>
                <w:bCs/>
                <w:kern w:val="0"/>
              </w:rPr>
            </w:pPr>
            <w:r>
              <w:rPr>
                <w:b/>
                <w:bCs/>
              </w:rPr>
              <w:t>2#乙二醇精馏工段1.5-3.0m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pH</w:t>
            </w:r>
            <w:r>
              <w:rPr>
                <w:rFonts w:hAnsi="宋体"/>
              </w:rPr>
              <w:t>（无量纲）</w:t>
            </w:r>
          </w:p>
        </w:tc>
        <w:tc>
          <w:tcPr>
            <w:tcW w:w="1236" w:type="pct"/>
            <w:vAlign w:val="center"/>
          </w:tcPr>
          <w:p>
            <w:pPr>
              <w:widowControl/>
              <w:jc w:val="center"/>
              <w:rPr>
                <w:kern w:val="0"/>
              </w:rPr>
            </w:pPr>
            <w:r>
              <w:t>8.34</w:t>
            </w:r>
          </w:p>
        </w:tc>
        <w:tc>
          <w:tcPr>
            <w:tcW w:w="1236" w:type="pct"/>
            <w:vAlign w:val="center"/>
          </w:tcPr>
          <w:p>
            <w:pPr>
              <w:jc w:val="center"/>
            </w:pPr>
            <w:r>
              <w:t>8.49</w:t>
            </w:r>
          </w:p>
        </w:tc>
        <w:tc>
          <w:tcPr>
            <w:tcW w:w="1237" w:type="pct"/>
            <w:vAlign w:val="center"/>
          </w:tcPr>
          <w:p>
            <w:pPr>
              <w:jc w:val="center"/>
            </w:pPr>
            <w:r>
              <w:t>8.36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总砷，mg/kg</w:t>
            </w:r>
          </w:p>
        </w:tc>
        <w:tc>
          <w:tcPr>
            <w:tcW w:w="1236" w:type="pct"/>
            <w:vAlign w:val="center"/>
          </w:tcPr>
          <w:p>
            <w:pPr>
              <w:jc w:val="center"/>
            </w:pPr>
            <w:r>
              <w:t>6.29</w:t>
            </w:r>
          </w:p>
        </w:tc>
        <w:tc>
          <w:tcPr>
            <w:tcW w:w="1236" w:type="pct"/>
            <w:vAlign w:val="center"/>
          </w:tcPr>
          <w:p>
            <w:pPr>
              <w:jc w:val="center"/>
            </w:pPr>
            <w:r>
              <w:t>6.05</w:t>
            </w:r>
          </w:p>
        </w:tc>
        <w:tc>
          <w:tcPr>
            <w:tcW w:w="1237" w:type="pct"/>
            <w:vAlign w:val="center"/>
          </w:tcPr>
          <w:p>
            <w:pPr>
              <w:jc w:val="center"/>
            </w:pPr>
            <w:r>
              <w:t>5.40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镉，mg/kg</w:t>
            </w:r>
          </w:p>
        </w:tc>
        <w:tc>
          <w:tcPr>
            <w:tcW w:w="1236" w:type="pct"/>
            <w:vAlign w:val="center"/>
          </w:tcPr>
          <w:p>
            <w:pPr>
              <w:jc w:val="center"/>
            </w:pPr>
            <w:r>
              <w:t>0.13</w:t>
            </w:r>
          </w:p>
        </w:tc>
        <w:tc>
          <w:tcPr>
            <w:tcW w:w="1236" w:type="pct"/>
            <w:vAlign w:val="center"/>
          </w:tcPr>
          <w:p>
            <w:pPr>
              <w:jc w:val="center"/>
            </w:pPr>
            <w:r>
              <w:t>0.05</w:t>
            </w:r>
          </w:p>
        </w:tc>
        <w:tc>
          <w:tcPr>
            <w:tcW w:w="1237"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铬（六价），mg/kg</w:t>
            </w:r>
          </w:p>
        </w:tc>
        <w:tc>
          <w:tcPr>
            <w:tcW w:w="1236" w:type="pct"/>
            <w:vAlign w:val="center"/>
          </w:tcPr>
          <w:p>
            <w:pPr>
              <w:jc w:val="center"/>
            </w:pPr>
            <w:r>
              <w:t>2.5</w:t>
            </w:r>
          </w:p>
        </w:tc>
        <w:tc>
          <w:tcPr>
            <w:tcW w:w="1236" w:type="pct"/>
            <w:vAlign w:val="center"/>
          </w:tcPr>
          <w:p>
            <w:pPr>
              <w:jc w:val="center"/>
            </w:pPr>
            <w:r>
              <w:t>1.6</w:t>
            </w:r>
          </w:p>
        </w:tc>
        <w:tc>
          <w:tcPr>
            <w:tcW w:w="1237" w:type="pct"/>
            <w:vAlign w:val="center"/>
          </w:tcPr>
          <w:p>
            <w:pPr>
              <w:jc w:val="center"/>
            </w:pPr>
            <w:r>
              <w:rPr>
                <w:rFonts w:hint="eastAsia"/>
              </w:rPr>
              <w:t>＜</w:t>
            </w:r>
            <w: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铜，mg/kg</w:t>
            </w:r>
          </w:p>
        </w:tc>
        <w:tc>
          <w:tcPr>
            <w:tcW w:w="1236" w:type="pct"/>
            <w:vAlign w:val="center"/>
          </w:tcPr>
          <w:p>
            <w:pPr>
              <w:jc w:val="center"/>
            </w:pPr>
            <w:r>
              <w:t>12</w:t>
            </w:r>
          </w:p>
        </w:tc>
        <w:tc>
          <w:tcPr>
            <w:tcW w:w="1236" w:type="pct"/>
            <w:vAlign w:val="center"/>
          </w:tcPr>
          <w:p>
            <w:pPr>
              <w:jc w:val="center"/>
            </w:pPr>
            <w:r>
              <w:t>11</w:t>
            </w:r>
          </w:p>
        </w:tc>
        <w:tc>
          <w:tcPr>
            <w:tcW w:w="1237" w:type="pct"/>
            <w:vAlign w:val="center"/>
          </w:tcPr>
          <w:p>
            <w:pPr>
              <w:jc w:val="center"/>
            </w:pPr>
            <w: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铅，mg/kg</w:t>
            </w:r>
          </w:p>
        </w:tc>
        <w:tc>
          <w:tcPr>
            <w:tcW w:w="1236" w:type="pct"/>
            <w:vAlign w:val="center"/>
          </w:tcPr>
          <w:p>
            <w:pPr>
              <w:jc w:val="center"/>
            </w:pPr>
            <w:r>
              <w:t>18.8</w:t>
            </w:r>
          </w:p>
        </w:tc>
        <w:tc>
          <w:tcPr>
            <w:tcW w:w="1236" w:type="pct"/>
            <w:vAlign w:val="center"/>
          </w:tcPr>
          <w:p>
            <w:pPr>
              <w:jc w:val="center"/>
            </w:pPr>
            <w:r>
              <w:t>14.7</w:t>
            </w:r>
          </w:p>
        </w:tc>
        <w:tc>
          <w:tcPr>
            <w:tcW w:w="1237" w:type="pct"/>
            <w:vAlign w:val="center"/>
          </w:tcPr>
          <w:p>
            <w:pPr>
              <w:jc w:val="center"/>
            </w:pPr>
            <w:r>
              <w:t>14.4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总汞，mg/kg</w:t>
            </w:r>
          </w:p>
        </w:tc>
        <w:tc>
          <w:tcPr>
            <w:tcW w:w="1236" w:type="pct"/>
            <w:vAlign w:val="center"/>
          </w:tcPr>
          <w:p>
            <w:pPr>
              <w:jc w:val="center"/>
            </w:pPr>
            <w:r>
              <w:t>0.021</w:t>
            </w:r>
          </w:p>
        </w:tc>
        <w:tc>
          <w:tcPr>
            <w:tcW w:w="1236" w:type="pct"/>
            <w:vAlign w:val="center"/>
          </w:tcPr>
          <w:p>
            <w:pPr>
              <w:jc w:val="center"/>
            </w:pPr>
            <w:r>
              <w:t>0.005</w:t>
            </w:r>
          </w:p>
        </w:tc>
        <w:tc>
          <w:tcPr>
            <w:tcW w:w="1237" w:type="pct"/>
            <w:vAlign w:val="center"/>
          </w:tcPr>
          <w:p>
            <w:pPr>
              <w:jc w:val="center"/>
            </w:pPr>
            <w:r>
              <w:t>0.006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widowControl/>
              <w:jc w:val="center"/>
            </w:pPr>
            <w:r>
              <w:rPr>
                <w:rFonts w:hint="eastAsia"/>
              </w:rPr>
              <w:t>镍，mg/kg</w:t>
            </w:r>
          </w:p>
        </w:tc>
        <w:tc>
          <w:tcPr>
            <w:tcW w:w="1236" w:type="pct"/>
            <w:vAlign w:val="center"/>
          </w:tcPr>
          <w:p>
            <w:pPr>
              <w:jc w:val="center"/>
            </w:pPr>
            <w:r>
              <w:t>20</w:t>
            </w:r>
          </w:p>
        </w:tc>
        <w:tc>
          <w:tcPr>
            <w:tcW w:w="1236" w:type="pct"/>
            <w:vAlign w:val="center"/>
          </w:tcPr>
          <w:p>
            <w:pPr>
              <w:jc w:val="center"/>
            </w:pPr>
            <w:r>
              <w:t>18</w:t>
            </w:r>
          </w:p>
        </w:tc>
        <w:tc>
          <w:tcPr>
            <w:tcW w:w="1237" w:type="pct"/>
            <w:vAlign w:val="center"/>
          </w:tcPr>
          <w:p>
            <w:pPr>
              <w:jc w:val="center"/>
            </w:pPr>
            <w: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1236" w:type="pct"/>
            <w:vAlign w:val="center"/>
          </w:tcPr>
          <w:p>
            <w:pPr>
              <w:jc w:val="center"/>
            </w:pPr>
            <w:r>
              <w:t>22</w:t>
            </w:r>
          </w:p>
        </w:tc>
        <w:tc>
          <w:tcPr>
            <w:tcW w:w="1236" w:type="pct"/>
            <w:vAlign w:val="center"/>
          </w:tcPr>
          <w:p>
            <w:pPr>
              <w:jc w:val="center"/>
            </w:pPr>
            <w:r>
              <w:t>36</w:t>
            </w:r>
          </w:p>
        </w:tc>
        <w:tc>
          <w:tcPr>
            <w:tcW w:w="1237" w:type="pct"/>
            <w:vAlign w:val="center"/>
          </w:tcPr>
          <w:p>
            <w:pPr>
              <w:jc w:val="center"/>
            </w:pPr>
            <w:r>
              <w:t>15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四氯化碳，mg/kg</w:t>
            </w:r>
          </w:p>
        </w:tc>
        <w:tc>
          <w:tcPr>
            <w:tcW w:w="1236" w:type="pct"/>
            <w:vAlign w:val="center"/>
          </w:tcPr>
          <w:p>
            <w:pPr>
              <w:jc w:val="center"/>
            </w:pPr>
            <w:r>
              <w:t>＜1.</w:t>
            </w:r>
            <w:r>
              <w:rPr>
                <w:rFonts w:hint="eastAsia"/>
              </w:rPr>
              <w:t>3</w:t>
            </w:r>
            <w:r>
              <w:t>×10</w:t>
            </w:r>
            <w:r>
              <w:rPr>
                <w:vertAlign w:val="superscript"/>
              </w:rPr>
              <w:t>-3</w:t>
            </w:r>
          </w:p>
        </w:tc>
        <w:tc>
          <w:tcPr>
            <w:tcW w:w="1236" w:type="pct"/>
            <w:vAlign w:val="center"/>
          </w:tcPr>
          <w:p>
            <w:pPr>
              <w:jc w:val="center"/>
            </w:pPr>
            <w:r>
              <w:t>＜1.</w:t>
            </w:r>
            <w:r>
              <w:rPr>
                <w:rFonts w:hint="eastAsia"/>
              </w:rPr>
              <w:t>3</w:t>
            </w:r>
            <w:r>
              <w:t>×10</w:t>
            </w:r>
            <w:r>
              <w:rPr>
                <w:vertAlign w:val="superscript"/>
              </w:rPr>
              <w:t>-3</w:t>
            </w:r>
          </w:p>
        </w:tc>
        <w:tc>
          <w:tcPr>
            <w:tcW w:w="1237"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氯仿，mg/kg</w:t>
            </w:r>
          </w:p>
        </w:tc>
        <w:tc>
          <w:tcPr>
            <w:tcW w:w="1236" w:type="pct"/>
            <w:vAlign w:val="center"/>
          </w:tcPr>
          <w:p>
            <w:pPr>
              <w:jc w:val="center"/>
            </w:pPr>
            <w:r>
              <w:t>＜</w:t>
            </w:r>
            <w:r>
              <w:rPr>
                <w:rFonts w:hint="eastAsia"/>
              </w:rPr>
              <w:t>1.1</w:t>
            </w:r>
            <w:r>
              <w:t>×10</w:t>
            </w:r>
            <w:r>
              <w:rPr>
                <w:vertAlign w:val="superscript"/>
              </w:rPr>
              <w:t>-3</w:t>
            </w:r>
          </w:p>
        </w:tc>
        <w:tc>
          <w:tcPr>
            <w:tcW w:w="1236" w:type="pct"/>
            <w:vAlign w:val="center"/>
          </w:tcPr>
          <w:p>
            <w:pPr>
              <w:jc w:val="center"/>
            </w:pPr>
            <w:r>
              <w:t>＜</w:t>
            </w:r>
            <w:r>
              <w:rPr>
                <w:rFonts w:hint="eastAsia"/>
              </w:rPr>
              <w:t>1.1</w:t>
            </w:r>
            <w:r>
              <w:t>×10</w:t>
            </w:r>
            <w:r>
              <w:rPr>
                <w:vertAlign w:val="superscript"/>
              </w:rPr>
              <w:t>-3</w:t>
            </w:r>
          </w:p>
        </w:tc>
        <w:tc>
          <w:tcPr>
            <w:tcW w:w="1237"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氯甲烷，</w:t>
            </w:r>
            <w:r>
              <w:t>mg/kg</w:t>
            </w:r>
          </w:p>
        </w:tc>
        <w:tc>
          <w:tcPr>
            <w:tcW w:w="1236" w:type="pct"/>
            <w:vAlign w:val="center"/>
          </w:tcPr>
          <w:p>
            <w:pPr>
              <w:jc w:val="center"/>
            </w:pPr>
            <w:r>
              <w:t>＜1.0×10</w:t>
            </w:r>
            <w:r>
              <w:rPr>
                <w:vertAlign w:val="superscript"/>
              </w:rPr>
              <w:t>-3</w:t>
            </w:r>
          </w:p>
        </w:tc>
        <w:tc>
          <w:tcPr>
            <w:tcW w:w="1236"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w:t>
            </w:r>
            <w:r>
              <w:rPr>
                <w:rFonts w:hint="eastAsia"/>
              </w:rPr>
              <w:t>二氯乙烷，</w:t>
            </w:r>
            <w:r>
              <w:t>mg/kg</w:t>
            </w:r>
          </w:p>
        </w:tc>
        <w:tc>
          <w:tcPr>
            <w:tcW w:w="1236" w:type="pct"/>
            <w:vAlign w:val="center"/>
          </w:tcPr>
          <w:p>
            <w:pPr>
              <w:jc w:val="center"/>
            </w:pPr>
            <w:r>
              <w:t>＜</w:t>
            </w:r>
            <w:r>
              <w:rPr>
                <w:rFonts w:hint="eastAsia"/>
              </w:rPr>
              <w:t>1.2</w:t>
            </w:r>
            <w:r>
              <w:t>×10</w:t>
            </w:r>
            <w:r>
              <w:rPr>
                <w:vertAlign w:val="superscript"/>
              </w:rPr>
              <w:t>-3</w:t>
            </w:r>
          </w:p>
        </w:tc>
        <w:tc>
          <w:tcPr>
            <w:tcW w:w="1236" w:type="pct"/>
            <w:vAlign w:val="center"/>
          </w:tcPr>
          <w:p>
            <w:pPr>
              <w:jc w:val="center"/>
            </w:pPr>
            <w:r>
              <w:t>＜</w:t>
            </w:r>
            <w:r>
              <w:rPr>
                <w:rFonts w:hint="eastAsia"/>
              </w:rPr>
              <w:t>1.2</w:t>
            </w:r>
            <w:r>
              <w:t>×10</w:t>
            </w:r>
            <w:r>
              <w:rPr>
                <w:vertAlign w:val="superscript"/>
              </w:rPr>
              <w:t>-3</w:t>
            </w:r>
          </w:p>
        </w:tc>
        <w:tc>
          <w:tcPr>
            <w:tcW w:w="1237"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1,2-</w:t>
            </w:r>
            <w:r>
              <w:rPr>
                <w:rFonts w:hint="eastAsia"/>
              </w:rPr>
              <w:t>二氯乙烷，</w:t>
            </w:r>
            <w:r>
              <w:t>mg/kg</w:t>
            </w:r>
          </w:p>
        </w:tc>
        <w:tc>
          <w:tcPr>
            <w:tcW w:w="1236" w:type="pct"/>
            <w:vAlign w:val="center"/>
          </w:tcPr>
          <w:p>
            <w:pPr>
              <w:jc w:val="center"/>
            </w:pPr>
            <w:r>
              <w:t>＜1.3×10</w:t>
            </w:r>
            <w:r>
              <w:rPr>
                <w:vertAlign w:val="superscript"/>
              </w:rPr>
              <w:t>-3</w:t>
            </w:r>
          </w:p>
        </w:tc>
        <w:tc>
          <w:tcPr>
            <w:tcW w:w="1236"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w:t>
            </w:r>
            <w:r>
              <w:rPr>
                <w:rFonts w:hint="eastAsia"/>
              </w:rPr>
              <w:t>二氯乙烯，</w:t>
            </w:r>
            <w:r>
              <w:t>mg/kg</w:t>
            </w:r>
          </w:p>
        </w:tc>
        <w:tc>
          <w:tcPr>
            <w:tcW w:w="1236" w:type="pct"/>
            <w:vAlign w:val="center"/>
          </w:tcPr>
          <w:p>
            <w:pPr>
              <w:jc w:val="center"/>
            </w:pPr>
            <w:r>
              <w:t>＜1.0×10</w:t>
            </w:r>
            <w:r>
              <w:rPr>
                <w:vertAlign w:val="superscript"/>
              </w:rPr>
              <w:t>-3</w:t>
            </w:r>
          </w:p>
        </w:tc>
        <w:tc>
          <w:tcPr>
            <w:tcW w:w="1236"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顺式</w:t>
            </w:r>
            <w:r>
              <w:t>-1,2-</w:t>
            </w:r>
            <w:r>
              <w:rPr>
                <w:rFonts w:hint="eastAsia"/>
              </w:rPr>
              <w:t>二氯乙烯，</w:t>
            </w:r>
            <w:r>
              <w:t>mg/kg</w:t>
            </w:r>
          </w:p>
        </w:tc>
        <w:tc>
          <w:tcPr>
            <w:tcW w:w="1236" w:type="pct"/>
            <w:vAlign w:val="center"/>
          </w:tcPr>
          <w:p>
            <w:pPr>
              <w:jc w:val="center"/>
            </w:pPr>
            <w:r>
              <w:t>＜1.3×10</w:t>
            </w:r>
            <w:r>
              <w:rPr>
                <w:vertAlign w:val="superscript"/>
              </w:rPr>
              <w:t>-3</w:t>
            </w:r>
          </w:p>
        </w:tc>
        <w:tc>
          <w:tcPr>
            <w:tcW w:w="1236"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反式</w:t>
            </w:r>
            <w:r>
              <w:t>-1,2-</w:t>
            </w:r>
            <w:r>
              <w:rPr>
                <w:rFonts w:hint="eastAsia"/>
              </w:rPr>
              <w:t>二氯乙烯，</w:t>
            </w:r>
            <w:r>
              <w:t>mg/kg</w:t>
            </w:r>
          </w:p>
        </w:tc>
        <w:tc>
          <w:tcPr>
            <w:tcW w:w="1236" w:type="pct"/>
            <w:vAlign w:val="center"/>
          </w:tcPr>
          <w:p>
            <w:pPr>
              <w:jc w:val="center"/>
            </w:pPr>
            <w:r>
              <w:t>＜1.4×10</w:t>
            </w:r>
            <w:r>
              <w:rPr>
                <w:vertAlign w:val="superscript"/>
              </w:rPr>
              <w:t>-3</w:t>
            </w:r>
          </w:p>
        </w:tc>
        <w:tc>
          <w:tcPr>
            <w:tcW w:w="1236" w:type="pct"/>
            <w:vAlign w:val="center"/>
          </w:tcPr>
          <w:p>
            <w:pPr>
              <w:jc w:val="center"/>
            </w:pPr>
            <w:r>
              <w:t>＜1.4×10</w:t>
            </w:r>
            <w:r>
              <w:rPr>
                <w:vertAlign w:val="superscript"/>
              </w:rPr>
              <w:t>-3</w:t>
            </w:r>
          </w:p>
        </w:tc>
        <w:tc>
          <w:tcPr>
            <w:tcW w:w="1237"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二氯甲烷，</w:t>
            </w:r>
            <w:r>
              <w:t>mg/kg</w:t>
            </w:r>
          </w:p>
        </w:tc>
        <w:tc>
          <w:tcPr>
            <w:tcW w:w="1236" w:type="pct"/>
            <w:vAlign w:val="center"/>
          </w:tcPr>
          <w:p>
            <w:pPr>
              <w:jc w:val="center"/>
            </w:pPr>
            <w:r>
              <w:t>＜</w:t>
            </w:r>
            <w:r>
              <w:rPr>
                <w:rFonts w:hint="eastAsia"/>
              </w:rPr>
              <w:t>1.5</w:t>
            </w:r>
            <w:r>
              <w:t>×10</w:t>
            </w:r>
            <w:r>
              <w:rPr>
                <w:vertAlign w:val="superscript"/>
              </w:rPr>
              <w:t>-3</w:t>
            </w:r>
          </w:p>
        </w:tc>
        <w:tc>
          <w:tcPr>
            <w:tcW w:w="1236" w:type="pct"/>
            <w:vAlign w:val="center"/>
          </w:tcPr>
          <w:p>
            <w:pPr>
              <w:jc w:val="center"/>
            </w:pPr>
            <w:r>
              <w:t>＜</w:t>
            </w:r>
            <w:r>
              <w:rPr>
                <w:rFonts w:hint="eastAsia"/>
              </w:rPr>
              <w:t>1.5</w:t>
            </w:r>
            <w:r>
              <w:t>×10</w:t>
            </w:r>
            <w:r>
              <w:rPr>
                <w:vertAlign w:val="superscript"/>
              </w:rPr>
              <w:t>-3</w:t>
            </w:r>
          </w:p>
        </w:tc>
        <w:tc>
          <w:tcPr>
            <w:tcW w:w="1237"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1,2-</w:t>
            </w:r>
            <w:r>
              <w:rPr>
                <w:rFonts w:hint="eastAsia"/>
              </w:rPr>
              <w:t>二氯丙烷，</w:t>
            </w:r>
            <w:r>
              <w:t>mg/kg</w:t>
            </w:r>
          </w:p>
        </w:tc>
        <w:tc>
          <w:tcPr>
            <w:tcW w:w="1236" w:type="pct"/>
            <w:vAlign w:val="center"/>
          </w:tcPr>
          <w:p>
            <w:pPr>
              <w:jc w:val="center"/>
            </w:pPr>
            <w:r>
              <w:t>＜1.1×10</w:t>
            </w:r>
            <w:r>
              <w:rPr>
                <w:vertAlign w:val="superscript"/>
              </w:rPr>
              <w:t>-3</w:t>
            </w:r>
          </w:p>
        </w:tc>
        <w:tc>
          <w:tcPr>
            <w:tcW w:w="1236" w:type="pct"/>
            <w:vAlign w:val="center"/>
          </w:tcPr>
          <w:p>
            <w:pPr>
              <w:jc w:val="center"/>
            </w:pPr>
            <w:r>
              <w:t>＜1.1×10</w:t>
            </w:r>
            <w:r>
              <w:rPr>
                <w:vertAlign w:val="superscript"/>
              </w:rPr>
              <w:t>-3</w:t>
            </w:r>
          </w:p>
        </w:tc>
        <w:tc>
          <w:tcPr>
            <w:tcW w:w="1237"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1,1,1,2-</w:t>
            </w:r>
            <w:r>
              <w:rPr>
                <w:rFonts w:hint="eastAsia"/>
              </w:rPr>
              <w:t>四氯乙烷，</w:t>
            </w:r>
            <w:r>
              <w:t>mg/kg</w:t>
            </w:r>
          </w:p>
        </w:tc>
        <w:tc>
          <w:tcPr>
            <w:tcW w:w="1236" w:type="pct"/>
            <w:vAlign w:val="center"/>
          </w:tcPr>
          <w:p>
            <w:pPr>
              <w:jc w:val="center"/>
            </w:pPr>
            <w:r>
              <w:t>＜1.2×10</w:t>
            </w:r>
            <w:r>
              <w:rPr>
                <w:vertAlign w:val="superscript"/>
              </w:rPr>
              <w:t>-3</w:t>
            </w:r>
          </w:p>
        </w:tc>
        <w:tc>
          <w:tcPr>
            <w:tcW w:w="1236"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1,1,2,2-</w:t>
            </w:r>
            <w:r>
              <w:rPr>
                <w:rFonts w:hint="eastAsia"/>
              </w:rPr>
              <w:t>四氯乙烷，</w:t>
            </w:r>
            <w:r>
              <w:t>mg/kg</w:t>
            </w:r>
          </w:p>
        </w:tc>
        <w:tc>
          <w:tcPr>
            <w:tcW w:w="1236" w:type="pct"/>
            <w:vAlign w:val="center"/>
          </w:tcPr>
          <w:p>
            <w:pPr>
              <w:jc w:val="center"/>
            </w:pPr>
            <w:r>
              <w:t>＜1.2×10</w:t>
            </w:r>
            <w:r>
              <w:rPr>
                <w:vertAlign w:val="superscript"/>
              </w:rPr>
              <w:t>-3</w:t>
            </w:r>
          </w:p>
        </w:tc>
        <w:tc>
          <w:tcPr>
            <w:tcW w:w="1236"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四氯乙烯，</w:t>
            </w:r>
            <w:r>
              <w:t>mg/kg</w:t>
            </w:r>
          </w:p>
        </w:tc>
        <w:tc>
          <w:tcPr>
            <w:tcW w:w="1236" w:type="pct"/>
            <w:vAlign w:val="center"/>
          </w:tcPr>
          <w:p>
            <w:pPr>
              <w:jc w:val="center"/>
            </w:pPr>
            <w:r>
              <w:t>＜</w:t>
            </w:r>
            <w:r>
              <w:rPr>
                <w:rFonts w:hint="eastAsia"/>
              </w:rPr>
              <w:t>1</w:t>
            </w:r>
            <w:r>
              <w:t>.4×10</w:t>
            </w:r>
            <w:r>
              <w:rPr>
                <w:vertAlign w:val="superscript"/>
              </w:rPr>
              <w:t>-3</w:t>
            </w:r>
          </w:p>
        </w:tc>
        <w:tc>
          <w:tcPr>
            <w:tcW w:w="1236" w:type="pct"/>
            <w:vAlign w:val="center"/>
          </w:tcPr>
          <w:p>
            <w:pPr>
              <w:jc w:val="center"/>
            </w:pPr>
            <w:r>
              <w:t>＜</w:t>
            </w:r>
            <w:r>
              <w:rPr>
                <w:rFonts w:hint="eastAsia"/>
              </w:rPr>
              <w:t>1</w:t>
            </w:r>
            <w:r>
              <w:t>.4×10</w:t>
            </w:r>
            <w:r>
              <w:rPr>
                <w:vertAlign w:val="superscript"/>
              </w:rPr>
              <w:t>-3</w:t>
            </w:r>
          </w:p>
        </w:tc>
        <w:tc>
          <w:tcPr>
            <w:tcW w:w="1237"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1,1,1-</w:t>
            </w:r>
            <w:r>
              <w:rPr>
                <w:rFonts w:hint="eastAsia"/>
              </w:rPr>
              <w:t>三氯乙烷，</w:t>
            </w:r>
            <w:r>
              <w:t>mg/kg</w:t>
            </w:r>
          </w:p>
        </w:tc>
        <w:tc>
          <w:tcPr>
            <w:tcW w:w="1236" w:type="pct"/>
            <w:vAlign w:val="center"/>
          </w:tcPr>
          <w:p>
            <w:pPr>
              <w:jc w:val="center"/>
            </w:pPr>
            <w:r>
              <w:t>＜1.3×10</w:t>
            </w:r>
            <w:r>
              <w:rPr>
                <w:vertAlign w:val="superscript"/>
              </w:rPr>
              <w:t>-3</w:t>
            </w:r>
          </w:p>
        </w:tc>
        <w:tc>
          <w:tcPr>
            <w:tcW w:w="1236"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1,1,2-</w:t>
            </w:r>
            <w:r>
              <w:rPr>
                <w:rFonts w:hint="eastAsia"/>
              </w:rPr>
              <w:t>三氯乙烷，</w:t>
            </w:r>
            <w:r>
              <w:t>mg/kg</w:t>
            </w:r>
          </w:p>
        </w:tc>
        <w:tc>
          <w:tcPr>
            <w:tcW w:w="1236" w:type="pct"/>
            <w:vAlign w:val="center"/>
          </w:tcPr>
          <w:p>
            <w:pPr>
              <w:jc w:val="center"/>
            </w:pPr>
            <w:r>
              <w:t>＜1.2×10</w:t>
            </w:r>
            <w:r>
              <w:rPr>
                <w:vertAlign w:val="superscript"/>
              </w:rPr>
              <w:t>-3</w:t>
            </w:r>
          </w:p>
        </w:tc>
        <w:tc>
          <w:tcPr>
            <w:tcW w:w="1236"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bl>
    <w:p>
      <w:pPr>
        <w:pStyle w:val="60"/>
      </w:pPr>
      <w:r>
        <w:br w:type="page"/>
      </w:r>
    </w:p>
    <w:p>
      <w:pPr>
        <w:pStyle w:val="32"/>
        <w:tabs>
          <w:tab w:val="left" w:pos="4540"/>
          <w:tab w:val="clear" w:pos="900"/>
        </w:tabs>
      </w:pPr>
      <w:r>
        <w:t>表4.3-</w:t>
      </w:r>
      <w:r>
        <w:rPr>
          <w:rFonts w:hint="eastAsia"/>
        </w:rPr>
        <w:t>12（4）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58"/>
        <w:gridCol w:w="2202"/>
        <w:gridCol w:w="2303"/>
        <w:gridCol w:w="23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spacing w:before="60" w:beforeLines="25" w:after="60" w:afterLines="25"/>
              <w:jc w:val="center"/>
              <w:rPr>
                <w:b/>
                <w:bCs/>
              </w:rPr>
            </w:pPr>
            <w:r>
              <w:rPr>
                <w:rFonts w:hint="eastAsia"/>
                <w:b/>
                <w:bCs/>
              </w:rPr>
              <w:t>监 测 项 目</w:t>
            </w:r>
          </w:p>
        </w:tc>
        <w:tc>
          <w:tcPr>
            <w:tcW w:w="1200" w:type="pct"/>
            <w:vAlign w:val="center"/>
          </w:tcPr>
          <w:p>
            <w:pPr>
              <w:widowControl/>
              <w:jc w:val="center"/>
              <w:rPr>
                <w:b/>
                <w:bCs/>
              </w:rPr>
            </w:pPr>
            <w:r>
              <w:rPr>
                <w:b/>
                <w:bCs/>
              </w:rPr>
              <w:t>H02777545</w:t>
            </w:r>
          </w:p>
          <w:p>
            <w:pPr>
              <w:widowControl/>
              <w:jc w:val="center"/>
              <w:rPr>
                <w:b/>
                <w:bCs/>
              </w:rPr>
            </w:pPr>
            <w:r>
              <w:rPr>
                <w:b/>
                <w:bCs/>
              </w:rPr>
              <w:t xml:space="preserve">土壤  </w:t>
            </w:r>
          </w:p>
          <w:p>
            <w:pPr>
              <w:widowControl/>
              <w:jc w:val="center"/>
              <w:rPr>
                <w:b/>
                <w:bCs/>
                <w:kern w:val="0"/>
              </w:rPr>
            </w:pPr>
            <w:r>
              <w:rPr>
                <w:b/>
                <w:bCs/>
              </w:rPr>
              <w:t xml:space="preserve"> 2#乙二醇精馏工段0-0.5m</w:t>
            </w:r>
          </w:p>
        </w:tc>
        <w:tc>
          <w:tcPr>
            <w:tcW w:w="1255" w:type="pct"/>
            <w:vAlign w:val="center"/>
          </w:tcPr>
          <w:p>
            <w:pPr>
              <w:widowControl/>
              <w:jc w:val="center"/>
              <w:rPr>
                <w:b/>
                <w:bCs/>
              </w:rPr>
            </w:pPr>
            <w:r>
              <w:rPr>
                <w:b/>
                <w:bCs/>
              </w:rPr>
              <w:t>H02778545</w:t>
            </w:r>
          </w:p>
          <w:p>
            <w:pPr>
              <w:widowControl/>
              <w:jc w:val="center"/>
              <w:rPr>
                <w:b/>
                <w:bCs/>
              </w:rPr>
            </w:pPr>
            <w:r>
              <w:rPr>
                <w:b/>
                <w:bCs/>
              </w:rPr>
              <w:t xml:space="preserve">土壤   </w:t>
            </w:r>
          </w:p>
          <w:p>
            <w:pPr>
              <w:widowControl/>
              <w:jc w:val="center"/>
              <w:rPr>
                <w:b/>
                <w:bCs/>
                <w:kern w:val="0"/>
              </w:rPr>
            </w:pPr>
            <w:r>
              <w:rPr>
                <w:b/>
                <w:bCs/>
              </w:rPr>
              <w:t>2#乙二醇精馏工段0.5-1.5m</w:t>
            </w:r>
          </w:p>
        </w:tc>
        <w:tc>
          <w:tcPr>
            <w:tcW w:w="1258" w:type="pct"/>
            <w:vAlign w:val="center"/>
          </w:tcPr>
          <w:p>
            <w:pPr>
              <w:widowControl/>
              <w:jc w:val="center"/>
              <w:rPr>
                <w:b/>
                <w:bCs/>
              </w:rPr>
            </w:pPr>
            <w:r>
              <w:rPr>
                <w:b/>
                <w:bCs/>
              </w:rPr>
              <w:t>H02779545</w:t>
            </w:r>
          </w:p>
          <w:p>
            <w:pPr>
              <w:widowControl/>
              <w:jc w:val="center"/>
              <w:rPr>
                <w:b/>
                <w:bCs/>
              </w:rPr>
            </w:pPr>
            <w:r>
              <w:rPr>
                <w:b/>
                <w:bCs/>
              </w:rPr>
              <w:t xml:space="preserve">土壤   </w:t>
            </w:r>
          </w:p>
          <w:p>
            <w:pPr>
              <w:widowControl/>
              <w:jc w:val="center"/>
              <w:rPr>
                <w:b/>
                <w:bCs/>
                <w:kern w:val="0"/>
              </w:rPr>
            </w:pPr>
            <w:r>
              <w:rPr>
                <w:b/>
                <w:bCs/>
              </w:rPr>
              <w:t>2#乙二醇精馏工段1.5-3.0m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三氯乙烯，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t>1,2,3-</w:t>
            </w:r>
            <w:r>
              <w:rPr>
                <w:rFonts w:hint="eastAsia"/>
              </w:rPr>
              <w:t>三氯丙烷，</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氯乙烯，</w:t>
            </w:r>
            <w:r>
              <w:t>mg/kg</w:t>
            </w:r>
          </w:p>
        </w:tc>
        <w:tc>
          <w:tcPr>
            <w:tcW w:w="1200" w:type="pct"/>
            <w:vAlign w:val="center"/>
          </w:tcPr>
          <w:p>
            <w:pPr>
              <w:jc w:val="center"/>
            </w:pPr>
            <w:r>
              <w:t>＜1.0×10</w:t>
            </w:r>
            <w:r>
              <w:rPr>
                <w:vertAlign w:val="superscript"/>
              </w:rPr>
              <w:t>-3</w:t>
            </w:r>
          </w:p>
        </w:tc>
        <w:tc>
          <w:tcPr>
            <w:tcW w:w="1255" w:type="pct"/>
            <w:vAlign w:val="center"/>
          </w:tcPr>
          <w:p>
            <w:pPr>
              <w:jc w:val="center"/>
            </w:pPr>
            <w:r>
              <w:t>＜1.0×10</w:t>
            </w:r>
            <w:r>
              <w:rPr>
                <w:vertAlign w:val="superscript"/>
              </w:rPr>
              <w:t>-3</w:t>
            </w:r>
          </w:p>
        </w:tc>
        <w:tc>
          <w:tcPr>
            <w:tcW w:w="1258"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苯，</w:t>
            </w:r>
            <w:r>
              <w:t>mg/kg</w:t>
            </w:r>
          </w:p>
        </w:tc>
        <w:tc>
          <w:tcPr>
            <w:tcW w:w="1200" w:type="pct"/>
            <w:vAlign w:val="center"/>
          </w:tcPr>
          <w:p>
            <w:pPr>
              <w:jc w:val="center"/>
            </w:pPr>
            <w:r>
              <w:t>＜1.9×10</w:t>
            </w:r>
            <w:r>
              <w:rPr>
                <w:vertAlign w:val="superscript"/>
              </w:rPr>
              <w:t>-3</w:t>
            </w:r>
          </w:p>
        </w:tc>
        <w:tc>
          <w:tcPr>
            <w:tcW w:w="1255" w:type="pct"/>
            <w:vAlign w:val="center"/>
          </w:tcPr>
          <w:p>
            <w:pPr>
              <w:jc w:val="center"/>
            </w:pPr>
            <w:r>
              <w:t>＜1.9×10</w:t>
            </w:r>
            <w:r>
              <w:rPr>
                <w:vertAlign w:val="superscript"/>
              </w:rPr>
              <w:t>-3</w:t>
            </w:r>
          </w:p>
        </w:tc>
        <w:tc>
          <w:tcPr>
            <w:tcW w:w="1258"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氯苯，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t>1,2-</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8"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t>1,4-</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8"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乙苯，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苯乙烯，</w:t>
            </w:r>
            <w:r>
              <w:t>mg/kg</w:t>
            </w:r>
          </w:p>
        </w:tc>
        <w:tc>
          <w:tcPr>
            <w:tcW w:w="1200" w:type="pct"/>
            <w:vAlign w:val="center"/>
          </w:tcPr>
          <w:p>
            <w:pPr>
              <w:jc w:val="center"/>
            </w:pPr>
            <w:r>
              <w:t>＜1.</w:t>
            </w:r>
            <w:r>
              <w:rPr>
                <w:rFonts w:hint="eastAsia"/>
              </w:rPr>
              <w:t>1</w:t>
            </w:r>
            <w:r>
              <w:t>×10</w:t>
            </w:r>
            <w:r>
              <w:rPr>
                <w:vertAlign w:val="superscript"/>
              </w:rPr>
              <w:t>-3</w:t>
            </w:r>
          </w:p>
        </w:tc>
        <w:tc>
          <w:tcPr>
            <w:tcW w:w="1255" w:type="pct"/>
            <w:vAlign w:val="center"/>
          </w:tcPr>
          <w:p>
            <w:pPr>
              <w:jc w:val="center"/>
            </w:pPr>
            <w:r>
              <w:t>＜1.</w:t>
            </w:r>
            <w:r>
              <w:rPr>
                <w:rFonts w:hint="eastAsia"/>
              </w:rPr>
              <w:t>1</w:t>
            </w:r>
            <w:r>
              <w:t>×10</w:t>
            </w:r>
            <w:r>
              <w:rPr>
                <w:vertAlign w:val="superscript"/>
              </w:rPr>
              <w:t>-3</w:t>
            </w:r>
          </w:p>
        </w:tc>
        <w:tc>
          <w:tcPr>
            <w:tcW w:w="1258"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甲苯，</w:t>
            </w:r>
            <w:r>
              <w:t>mg/kg</w:t>
            </w:r>
          </w:p>
        </w:tc>
        <w:tc>
          <w:tcPr>
            <w:tcW w:w="1200" w:type="pct"/>
            <w:vAlign w:val="center"/>
          </w:tcPr>
          <w:p>
            <w:pPr>
              <w:jc w:val="center"/>
            </w:pPr>
            <w:r>
              <w:rPr>
                <w:rFonts w:hint="eastAsia"/>
              </w:rPr>
              <w:t>2</w:t>
            </w:r>
            <w:r>
              <w:t>.9×10</w:t>
            </w:r>
            <w:r>
              <w:rPr>
                <w:vertAlign w:val="superscript"/>
              </w:rPr>
              <w:t>-3</w:t>
            </w:r>
          </w:p>
        </w:tc>
        <w:tc>
          <w:tcPr>
            <w:tcW w:w="1255" w:type="pct"/>
            <w:vAlign w:val="center"/>
          </w:tcPr>
          <w:p>
            <w:pPr>
              <w:jc w:val="center"/>
            </w:pPr>
            <w:r>
              <w:rPr>
                <w:rFonts w:hint="eastAsia"/>
              </w:rPr>
              <w:t>2</w:t>
            </w:r>
            <w:r>
              <w:t>.7×10</w:t>
            </w:r>
            <w:r>
              <w:rPr>
                <w:vertAlign w:val="superscript"/>
              </w:rPr>
              <w:t>-3</w:t>
            </w:r>
          </w:p>
        </w:tc>
        <w:tc>
          <w:tcPr>
            <w:tcW w:w="1258" w:type="pct"/>
            <w:vAlign w:val="center"/>
          </w:tcPr>
          <w:p>
            <w:pPr>
              <w:jc w:val="center"/>
            </w:pPr>
            <w:r>
              <w:rPr>
                <w:rFonts w:hint="eastAsia"/>
              </w:rPr>
              <w:t>2</w:t>
            </w:r>
            <w:r>
              <w:t>.8×10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对间</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邻</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8"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硝基苯，</w:t>
            </w:r>
            <w:r>
              <w:t>mg/kg</w:t>
            </w:r>
          </w:p>
        </w:tc>
        <w:tc>
          <w:tcPr>
            <w:tcW w:w="1200" w:type="pct"/>
            <w:vAlign w:val="center"/>
          </w:tcPr>
          <w:p>
            <w:pPr>
              <w:jc w:val="center"/>
            </w:pPr>
            <w:r>
              <w:t>＜0.09</w:t>
            </w:r>
          </w:p>
        </w:tc>
        <w:tc>
          <w:tcPr>
            <w:tcW w:w="1255" w:type="pct"/>
            <w:vAlign w:val="center"/>
          </w:tcPr>
          <w:p>
            <w:pPr>
              <w:jc w:val="center"/>
            </w:pPr>
            <w:r>
              <w:t>＜0.09</w:t>
            </w:r>
          </w:p>
        </w:tc>
        <w:tc>
          <w:tcPr>
            <w:tcW w:w="1258"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rPr>
                <w:rFonts w:ascii="宋体" w:hAnsi="宋体" w:cs="宋体"/>
              </w:rPr>
            </w:pPr>
            <w:r>
              <w:rPr>
                <w:rFonts w:hint="eastAsia"/>
              </w:rPr>
              <w:t>苯胺，</w:t>
            </w:r>
            <w:r>
              <w:t>mg/kg</w:t>
            </w:r>
          </w:p>
        </w:tc>
        <w:tc>
          <w:tcPr>
            <w:tcW w:w="1200" w:type="pct"/>
            <w:vAlign w:val="center"/>
          </w:tcPr>
          <w:p>
            <w:pPr>
              <w:jc w:val="center"/>
            </w:pPr>
            <w:r>
              <w:t>＜0.</w:t>
            </w:r>
            <w:r>
              <w:rPr>
                <w:rFonts w:hint="eastAsia"/>
              </w:rPr>
              <w:t>1</w:t>
            </w:r>
          </w:p>
        </w:tc>
        <w:tc>
          <w:tcPr>
            <w:tcW w:w="1255" w:type="pct"/>
            <w:vAlign w:val="center"/>
          </w:tcPr>
          <w:p>
            <w:pPr>
              <w:jc w:val="center"/>
            </w:pPr>
            <w:r>
              <w:t>＜0.</w:t>
            </w:r>
            <w:r>
              <w:rPr>
                <w:rFonts w:hint="eastAsia"/>
              </w:rPr>
              <w:t>1</w:t>
            </w:r>
          </w:p>
        </w:tc>
        <w:tc>
          <w:tcPr>
            <w:tcW w:w="1258"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t>2-</w:t>
            </w:r>
            <w:r>
              <w:rPr>
                <w:rFonts w:hint="eastAsia"/>
              </w:rPr>
              <w:t>氯酚，</w:t>
            </w:r>
            <w:r>
              <w:t>mg/kg</w:t>
            </w:r>
          </w:p>
        </w:tc>
        <w:tc>
          <w:tcPr>
            <w:tcW w:w="1200" w:type="pct"/>
            <w:vAlign w:val="center"/>
          </w:tcPr>
          <w:p>
            <w:pPr>
              <w:jc w:val="center"/>
            </w:pPr>
            <w:r>
              <w:t>＜0.06</w:t>
            </w:r>
          </w:p>
        </w:tc>
        <w:tc>
          <w:tcPr>
            <w:tcW w:w="1255" w:type="pct"/>
            <w:vAlign w:val="center"/>
          </w:tcPr>
          <w:p>
            <w:pPr>
              <w:jc w:val="center"/>
            </w:pPr>
            <w:r>
              <w:t>＜0.06</w:t>
            </w:r>
          </w:p>
        </w:tc>
        <w:tc>
          <w:tcPr>
            <w:tcW w:w="1258"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苯并（a）蒽，</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苯并（a）芘，</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8"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苯并（b）荧蒽，</w:t>
            </w:r>
            <w:r>
              <w:t>mg/kg</w:t>
            </w:r>
          </w:p>
        </w:tc>
        <w:tc>
          <w:tcPr>
            <w:tcW w:w="1200" w:type="pct"/>
            <w:vAlign w:val="center"/>
          </w:tcPr>
          <w:p>
            <w:pPr>
              <w:jc w:val="center"/>
            </w:pPr>
            <w:r>
              <w:t>＜0.2</w:t>
            </w:r>
          </w:p>
        </w:tc>
        <w:tc>
          <w:tcPr>
            <w:tcW w:w="1255" w:type="pct"/>
            <w:vAlign w:val="center"/>
          </w:tcPr>
          <w:p>
            <w:pPr>
              <w:jc w:val="center"/>
            </w:pPr>
            <w:r>
              <w:t>＜0.2</w:t>
            </w:r>
          </w:p>
        </w:tc>
        <w:tc>
          <w:tcPr>
            <w:tcW w:w="1258"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苯并（k）荧蒽，</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䓛，</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二苯并（a,h）蒽，</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8"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茚并（1,2,3-c,d）芘，</w:t>
            </w:r>
            <w:r>
              <w:t>mg/kg</w:t>
            </w:r>
          </w:p>
        </w:tc>
        <w:tc>
          <w:tcPr>
            <w:tcW w:w="1200" w:type="pct"/>
            <w:vAlign w:val="center"/>
          </w:tcPr>
          <w:p>
            <w:pPr>
              <w:jc w:val="center"/>
            </w:pPr>
            <w:r>
              <w:t>＜0.1</w:t>
            </w:r>
          </w:p>
        </w:tc>
        <w:tc>
          <w:tcPr>
            <w:tcW w:w="1255" w:type="pct"/>
            <w:vAlign w:val="center"/>
          </w:tcPr>
          <w:p>
            <w:pPr>
              <w:jc w:val="center"/>
            </w:pPr>
            <w:r>
              <w:t>＜0.1</w:t>
            </w:r>
          </w:p>
        </w:tc>
        <w:tc>
          <w:tcPr>
            <w:tcW w:w="1258"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5" w:type="pct"/>
            <w:vAlign w:val="center"/>
          </w:tcPr>
          <w:p>
            <w:pPr>
              <w:jc w:val="center"/>
            </w:pPr>
            <w:r>
              <w:rPr>
                <w:rFonts w:hint="eastAsia"/>
              </w:rPr>
              <w:t>萘，</w:t>
            </w:r>
            <w:r>
              <w:t>mg/kg</w:t>
            </w:r>
          </w:p>
        </w:tc>
        <w:tc>
          <w:tcPr>
            <w:tcW w:w="1200" w:type="pct"/>
            <w:vAlign w:val="center"/>
          </w:tcPr>
          <w:p>
            <w:pPr>
              <w:jc w:val="center"/>
            </w:pPr>
            <w:r>
              <w:t>＜0.09</w:t>
            </w:r>
          </w:p>
        </w:tc>
        <w:tc>
          <w:tcPr>
            <w:tcW w:w="1255" w:type="pct"/>
            <w:vAlign w:val="center"/>
          </w:tcPr>
          <w:p>
            <w:pPr>
              <w:jc w:val="center"/>
            </w:pPr>
            <w:r>
              <w:t>＜0.09</w:t>
            </w:r>
          </w:p>
        </w:tc>
        <w:tc>
          <w:tcPr>
            <w:tcW w:w="1258" w:type="pct"/>
            <w:vAlign w:val="center"/>
          </w:tcPr>
          <w:p>
            <w:pPr>
              <w:jc w:val="center"/>
            </w:pPr>
            <w:r>
              <w:t>＜0.09</w:t>
            </w:r>
          </w:p>
        </w:tc>
      </w:tr>
    </w:tbl>
    <w:p>
      <w:pPr>
        <w:pStyle w:val="60"/>
      </w:pPr>
      <w:r>
        <w:br w:type="page"/>
      </w:r>
    </w:p>
    <w:p>
      <w:pPr>
        <w:pStyle w:val="32"/>
        <w:tabs>
          <w:tab w:val="left" w:pos="4540"/>
          <w:tab w:val="clear" w:pos="900"/>
        </w:tabs>
      </w:pPr>
      <w:r>
        <w:t>表4.3-</w:t>
      </w:r>
      <w:r>
        <w:rPr>
          <w:rFonts w:hint="eastAsia"/>
        </w:rPr>
        <w:t>12（5）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1702"/>
        <w:gridCol w:w="1702"/>
        <w:gridCol w:w="1700"/>
        <w:gridCol w:w="170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spacing w:before="60" w:beforeLines="25" w:after="60" w:afterLines="25"/>
              <w:jc w:val="center"/>
              <w:rPr>
                <w:b/>
                <w:bCs/>
              </w:rPr>
            </w:pPr>
            <w:r>
              <w:rPr>
                <w:rFonts w:hint="eastAsia"/>
                <w:b/>
                <w:bCs/>
              </w:rPr>
              <w:t>监 测 项 目</w:t>
            </w:r>
          </w:p>
        </w:tc>
        <w:tc>
          <w:tcPr>
            <w:tcW w:w="927" w:type="pct"/>
            <w:vAlign w:val="center"/>
          </w:tcPr>
          <w:p>
            <w:pPr>
              <w:widowControl/>
              <w:jc w:val="center"/>
              <w:rPr>
                <w:b/>
                <w:bCs/>
              </w:rPr>
            </w:pPr>
            <w:r>
              <w:rPr>
                <w:b/>
                <w:bCs/>
              </w:rPr>
              <w:t>H02780545</w:t>
            </w:r>
          </w:p>
          <w:p>
            <w:pPr>
              <w:widowControl/>
              <w:jc w:val="center"/>
              <w:rPr>
                <w:b/>
                <w:bCs/>
              </w:rPr>
            </w:pPr>
            <w:r>
              <w:rPr>
                <w:b/>
                <w:bCs/>
              </w:rPr>
              <w:t xml:space="preserve">土壤   </w:t>
            </w:r>
          </w:p>
          <w:p>
            <w:pPr>
              <w:widowControl/>
              <w:jc w:val="center"/>
              <w:rPr>
                <w:b/>
                <w:bCs/>
                <w:kern w:val="0"/>
              </w:rPr>
            </w:pPr>
            <w:r>
              <w:rPr>
                <w:b/>
                <w:bCs/>
              </w:rPr>
              <w:t>3#尾气洗涤塔0-0.5m</w:t>
            </w:r>
          </w:p>
        </w:tc>
        <w:tc>
          <w:tcPr>
            <w:tcW w:w="927" w:type="pct"/>
            <w:vAlign w:val="center"/>
          </w:tcPr>
          <w:p>
            <w:pPr>
              <w:widowControl/>
              <w:jc w:val="center"/>
              <w:rPr>
                <w:b/>
                <w:bCs/>
              </w:rPr>
            </w:pPr>
            <w:r>
              <w:rPr>
                <w:b/>
                <w:bCs/>
              </w:rPr>
              <w:t>H02781545</w:t>
            </w:r>
          </w:p>
          <w:p>
            <w:pPr>
              <w:widowControl/>
              <w:jc w:val="center"/>
              <w:rPr>
                <w:b/>
                <w:bCs/>
              </w:rPr>
            </w:pPr>
            <w:r>
              <w:rPr>
                <w:b/>
                <w:bCs/>
              </w:rPr>
              <w:t xml:space="preserve">土壤  </w:t>
            </w:r>
          </w:p>
          <w:p>
            <w:pPr>
              <w:widowControl/>
              <w:jc w:val="center"/>
              <w:rPr>
                <w:b/>
                <w:bCs/>
                <w:kern w:val="0"/>
              </w:rPr>
            </w:pPr>
            <w:r>
              <w:rPr>
                <w:b/>
                <w:bCs/>
              </w:rPr>
              <w:t xml:space="preserve"> 3#尾气洗涤塔0.5-1.5m</w:t>
            </w:r>
          </w:p>
        </w:tc>
        <w:tc>
          <w:tcPr>
            <w:tcW w:w="926" w:type="pct"/>
            <w:vAlign w:val="center"/>
          </w:tcPr>
          <w:p>
            <w:pPr>
              <w:widowControl/>
              <w:jc w:val="center"/>
              <w:rPr>
                <w:b/>
                <w:bCs/>
              </w:rPr>
            </w:pPr>
            <w:r>
              <w:rPr>
                <w:b/>
                <w:bCs/>
              </w:rPr>
              <w:t>H02782545</w:t>
            </w:r>
          </w:p>
          <w:p>
            <w:pPr>
              <w:widowControl/>
              <w:jc w:val="center"/>
              <w:rPr>
                <w:b/>
                <w:bCs/>
              </w:rPr>
            </w:pPr>
            <w:r>
              <w:rPr>
                <w:b/>
                <w:bCs/>
              </w:rPr>
              <w:t xml:space="preserve">土壤  </w:t>
            </w:r>
          </w:p>
          <w:p>
            <w:pPr>
              <w:widowControl/>
              <w:jc w:val="center"/>
              <w:rPr>
                <w:b/>
                <w:bCs/>
                <w:kern w:val="0"/>
              </w:rPr>
            </w:pPr>
            <w:r>
              <w:rPr>
                <w:b/>
                <w:bCs/>
              </w:rPr>
              <w:t xml:space="preserve"> 3#尾气洗涤塔1.5-3.0m</w:t>
            </w:r>
          </w:p>
        </w:tc>
        <w:tc>
          <w:tcPr>
            <w:tcW w:w="931" w:type="pct"/>
            <w:vAlign w:val="center"/>
          </w:tcPr>
          <w:p>
            <w:pPr>
              <w:widowControl/>
              <w:jc w:val="center"/>
              <w:rPr>
                <w:b/>
                <w:bCs/>
              </w:rPr>
            </w:pPr>
            <w:r>
              <w:rPr>
                <w:b/>
                <w:bCs/>
              </w:rPr>
              <w:t>H02783545</w:t>
            </w:r>
          </w:p>
          <w:p>
            <w:pPr>
              <w:widowControl/>
              <w:jc w:val="center"/>
              <w:rPr>
                <w:b/>
                <w:bCs/>
              </w:rPr>
            </w:pPr>
            <w:r>
              <w:rPr>
                <w:b/>
                <w:bCs/>
              </w:rPr>
              <w:t xml:space="preserve">土壤   </w:t>
            </w:r>
          </w:p>
          <w:p>
            <w:pPr>
              <w:widowControl/>
              <w:jc w:val="center"/>
              <w:rPr>
                <w:b/>
                <w:bCs/>
                <w:kern w:val="0"/>
              </w:rPr>
            </w:pPr>
            <w:r>
              <w:rPr>
                <w:b/>
                <w:bCs/>
              </w:rPr>
              <w:t>4#闪蒸馏罐0-0.2m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pH</w:t>
            </w:r>
            <w:r>
              <w:rPr>
                <w:rFonts w:hAnsi="宋体"/>
              </w:rPr>
              <w:t>（无量纲）</w:t>
            </w:r>
          </w:p>
        </w:tc>
        <w:tc>
          <w:tcPr>
            <w:tcW w:w="927" w:type="pct"/>
            <w:vAlign w:val="center"/>
          </w:tcPr>
          <w:p>
            <w:pPr>
              <w:widowControl/>
              <w:jc w:val="center"/>
              <w:rPr>
                <w:kern w:val="0"/>
              </w:rPr>
            </w:pPr>
            <w:r>
              <w:t>8.75</w:t>
            </w:r>
          </w:p>
        </w:tc>
        <w:tc>
          <w:tcPr>
            <w:tcW w:w="927" w:type="pct"/>
            <w:vAlign w:val="center"/>
          </w:tcPr>
          <w:p>
            <w:pPr>
              <w:jc w:val="center"/>
            </w:pPr>
            <w:r>
              <w:t>8.86</w:t>
            </w:r>
          </w:p>
        </w:tc>
        <w:tc>
          <w:tcPr>
            <w:tcW w:w="926" w:type="pct"/>
            <w:vAlign w:val="center"/>
          </w:tcPr>
          <w:p>
            <w:pPr>
              <w:jc w:val="center"/>
            </w:pPr>
            <w:r>
              <w:t>8.90</w:t>
            </w:r>
          </w:p>
        </w:tc>
        <w:tc>
          <w:tcPr>
            <w:tcW w:w="931" w:type="pct"/>
            <w:vAlign w:val="center"/>
          </w:tcPr>
          <w:p>
            <w:pPr>
              <w:jc w:val="center"/>
            </w:pPr>
            <w:r>
              <w:t>8.75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总砷，mg/kg</w:t>
            </w:r>
          </w:p>
        </w:tc>
        <w:tc>
          <w:tcPr>
            <w:tcW w:w="927" w:type="pct"/>
            <w:vAlign w:val="center"/>
          </w:tcPr>
          <w:p>
            <w:pPr>
              <w:jc w:val="center"/>
            </w:pPr>
            <w:r>
              <w:t>5.90</w:t>
            </w:r>
          </w:p>
        </w:tc>
        <w:tc>
          <w:tcPr>
            <w:tcW w:w="927" w:type="pct"/>
            <w:vAlign w:val="center"/>
          </w:tcPr>
          <w:p>
            <w:pPr>
              <w:jc w:val="center"/>
            </w:pPr>
            <w:r>
              <w:t>5.74</w:t>
            </w:r>
          </w:p>
        </w:tc>
        <w:tc>
          <w:tcPr>
            <w:tcW w:w="926" w:type="pct"/>
            <w:vAlign w:val="center"/>
          </w:tcPr>
          <w:p>
            <w:pPr>
              <w:jc w:val="center"/>
            </w:pPr>
            <w:r>
              <w:t>5.89</w:t>
            </w:r>
          </w:p>
        </w:tc>
        <w:tc>
          <w:tcPr>
            <w:tcW w:w="931" w:type="pct"/>
            <w:vAlign w:val="center"/>
          </w:tcPr>
          <w:p>
            <w:pPr>
              <w:jc w:val="center"/>
            </w:pPr>
            <w:r>
              <w:t>5.82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镉，mg/kg</w:t>
            </w:r>
          </w:p>
        </w:tc>
        <w:tc>
          <w:tcPr>
            <w:tcW w:w="927" w:type="pct"/>
            <w:vAlign w:val="center"/>
          </w:tcPr>
          <w:p>
            <w:pPr>
              <w:jc w:val="center"/>
            </w:pPr>
            <w:r>
              <w:t>0.09</w:t>
            </w:r>
          </w:p>
        </w:tc>
        <w:tc>
          <w:tcPr>
            <w:tcW w:w="927" w:type="pct"/>
            <w:vAlign w:val="center"/>
          </w:tcPr>
          <w:p>
            <w:pPr>
              <w:jc w:val="center"/>
            </w:pPr>
            <w:r>
              <w:t>0.07</w:t>
            </w:r>
          </w:p>
        </w:tc>
        <w:tc>
          <w:tcPr>
            <w:tcW w:w="926" w:type="pct"/>
            <w:vAlign w:val="center"/>
          </w:tcPr>
          <w:p>
            <w:pPr>
              <w:jc w:val="center"/>
            </w:pPr>
            <w:r>
              <w:t>0.07</w:t>
            </w:r>
          </w:p>
        </w:tc>
        <w:tc>
          <w:tcPr>
            <w:tcW w:w="931" w:type="pct"/>
            <w:vAlign w:val="center"/>
          </w:tcPr>
          <w:p>
            <w:pPr>
              <w:jc w:val="center"/>
            </w:pPr>
            <w:r>
              <w:t>0.08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铬（六价），mg/kg</w:t>
            </w:r>
          </w:p>
        </w:tc>
        <w:tc>
          <w:tcPr>
            <w:tcW w:w="927" w:type="pct"/>
            <w:vAlign w:val="center"/>
          </w:tcPr>
          <w:p>
            <w:pPr>
              <w:jc w:val="center"/>
            </w:pPr>
            <w:r>
              <w:t>2.6</w:t>
            </w:r>
          </w:p>
        </w:tc>
        <w:tc>
          <w:tcPr>
            <w:tcW w:w="927" w:type="pct"/>
            <w:vAlign w:val="center"/>
          </w:tcPr>
          <w:p>
            <w:pPr>
              <w:jc w:val="center"/>
            </w:pPr>
            <w:r>
              <w:t>2.2</w:t>
            </w:r>
          </w:p>
        </w:tc>
        <w:tc>
          <w:tcPr>
            <w:tcW w:w="926" w:type="pct"/>
            <w:vAlign w:val="center"/>
          </w:tcPr>
          <w:p>
            <w:pPr>
              <w:jc w:val="center"/>
            </w:pPr>
            <w:r>
              <w:t>1.8</w:t>
            </w:r>
          </w:p>
        </w:tc>
        <w:tc>
          <w:tcPr>
            <w:tcW w:w="931" w:type="pct"/>
            <w:vAlign w:val="center"/>
          </w:tcPr>
          <w:p>
            <w:pPr>
              <w:jc w:val="center"/>
            </w:pPr>
            <w:r>
              <w:t>2.4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铜，mg/kg</w:t>
            </w:r>
          </w:p>
        </w:tc>
        <w:tc>
          <w:tcPr>
            <w:tcW w:w="927" w:type="pct"/>
            <w:vAlign w:val="center"/>
          </w:tcPr>
          <w:p>
            <w:pPr>
              <w:jc w:val="center"/>
            </w:pPr>
            <w:r>
              <w:t>12</w:t>
            </w:r>
          </w:p>
        </w:tc>
        <w:tc>
          <w:tcPr>
            <w:tcW w:w="927" w:type="pct"/>
            <w:vAlign w:val="center"/>
          </w:tcPr>
          <w:p>
            <w:pPr>
              <w:jc w:val="center"/>
            </w:pPr>
            <w:r>
              <w:t>11</w:t>
            </w:r>
          </w:p>
        </w:tc>
        <w:tc>
          <w:tcPr>
            <w:tcW w:w="926" w:type="pct"/>
            <w:vAlign w:val="center"/>
          </w:tcPr>
          <w:p>
            <w:pPr>
              <w:jc w:val="center"/>
            </w:pPr>
            <w:r>
              <w:t>10</w:t>
            </w:r>
          </w:p>
        </w:tc>
        <w:tc>
          <w:tcPr>
            <w:tcW w:w="931" w:type="pct"/>
            <w:vAlign w:val="center"/>
          </w:tcPr>
          <w:p>
            <w:pPr>
              <w:jc w:val="center"/>
            </w:pPr>
            <w:r>
              <w:t>11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铅，mg/kg</w:t>
            </w:r>
          </w:p>
        </w:tc>
        <w:tc>
          <w:tcPr>
            <w:tcW w:w="927" w:type="pct"/>
            <w:vAlign w:val="center"/>
          </w:tcPr>
          <w:p>
            <w:pPr>
              <w:jc w:val="center"/>
            </w:pPr>
            <w:r>
              <w:t>15.7</w:t>
            </w:r>
          </w:p>
        </w:tc>
        <w:tc>
          <w:tcPr>
            <w:tcW w:w="927" w:type="pct"/>
            <w:vAlign w:val="center"/>
          </w:tcPr>
          <w:p>
            <w:pPr>
              <w:jc w:val="center"/>
            </w:pPr>
            <w:r>
              <w:t>14.6</w:t>
            </w:r>
          </w:p>
        </w:tc>
        <w:tc>
          <w:tcPr>
            <w:tcW w:w="926" w:type="pct"/>
            <w:vAlign w:val="center"/>
          </w:tcPr>
          <w:p>
            <w:pPr>
              <w:jc w:val="center"/>
            </w:pPr>
            <w:r>
              <w:t>13.7</w:t>
            </w:r>
          </w:p>
        </w:tc>
        <w:tc>
          <w:tcPr>
            <w:tcW w:w="931" w:type="pct"/>
            <w:vAlign w:val="center"/>
          </w:tcPr>
          <w:p>
            <w:pPr>
              <w:jc w:val="center"/>
            </w:pPr>
            <w:r>
              <w:t>14.8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rPr>
                <w:rFonts w:hint="eastAsia"/>
              </w:rPr>
              <w:t>总汞，mg/kg</w:t>
            </w:r>
          </w:p>
        </w:tc>
        <w:tc>
          <w:tcPr>
            <w:tcW w:w="927" w:type="pct"/>
            <w:vAlign w:val="center"/>
          </w:tcPr>
          <w:p>
            <w:pPr>
              <w:jc w:val="center"/>
            </w:pPr>
            <w:r>
              <w:t>0.058</w:t>
            </w:r>
          </w:p>
        </w:tc>
        <w:tc>
          <w:tcPr>
            <w:tcW w:w="927" w:type="pct"/>
            <w:vAlign w:val="center"/>
          </w:tcPr>
          <w:p>
            <w:pPr>
              <w:jc w:val="center"/>
            </w:pPr>
            <w:r>
              <w:t>0.007</w:t>
            </w:r>
          </w:p>
        </w:tc>
        <w:tc>
          <w:tcPr>
            <w:tcW w:w="926" w:type="pct"/>
            <w:vAlign w:val="center"/>
          </w:tcPr>
          <w:p>
            <w:pPr>
              <w:jc w:val="center"/>
            </w:pPr>
            <w:r>
              <w:t>0.005</w:t>
            </w:r>
          </w:p>
        </w:tc>
        <w:tc>
          <w:tcPr>
            <w:tcW w:w="931" w:type="pct"/>
            <w:vAlign w:val="center"/>
          </w:tcPr>
          <w:p>
            <w:pPr>
              <w:jc w:val="center"/>
            </w:pPr>
            <w:r>
              <w:t>0.011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widowControl/>
              <w:jc w:val="center"/>
            </w:pPr>
            <w:r>
              <w:rPr>
                <w:rFonts w:hint="eastAsia"/>
              </w:rPr>
              <w:t>镍，mg/kg</w:t>
            </w:r>
          </w:p>
        </w:tc>
        <w:tc>
          <w:tcPr>
            <w:tcW w:w="927" w:type="pct"/>
            <w:vAlign w:val="center"/>
          </w:tcPr>
          <w:p>
            <w:pPr>
              <w:jc w:val="center"/>
            </w:pPr>
            <w:r>
              <w:t>18</w:t>
            </w:r>
          </w:p>
        </w:tc>
        <w:tc>
          <w:tcPr>
            <w:tcW w:w="927" w:type="pct"/>
            <w:vAlign w:val="center"/>
          </w:tcPr>
          <w:p>
            <w:pPr>
              <w:jc w:val="center"/>
            </w:pPr>
            <w:r>
              <w:t>17</w:t>
            </w:r>
          </w:p>
        </w:tc>
        <w:tc>
          <w:tcPr>
            <w:tcW w:w="926" w:type="pct"/>
            <w:vAlign w:val="center"/>
          </w:tcPr>
          <w:p>
            <w:pPr>
              <w:jc w:val="center"/>
            </w:pPr>
            <w:r>
              <w:t>17</w:t>
            </w:r>
          </w:p>
        </w:tc>
        <w:tc>
          <w:tcPr>
            <w:tcW w:w="931" w:type="pct"/>
            <w:vAlign w:val="center"/>
          </w:tcPr>
          <w:p>
            <w:pPr>
              <w:jc w:val="center"/>
            </w:pPr>
            <w:r>
              <w:t>17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927" w:type="pct"/>
            <w:vAlign w:val="center"/>
          </w:tcPr>
          <w:p>
            <w:pPr>
              <w:jc w:val="center"/>
            </w:pPr>
            <w:r>
              <w:t>15</w:t>
            </w:r>
          </w:p>
        </w:tc>
        <w:tc>
          <w:tcPr>
            <w:tcW w:w="927" w:type="pct"/>
            <w:vAlign w:val="center"/>
          </w:tcPr>
          <w:p>
            <w:pPr>
              <w:jc w:val="center"/>
            </w:pPr>
            <w:r>
              <w:t>20</w:t>
            </w:r>
          </w:p>
        </w:tc>
        <w:tc>
          <w:tcPr>
            <w:tcW w:w="926" w:type="pct"/>
            <w:vAlign w:val="center"/>
          </w:tcPr>
          <w:p>
            <w:pPr>
              <w:jc w:val="center"/>
            </w:pPr>
            <w:r>
              <w:t>19</w:t>
            </w:r>
          </w:p>
        </w:tc>
        <w:tc>
          <w:tcPr>
            <w:tcW w:w="931" w:type="pct"/>
            <w:vAlign w:val="center"/>
          </w:tcPr>
          <w:p>
            <w:pPr>
              <w:jc w:val="center"/>
            </w:pPr>
            <w:r>
              <w:t>73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四氯化碳，mg/kg</w:t>
            </w:r>
          </w:p>
        </w:tc>
        <w:tc>
          <w:tcPr>
            <w:tcW w:w="927" w:type="pct"/>
            <w:vAlign w:val="center"/>
          </w:tcPr>
          <w:p>
            <w:pPr>
              <w:jc w:val="center"/>
            </w:pPr>
            <w:r>
              <w:t>＜1.</w:t>
            </w:r>
            <w:r>
              <w:rPr>
                <w:rFonts w:hint="eastAsia"/>
              </w:rPr>
              <w:t>3</w:t>
            </w:r>
            <w:r>
              <w:t>×10</w:t>
            </w:r>
            <w:r>
              <w:rPr>
                <w:vertAlign w:val="superscript"/>
              </w:rPr>
              <w:t>-3</w:t>
            </w:r>
          </w:p>
        </w:tc>
        <w:tc>
          <w:tcPr>
            <w:tcW w:w="927" w:type="pct"/>
            <w:vAlign w:val="center"/>
          </w:tcPr>
          <w:p>
            <w:pPr>
              <w:jc w:val="center"/>
            </w:pPr>
            <w:r>
              <w:t>＜1.</w:t>
            </w:r>
            <w:r>
              <w:rPr>
                <w:rFonts w:hint="eastAsia"/>
              </w:rPr>
              <w:t>3</w:t>
            </w:r>
            <w:r>
              <w:t>×10</w:t>
            </w:r>
            <w:r>
              <w:rPr>
                <w:vertAlign w:val="superscript"/>
              </w:rPr>
              <w:t>-3</w:t>
            </w:r>
          </w:p>
        </w:tc>
        <w:tc>
          <w:tcPr>
            <w:tcW w:w="926" w:type="pct"/>
            <w:vAlign w:val="center"/>
          </w:tcPr>
          <w:p>
            <w:pPr>
              <w:jc w:val="center"/>
            </w:pPr>
            <w:r>
              <w:t>＜1.</w:t>
            </w:r>
            <w:r>
              <w:rPr>
                <w:rFonts w:hint="eastAsia"/>
              </w:rPr>
              <w:t>3</w:t>
            </w:r>
            <w:r>
              <w:t>×10</w:t>
            </w:r>
            <w:r>
              <w:rPr>
                <w:vertAlign w:val="superscript"/>
              </w:rPr>
              <w:t>-3</w:t>
            </w:r>
          </w:p>
        </w:tc>
        <w:tc>
          <w:tcPr>
            <w:tcW w:w="931"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氯仿，mg/kg</w:t>
            </w:r>
          </w:p>
        </w:tc>
        <w:tc>
          <w:tcPr>
            <w:tcW w:w="927" w:type="pct"/>
            <w:vAlign w:val="center"/>
          </w:tcPr>
          <w:p>
            <w:pPr>
              <w:jc w:val="center"/>
            </w:pPr>
            <w:r>
              <w:t>＜</w:t>
            </w:r>
            <w:r>
              <w:rPr>
                <w:rFonts w:hint="eastAsia"/>
              </w:rPr>
              <w:t>1.1</w:t>
            </w:r>
            <w:r>
              <w:t>×10</w:t>
            </w:r>
            <w:r>
              <w:rPr>
                <w:vertAlign w:val="superscript"/>
              </w:rPr>
              <w:t>-3</w:t>
            </w:r>
          </w:p>
        </w:tc>
        <w:tc>
          <w:tcPr>
            <w:tcW w:w="927" w:type="pct"/>
            <w:vAlign w:val="center"/>
          </w:tcPr>
          <w:p>
            <w:pPr>
              <w:jc w:val="center"/>
            </w:pPr>
            <w:r>
              <w:t>＜</w:t>
            </w:r>
            <w:r>
              <w:rPr>
                <w:rFonts w:hint="eastAsia"/>
              </w:rPr>
              <w:t>1.1</w:t>
            </w:r>
            <w:r>
              <w:t>×10</w:t>
            </w:r>
            <w:r>
              <w:rPr>
                <w:vertAlign w:val="superscript"/>
              </w:rPr>
              <w:t>-3</w:t>
            </w:r>
          </w:p>
        </w:tc>
        <w:tc>
          <w:tcPr>
            <w:tcW w:w="926" w:type="pct"/>
            <w:vAlign w:val="center"/>
          </w:tcPr>
          <w:p>
            <w:pPr>
              <w:jc w:val="center"/>
            </w:pPr>
            <w:r>
              <w:t>＜</w:t>
            </w:r>
            <w:r>
              <w:rPr>
                <w:rFonts w:hint="eastAsia"/>
              </w:rPr>
              <w:t>1.1</w:t>
            </w:r>
            <w:r>
              <w:t>×10</w:t>
            </w:r>
            <w:r>
              <w:rPr>
                <w:vertAlign w:val="superscript"/>
              </w:rPr>
              <w:t>-3</w:t>
            </w:r>
          </w:p>
        </w:tc>
        <w:tc>
          <w:tcPr>
            <w:tcW w:w="931"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氯甲烷，</w:t>
            </w:r>
            <w:r>
              <w:t>mg/kg</w:t>
            </w:r>
          </w:p>
        </w:tc>
        <w:tc>
          <w:tcPr>
            <w:tcW w:w="927" w:type="pct"/>
            <w:vAlign w:val="center"/>
          </w:tcPr>
          <w:p>
            <w:pPr>
              <w:jc w:val="center"/>
            </w:pPr>
            <w:r>
              <w:t>＜1.0×10</w:t>
            </w:r>
            <w:r>
              <w:rPr>
                <w:vertAlign w:val="superscript"/>
              </w:rPr>
              <w:t>-3</w:t>
            </w:r>
          </w:p>
        </w:tc>
        <w:tc>
          <w:tcPr>
            <w:tcW w:w="927" w:type="pct"/>
            <w:vAlign w:val="center"/>
          </w:tcPr>
          <w:p>
            <w:pPr>
              <w:jc w:val="center"/>
            </w:pPr>
            <w:r>
              <w:t>＜1.0×10</w:t>
            </w:r>
            <w:r>
              <w:rPr>
                <w:vertAlign w:val="superscript"/>
              </w:rPr>
              <w:t>-3</w:t>
            </w:r>
          </w:p>
        </w:tc>
        <w:tc>
          <w:tcPr>
            <w:tcW w:w="926" w:type="pct"/>
            <w:vAlign w:val="center"/>
          </w:tcPr>
          <w:p>
            <w:pPr>
              <w:jc w:val="center"/>
            </w:pPr>
            <w:r>
              <w:t>＜1.0×10</w:t>
            </w:r>
            <w:r>
              <w:rPr>
                <w:vertAlign w:val="superscript"/>
              </w:rPr>
              <w:t>-3</w:t>
            </w:r>
          </w:p>
        </w:tc>
        <w:tc>
          <w:tcPr>
            <w:tcW w:w="931"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w:t>
            </w:r>
            <w:r>
              <w:rPr>
                <w:rFonts w:hint="eastAsia"/>
              </w:rPr>
              <w:t>二氯乙烷，</w:t>
            </w:r>
            <w:r>
              <w:t>mg/kg</w:t>
            </w:r>
          </w:p>
        </w:tc>
        <w:tc>
          <w:tcPr>
            <w:tcW w:w="927" w:type="pct"/>
            <w:vAlign w:val="center"/>
          </w:tcPr>
          <w:p>
            <w:pPr>
              <w:jc w:val="center"/>
            </w:pPr>
            <w:r>
              <w:t>＜</w:t>
            </w:r>
            <w:r>
              <w:rPr>
                <w:rFonts w:hint="eastAsia"/>
              </w:rPr>
              <w:t>1.2</w:t>
            </w:r>
            <w:r>
              <w:t>×10</w:t>
            </w:r>
            <w:r>
              <w:rPr>
                <w:vertAlign w:val="superscript"/>
              </w:rPr>
              <w:t>-3</w:t>
            </w:r>
          </w:p>
        </w:tc>
        <w:tc>
          <w:tcPr>
            <w:tcW w:w="927" w:type="pct"/>
            <w:vAlign w:val="center"/>
          </w:tcPr>
          <w:p>
            <w:pPr>
              <w:jc w:val="center"/>
            </w:pPr>
            <w:r>
              <w:t>＜</w:t>
            </w:r>
            <w:r>
              <w:rPr>
                <w:rFonts w:hint="eastAsia"/>
              </w:rPr>
              <w:t>1.2</w:t>
            </w:r>
            <w:r>
              <w:t>×10</w:t>
            </w:r>
            <w:r>
              <w:rPr>
                <w:vertAlign w:val="superscript"/>
              </w:rPr>
              <w:t>-3</w:t>
            </w:r>
          </w:p>
        </w:tc>
        <w:tc>
          <w:tcPr>
            <w:tcW w:w="926" w:type="pct"/>
            <w:vAlign w:val="center"/>
          </w:tcPr>
          <w:p>
            <w:pPr>
              <w:jc w:val="center"/>
            </w:pPr>
            <w:r>
              <w:t>＜</w:t>
            </w:r>
            <w:r>
              <w:rPr>
                <w:rFonts w:hint="eastAsia"/>
              </w:rPr>
              <w:t>1.2</w:t>
            </w:r>
            <w:r>
              <w:t>×10</w:t>
            </w:r>
            <w:r>
              <w:rPr>
                <w:vertAlign w:val="superscript"/>
              </w:rPr>
              <w:t>-3</w:t>
            </w:r>
          </w:p>
        </w:tc>
        <w:tc>
          <w:tcPr>
            <w:tcW w:w="931"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1,2-</w:t>
            </w:r>
            <w:r>
              <w:rPr>
                <w:rFonts w:hint="eastAsia"/>
              </w:rPr>
              <w:t>二氯乙烷，</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w:t>
            </w:r>
            <w:r>
              <w:rPr>
                <w:rFonts w:hint="eastAsia"/>
              </w:rPr>
              <w:t>二氯乙烯，</w:t>
            </w:r>
            <w:r>
              <w:t>mg/kg</w:t>
            </w:r>
          </w:p>
        </w:tc>
        <w:tc>
          <w:tcPr>
            <w:tcW w:w="927" w:type="pct"/>
            <w:vAlign w:val="center"/>
          </w:tcPr>
          <w:p>
            <w:pPr>
              <w:jc w:val="center"/>
            </w:pPr>
            <w:r>
              <w:t>＜1.0×10</w:t>
            </w:r>
            <w:r>
              <w:rPr>
                <w:vertAlign w:val="superscript"/>
              </w:rPr>
              <w:t>-3</w:t>
            </w:r>
          </w:p>
        </w:tc>
        <w:tc>
          <w:tcPr>
            <w:tcW w:w="927" w:type="pct"/>
            <w:vAlign w:val="center"/>
          </w:tcPr>
          <w:p>
            <w:pPr>
              <w:jc w:val="center"/>
            </w:pPr>
            <w:r>
              <w:t>＜1.0×10</w:t>
            </w:r>
            <w:r>
              <w:rPr>
                <w:vertAlign w:val="superscript"/>
              </w:rPr>
              <w:t>-3</w:t>
            </w:r>
          </w:p>
        </w:tc>
        <w:tc>
          <w:tcPr>
            <w:tcW w:w="926" w:type="pct"/>
            <w:vAlign w:val="center"/>
          </w:tcPr>
          <w:p>
            <w:pPr>
              <w:jc w:val="center"/>
            </w:pPr>
            <w:r>
              <w:t>＜1.0×10</w:t>
            </w:r>
            <w:r>
              <w:rPr>
                <w:vertAlign w:val="superscript"/>
              </w:rPr>
              <w:t>-3</w:t>
            </w:r>
          </w:p>
        </w:tc>
        <w:tc>
          <w:tcPr>
            <w:tcW w:w="931"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顺式</w:t>
            </w:r>
            <w:r>
              <w:t>-1,2-</w:t>
            </w:r>
            <w:r>
              <w:rPr>
                <w:rFonts w:hint="eastAsia"/>
              </w:rPr>
              <w:t>二氯乙烯，</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反式</w:t>
            </w:r>
            <w:r>
              <w:t>-1,2-</w:t>
            </w:r>
            <w:r>
              <w:rPr>
                <w:rFonts w:hint="eastAsia"/>
              </w:rPr>
              <w:t>二氯乙烯，</w:t>
            </w:r>
            <w:r>
              <w:t>mg/kg</w:t>
            </w:r>
          </w:p>
        </w:tc>
        <w:tc>
          <w:tcPr>
            <w:tcW w:w="927" w:type="pct"/>
            <w:vAlign w:val="center"/>
          </w:tcPr>
          <w:p>
            <w:pPr>
              <w:jc w:val="center"/>
            </w:pPr>
            <w:r>
              <w:t>＜1.4×10</w:t>
            </w:r>
            <w:r>
              <w:rPr>
                <w:vertAlign w:val="superscript"/>
              </w:rPr>
              <w:t>-3</w:t>
            </w:r>
          </w:p>
        </w:tc>
        <w:tc>
          <w:tcPr>
            <w:tcW w:w="927" w:type="pct"/>
            <w:vAlign w:val="center"/>
          </w:tcPr>
          <w:p>
            <w:pPr>
              <w:jc w:val="center"/>
            </w:pPr>
            <w:r>
              <w:t>＜1.4×10</w:t>
            </w:r>
            <w:r>
              <w:rPr>
                <w:vertAlign w:val="superscript"/>
              </w:rPr>
              <w:t>-3</w:t>
            </w:r>
          </w:p>
        </w:tc>
        <w:tc>
          <w:tcPr>
            <w:tcW w:w="926" w:type="pct"/>
            <w:vAlign w:val="center"/>
          </w:tcPr>
          <w:p>
            <w:pPr>
              <w:jc w:val="center"/>
            </w:pPr>
            <w:r>
              <w:t>＜1.4×10</w:t>
            </w:r>
            <w:r>
              <w:rPr>
                <w:vertAlign w:val="superscript"/>
              </w:rPr>
              <w:t>-3</w:t>
            </w:r>
          </w:p>
        </w:tc>
        <w:tc>
          <w:tcPr>
            <w:tcW w:w="931"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二氯甲烷，</w:t>
            </w:r>
            <w:r>
              <w:t>mg/kg</w:t>
            </w:r>
          </w:p>
        </w:tc>
        <w:tc>
          <w:tcPr>
            <w:tcW w:w="927" w:type="pct"/>
            <w:vAlign w:val="center"/>
          </w:tcPr>
          <w:p>
            <w:pPr>
              <w:jc w:val="center"/>
            </w:pPr>
            <w:r>
              <w:t>＜</w:t>
            </w:r>
            <w:r>
              <w:rPr>
                <w:rFonts w:hint="eastAsia"/>
              </w:rPr>
              <w:t>1.5</w:t>
            </w:r>
            <w:r>
              <w:t>×10</w:t>
            </w:r>
            <w:r>
              <w:rPr>
                <w:vertAlign w:val="superscript"/>
              </w:rPr>
              <w:t>-3</w:t>
            </w:r>
          </w:p>
        </w:tc>
        <w:tc>
          <w:tcPr>
            <w:tcW w:w="927" w:type="pct"/>
            <w:vAlign w:val="center"/>
          </w:tcPr>
          <w:p>
            <w:pPr>
              <w:jc w:val="center"/>
            </w:pPr>
            <w:r>
              <w:t>＜</w:t>
            </w:r>
            <w:r>
              <w:rPr>
                <w:rFonts w:hint="eastAsia"/>
              </w:rPr>
              <w:t>1.5</w:t>
            </w:r>
            <w:r>
              <w:t>×10</w:t>
            </w:r>
            <w:r>
              <w:rPr>
                <w:vertAlign w:val="superscript"/>
              </w:rPr>
              <w:t>-3</w:t>
            </w:r>
          </w:p>
        </w:tc>
        <w:tc>
          <w:tcPr>
            <w:tcW w:w="926" w:type="pct"/>
            <w:vAlign w:val="center"/>
          </w:tcPr>
          <w:p>
            <w:pPr>
              <w:jc w:val="center"/>
            </w:pPr>
            <w:r>
              <w:t>＜</w:t>
            </w:r>
            <w:r>
              <w:rPr>
                <w:rFonts w:hint="eastAsia"/>
              </w:rPr>
              <w:t>1.5</w:t>
            </w:r>
            <w:r>
              <w:t>×10</w:t>
            </w:r>
            <w:r>
              <w:rPr>
                <w:vertAlign w:val="superscript"/>
              </w:rPr>
              <w:t>-3</w:t>
            </w:r>
          </w:p>
        </w:tc>
        <w:tc>
          <w:tcPr>
            <w:tcW w:w="931"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1,2-</w:t>
            </w:r>
            <w:r>
              <w:rPr>
                <w:rFonts w:hint="eastAsia"/>
              </w:rPr>
              <w:t>二氯丙烷，</w:t>
            </w:r>
            <w:r>
              <w:t>mg/kg</w:t>
            </w:r>
          </w:p>
        </w:tc>
        <w:tc>
          <w:tcPr>
            <w:tcW w:w="927" w:type="pct"/>
            <w:vAlign w:val="center"/>
          </w:tcPr>
          <w:p>
            <w:pPr>
              <w:jc w:val="center"/>
            </w:pPr>
            <w:r>
              <w:t>＜1.1×10</w:t>
            </w:r>
            <w:r>
              <w:rPr>
                <w:vertAlign w:val="superscript"/>
              </w:rPr>
              <w:t>-3</w:t>
            </w:r>
          </w:p>
        </w:tc>
        <w:tc>
          <w:tcPr>
            <w:tcW w:w="927" w:type="pct"/>
            <w:vAlign w:val="center"/>
          </w:tcPr>
          <w:p>
            <w:pPr>
              <w:jc w:val="center"/>
            </w:pPr>
            <w:r>
              <w:t>＜1.1×10</w:t>
            </w:r>
            <w:r>
              <w:rPr>
                <w:vertAlign w:val="superscript"/>
              </w:rPr>
              <w:t>-3</w:t>
            </w:r>
          </w:p>
        </w:tc>
        <w:tc>
          <w:tcPr>
            <w:tcW w:w="926" w:type="pct"/>
            <w:vAlign w:val="center"/>
          </w:tcPr>
          <w:p>
            <w:pPr>
              <w:jc w:val="center"/>
            </w:pPr>
            <w:r>
              <w:t>＜1.1×10</w:t>
            </w:r>
            <w:r>
              <w:rPr>
                <w:vertAlign w:val="superscript"/>
              </w:rPr>
              <w:t>-3</w:t>
            </w:r>
          </w:p>
        </w:tc>
        <w:tc>
          <w:tcPr>
            <w:tcW w:w="931"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1,1,1,2-</w:t>
            </w:r>
            <w:r>
              <w:rPr>
                <w:rFonts w:hint="eastAsia"/>
              </w:rPr>
              <w:t>四氯乙烷，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1,1,2,2-</w:t>
            </w:r>
            <w:r>
              <w:rPr>
                <w:rFonts w:hint="eastAsia"/>
              </w:rPr>
              <w:t>四氯乙烷，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rPr>
                <w:rFonts w:ascii="宋体" w:hAnsi="宋体" w:cs="宋体"/>
              </w:rPr>
            </w:pPr>
            <w:r>
              <w:rPr>
                <w:rFonts w:hint="eastAsia"/>
              </w:rPr>
              <w:t>四氯乙烯，</w:t>
            </w:r>
            <w:r>
              <w:t>mg/kg</w:t>
            </w:r>
          </w:p>
        </w:tc>
        <w:tc>
          <w:tcPr>
            <w:tcW w:w="927" w:type="pct"/>
            <w:vAlign w:val="center"/>
          </w:tcPr>
          <w:p>
            <w:pPr>
              <w:jc w:val="center"/>
            </w:pPr>
            <w:r>
              <w:t>＜</w:t>
            </w:r>
            <w:r>
              <w:rPr>
                <w:rFonts w:hint="eastAsia"/>
              </w:rPr>
              <w:t>1</w:t>
            </w:r>
            <w:r>
              <w:t>.4×10</w:t>
            </w:r>
            <w:r>
              <w:rPr>
                <w:vertAlign w:val="superscript"/>
              </w:rPr>
              <w:t>-3</w:t>
            </w:r>
          </w:p>
        </w:tc>
        <w:tc>
          <w:tcPr>
            <w:tcW w:w="927" w:type="pct"/>
            <w:vAlign w:val="center"/>
          </w:tcPr>
          <w:p>
            <w:pPr>
              <w:jc w:val="center"/>
            </w:pPr>
            <w:r>
              <w:t>＜</w:t>
            </w:r>
            <w:r>
              <w:rPr>
                <w:rFonts w:hint="eastAsia"/>
              </w:rPr>
              <w:t>1</w:t>
            </w:r>
            <w:r>
              <w:t>.4×10</w:t>
            </w:r>
            <w:r>
              <w:rPr>
                <w:vertAlign w:val="superscript"/>
              </w:rPr>
              <w:t>-3</w:t>
            </w:r>
          </w:p>
        </w:tc>
        <w:tc>
          <w:tcPr>
            <w:tcW w:w="926" w:type="pct"/>
            <w:vAlign w:val="center"/>
          </w:tcPr>
          <w:p>
            <w:pPr>
              <w:jc w:val="center"/>
            </w:pPr>
            <w:r>
              <w:t>＜</w:t>
            </w:r>
            <w:r>
              <w:rPr>
                <w:rFonts w:hint="eastAsia"/>
              </w:rPr>
              <w:t>1</w:t>
            </w:r>
            <w:r>
              <w:t>.4×10</w:t>
            </w:r>
            <w:r>
              <w:rPr>
                <w:vertAlign w:val="superscript"/>
              </w:rPr>
              <w:t>-3</w:t>
            </w:r>
          </w:p>
        </w:tc>
        <w:tc>
          <w:tcPr>
            <w:tcW w:w="931"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1,1,1-</w:t>
            </w:r>
            <w:r>
              <w:rPr>
                <w:rFonts w:hint="eastAsia"/>
              </w:rPr>
              <w:t>三氯乙烷，</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6" w:type="pct"/>
            <w:vAlign w:val="center"/>
          </w:tcPr>
          <w:p>
            <w:pPr>
              <w:jc w:val="center"/>
            </w:pPr>
            <w:r>
              <w:t>1,1,2-</w:t>
            </w:r>
            <w:r>
              <w:rPr>
                <w:rFonts w:hint="eastAsia"/>
              </w:rPr>
              <w:t>三氯乙烷，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bl>
    <w:p>
      <w:r>
        <w:br w:type="page"/>
      </w:r>
    </w:p>
    <w:p>
      <w:pPr>
        <w:pStyle w:val="32"/>
        <w:tabs>
          <w:tab w:val="left" w:pos="4540"/>
          <w:tab w:val="clear" w:pos="900"/>
        </w:tabs>
      </w:pPr>
      <w:r>
        <w:t>表4.3-</w:t>
      </w:r>
      <w:r>
        <w:rPr>
          <w:rFonts w:hint="eastAsia"/>
        </w:rPr>
        <w:t>12（6）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8"/>
        <w:gridCol w:w="1762"/>
        <w:gridCol w:w="1762"/>
        <w:gridCol w:w="1760"/>
        <w:gridCol w:w="177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spacing w:before="60" w:beforeLines="25" w:after="60" w:afterLines="25"/>
              <w:jc w:val="center"/>
              <w:rPr>
                <w:b/>
                <w:bCs/>
              </w:rPr>
            </w:pPr>
            <w:r>
              <w:rPr>
                <w:rFonts w:hint="eastAsia"/>
                <w:b/>
                <w:bCs/>
              </w:rPr>
              <w:t>监 测 项 目</w:t>
            </w:r>
          </w:p>
        </w:tc>
        <w:tc>
          <w:tcPr>
            <w:tcW w:w="960" w:type="pct"/>
            <w:vAlign w:val="center"/>
          </w:tcPr>
          <w:p>
            <w:pPr>
              <w:widowControl/>
              <w:jc w:val="center"/>
              <w:rPr>
                <w:b/>
                <w:bCs/>
              </w:rPr>
            </w:pPr>
            <w:r>
              <w:rPr>
                <w:b/>
                <w:bCs/>
              </w:rPr>
              <w:t>H02780545</w:t>
            </w:r>
          </w:p>
          <w:p>
            <w:pPr>
              <w:widowControl/>
              <w:jc w:val="center"/>
              <w:rPr>
                <w:b/>
                <w:bCs/>
              </w:rPr>
            </w:pPr>
            <w:r>
              <w:rPr>
                <w:b/>
                <w:bCs/>
              </w:rPr>
              <w:t xml:space="preserve">土壤   </w:t>
            </w:r>
          </w:p>
          <w:p>
            <w:pPr>
              <w:widowControl/>
              <w:jc w:val="center"/>
              <w:rPr>
                <w:b/>
                <w:bCs/>
                <w:kern w:val="0"/>
              </w:rPr>
            </w:pPr>
            <w:r>
              <w:rPr>
                <w:b/>
                <w:bCs/>
              </w:rPr>
              <w:t>3#尾气洗涤塔0-0.5m</w:t>
            </w:r>
          </w:p>
        </w:tc>
        <w:tc>
          <w:tcPr>
            <w:tcW w:w="960" w:type="pct"/>
            <w:vAlign w:val="center"/>
          </w:tcPr>
          <w:p>
            <w:pPr>
              <w:widowControl/>
              <w:jc w:val="center"/>
              <w:rPr>
                <w:b/>
                <w:bCs/>
              </w:rPr>
            </w:pPr>
            <w:r>
              <w:rPr>
                <w:b/>
                <w:bCs/>
              </w:rPr>
              <w:t>H02781545</w:t>
            </w:r>
          </w:p>
          <w:p>
            <w:pPr>
              <w:widowControl/>
              <w:jc w:val="center"/>
              <w:rPr>
                <w:b/>
                <w:bCs/>
              </w:rPr>
            </w:pPr>
            <w:r>
              <w:rPr>
                <w:b/>
                <w:bCs/>
              </w:rPr>
              <w:t xml:space="preserve">土壤  </w:t>
            </w:r>
          </w:p>
          <w:p>
            <w:pPr>
              <w:widowControl/>
              <w:jc w:val="center"/>
              <w:rPr>
                <w:b/>
                <w:bCs/>
                <w:kern w:val="0"/>
              </w:rPr>
            </w:pPr>
            <w:r>
              <w:rPr>
                <w:b/>
                <w:bCs/>
              </w:rPr>
              <w:t xml:space="preserve"> 3#尾气洗涤塔0.5-1.5m</w:t>
            </w:r>
          </w:p>
        </w:tc>
        <w:tc>
          <w:tcPr>
            <w:tcW w:w="959" w:type="pct"/>
            <w:vAlign w:val="center"/>
          </w:tcPr>
          <w:p>
            <w:pPr>
              <w:widowControl/>
              <w:jc w:val="center"/>
              <w:rPr>
                <w:b/>
                <w:bCs/>
              </w:rPr>
            </w:pPr>
            <w:r>
              <w:rPr>
                <w:b/>
                <w:bCs/>
              </w:rPr>
              <w:t>H02782545</w:t>
            </w:r>
          </w:p>
          <w:p>
            <w:pPr>
              <w:widowControl/>
              <w:jc w:val="center"/>
              <w:rPr>
                <w:b/>
                <w:bCs/>
              </w:rPr>
            </w:pPr>
            <w:r>
              <w:rPr>
                <w:b/>
                <w:bCs/>
              </w:rPr>
              <w:t xml:space="preserve">土壤  </w:t>
            </w:r>
          </w:p>
          <w:p>
            <w:pPr>
              <w:widowControl/>
              <w:jc w:val="center"/>
              <w:rPr>
                <w:b/>
                <w:bCs/>
                <w:kern w:val="0"/>
              </w:rPr>
            </w:pPr>
            <w:r>
              <w:rPr>
                <w:b/>
                <w:bCs/>
              </w:rPr>
              <w:t xml:space="preserve"> 3#尾气洗涤塔1.5-3.0m</w:t>
            </w:r>
          </w:p>
        </w:tc>
        <w:tc>
          <w:tcPr>
            <w:tcW w:w="965" w:type="pct"/>
            <w:vAlign w:val="center"/>
          </w:tcPr>
          <w:p>
            <w:pPr>
              <w:widowControl/>
              <w:jc w:val="center"/>
              <w:rPr>
                <w:b/>
                <w:bCs/>
              </w:rPr>
            </w:pPr>
            <w:r>
              <w:rPr>
                <w:b/>
                <w:bCs/>
              </w:rPr>
              <w:t>H02783545</w:t>
            </w:r>
          </w:p>
          <w:p>
            <w:pPr>
              <w:widowControl/>
              <w:jc w:val="center"/>
              <w:rPr>
                <w:b/>
                <w:bCs/>
              </w:rPr>
            </w:pPr>
            <w:r>
              <w:rPr>
                <w:b/>
                <w:bCs/>
              </w:rPr>
              <w:t xml:space="preserve">土壤   </w:t>
            </w:r>
          </w:p>
          <w:p>
            <w:pPr>
              <w:widowControl/>
              <w:jc w:val="center"/>
              <w:rPr>
                <w:b/>
                <w:bCs/>
                <w:kern w:val="0"/>
              </w:rPr>
            </w:pPr>
            <w:r>
              <w:rPr>
                <w:b/>
                <w:bCs/>
              </w:rPr>
              <w:t>4#闪蒸馏罐0-0.2m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三氯乙烯，</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t>1,2,3-</w:t>
            </w:r>
            <w:r>
              <w:rPr>
                <w:rFonts w:hint="eastAsia"/>
              </w:rPr>
              <w:t>三氯丙烷，</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氯乙烯，</w:t>
            </w:r>
            <w:r>
              <w:t>mg/kg</w:t>
            </w:r>
          </w:p>
        </w:tc>
        <w:tc>
          <w:tcPr>
            <w:tcW w:w="960" w:type="pct"/>
            <w:vAlign w:val="center"/>
          </w:tcPr>
          <w:p>
            <w:pPr>
              <w:jc w:val="center"/>
            </w:pPr>
            <w:r>
              <w:t>＜1.0×10</w:t>
            </w:r>
            <w:r>
              <w:rPr>
                <w:vertAlign w:val="superscript"/>
              </w:rPr>
              <w:t>-3</w:t>
            </w:r>
          </w:p>
        </w:tc>
        <w:tc>
          <w:tcPr>
            <w:tcW w:w="960" w:type="pct"/>
            <w:vAlign w:val="center"/>
          </w:tcPr>
          <w:p>
            <w:pPr>
              <w:jc w:val="center"/>
            </w:pPr>
            <w:r>
              <w:t>＜1.0×10</w:t>
            </w:r>
            <w:r>
              <w:rPr>
                <w:vertAlign w:val="superscript"/>
              </w:rPr>
              <w:t>-3</w:t>
            </w:r>
          </w:p>
        </w:tc>
        <w:tc>
          <w:tcPr>
            <w:tcW w:w="959" w:type="pct"/>
            <w:vAlign w:val="center"/>
          </w:tcPr>
          <w:p>
            <w:pPr>
              <w:jc w:val="center"/>
            </w:pPr>
            <w:r>
              <w:t>＜1.0×10</w:t>
            </w:r>
            <w:r>
              <w:rPr>
                <w:vertAlign w:val="superscript"/>
              </w:rPr>
              <w:t>-3</w:t>
            </w:r>
          </w:p>
        </w:tc>
        <w:tc>
          <w:tcPr>
            <w:tcW w:w="965"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苯，</w:t>
            </w:r>
            <w:r>
              <w:t>mg/kg</w:t>
            </w:r>
          </w:p>
        </w:tc>
        <w:tc>
          <w:tcPr>
            <w:tcW w:w="960" w:type="pct"/>
            <w:vAlign w:val="center"/>
          </w:tcPr>
          <w:p>
            <w:pPr>
              <w:jc w:val="center"/>
            </w:pPr>
            <w:r>
              <w:t>＜1.9×10</w:t>
            </w:r>
            <w:r>
              <w:rPr>
                <w:vertAlign w:val="superscript"/>
              </w:rPr>
              <w:t>-3</w:t>
            </w:r>
          </w:p>
        </w:tc>
        <w:tc>
          <w:tcPr>
            <w:tcW w:w="960" w:type="pct"/>
            <w:vAlign w:val="center"/>
          </w:tcPr>
          <w:p>
            <w:pPr>
              <w:jc w:val="center"/>
            </w:pPr>
            <w:r>
              <w:t>＜1.9×10</w:t>
            </w:r>
            <w:r>
              <w:rPr>
                <w:vertAlign w:val="superscript"/>
              </w:rPr>
              <w:t>-3</w:t>
            </w:r>
          </w:p>
        </w:tc>
        <w:tc>
          <w:tcPr>
            <w:tcW w:w="959" w:type="pct"/>
            <w:vAlign w:val="center"/>
          </w:tcPr>
          <w:p>
            <w:pPr>
              <w:jc w:val="center"/>
            </w:pPr>
            <w:r>
              <w:t>＜1.9×10</w:t>
            </w:r>
            <w:r>
              <w:rPr>
                <w:vertAlign w:val="superscript"/>
              </w:rPr>
              <w:t>-3</w:t>
            </w:r>
          </w:p>
        </w:tc>
        <w:tc>
          <w:tcPr>
            <w:tcW w:w="965"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氯苯，</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t>1,2-</w:t>
            </w:r>
            <w:r>
              <w:rPr>
                <w:rFonts w:hint="eastAsia"/>
              </w:rPr>
              <w:t>二氯苯，</w:t>
            </w:r>
            <w:r>
              <w:t>mg/kg</w:t>
            </w:r>
          </w:p>
        </w:tc>
        <w:tc>
          <w:tcPr>
            <w:tcW w:w="960"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59" w:type="pct"/>
            <w:vAlign w:val="center"/>
          </w:tcPr>
          <w:p>
            <w:pPr>
              <w:jc w:val="center"/>
            </w:pPr>
            <w:r>
              <w:t>＜1.5×10</w:t>
            </w:r>
            <w:r>
              <w:rPr>
                <w:vertAlign w:val="superscript"/>
              </w:rPr>
              <w:t>-3</w:t>
            </w:r>
          </w:p>
        </w:tc>
        <w:tc>
          <w:tcPr>
            <w:tcW w:w="965"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t>1,4-</w:t>
            </w:r>
            <w:r>
              <w:rPr>
                <w:rFonts w:hint="eastAsia"/>
              </w:rPr>
              <w:t>二氯苯，</w:t>
            </w:r>
            <w:r>
              <w:t>mg/kg</w:t>
            </w:r>
          </w:p>
        </w:tc>
        <w:tc>
          <w:tcPr>
            <w:tcW w:w="960"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59" w:type="pct"/>
            <w:vAlign w:val="center"/>
          </w:tcPr>
          <w:p>
            <w:pPr>
              <w:jc w:val="center"/>
            </w:pPr>
            <w:r>
              <w:t>＜1.5×10</w:t>
            </w:r>
            <w:r>
              <w:rPr>
                <w:vertAlign w:val="superscript"/>
              </w:rPr>
              <w:t>-3</w:t>
            </w:r>
          </w:p>
        </w:tc>
        <w:tc>
          <w:tcPr>
            <w:tcW w:w="965"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乙苯，</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苯乙烯，</w:t>
            </w:r>
            <w:r>
              <w:t>mg/kg</w:t>
            </w:r>
          </w:p>
        </w:tc>
        <w:tc>
          <w:tcPr>
            <w:tcW w:w="960" w:type="pct"/>
            <w:vAlign w:val="center"/>
          </w:tcPr>
          <w:p>
            <w:pPr>
              <w:jc w:val="center"/>
            </w:pPr>
            <w:r>
              <w:t>＜1.</w:t>
            </w:r>
            <w:r>
              <w:rPr>
                <w:rFonts w:hint="eastAsia"/>
              </w:rPr>
              <w:t>1</w:t>
            </w:r>
            <w:r>
              <w:t>×10</w:t>
            </w:r>
            <w:r>
              <w:rPr>
                <w:vertAlign w:val="superscript"/>
              </w:rPr>
              <w:t>-3</w:t>
            </w:r>
          </w:p>
        </w:tc>
        <w:tc>
          <w:tcPr>
            <w:tcW w:w="960" w:type="pct"/>
            <w:vAlign w:val="center"/>
          </w:tcPr>
          <w:p>
            <w:pPr>
              <w:jc w:val="center"/>
            </w:pPr>
            <w:r>
              <w:t>＜1.</w:t>
            </w:r>
            <w:r>
              <w:rPr>
                <w:rFonts w:hint="eastAsia"/>
              </w:rPr>
              <w:t>1</w:t>
            </w:r>
            <w:r>
              <w:t>×10</w:t>
            </w:r>
            <w:r>
              <w:rPr>
                <w:vertAlign w:val="superscript"/>
              </w:rPr>
              <w:t>-3</w:t>
            </w:r>
          </w:p>
        </w:tc>
        <w:tc>
          <w:tcPr>
            <w:tcW w:w="959" w:type="pct"/>
            <w:vAlign w:val="center"/>
          </w:tcPr>
          <w:p>
            <w:pPr>
              <w:jc w:val="center"/>
            </w:pPr>
            <w:r>
              <w:t>＜1.</w:t>
            </w:r>
            <w:r>
              <w:rPr>
                <w:rFonts w:hint="eastAsia"/>
              </w:rPr>
              <w:t>1</w:t>
            </w:r>
            <w:r>
              <w:t>×10</w:t>
            </w:r>
            <w:r>
              <w:rPr>
                <w:vertAlign w:val="superscript"/>
              </w:rPr>
              <w:t>-3</w:t>
            </w:r>
          </w:p>
        </w:tc>
        <w:tc>
          <w:tcPr>
            <w:tcW w:w="965"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甲苯，</w:t>
            </w:r>
            <w:r>
              <w:t>mg/kg</w:t>
            </w:r>
          </w:p>
        </w:tc>
        <w:tc>
          <w:tcPr>
            <w:tcW w:w="960" w:type="pct"/>
            <w:vAlign w:val="center"/>
          </w:tcPr>
          <w:p>
            <w:pPr>
              <w:jc w:val="center"/>
            </w:pPr>
            <w:r>
              <w:rPr>
                <w:rFonts w:hint="eastAsia"/>
              </w:rPr>
              <w:t>2</w:t>
            </w:r>
            <w:r>
              <w:t>.9×10</w:t>
            </w:r>
            <w:r>
              <w:rPr>
                <w:vertAlign w:val="superscript"/>
              </w:rPr>
              <w:t>-3</w:t>
            </w:r>
          </w:p>
        </w:tc>
        <w:tc>
          <w:tcPr>
            <w:tcW w:w="960" w:type="pct"/>
            <w:vAlign w:val="center"/>
          </w:tcPr>
          <w:p>
            <w:pPr>
              <w:jc w:val="center"/>
            </w:pPr>
            <w:r>
              <w:rPr>
                <w:rFonts w:hint="eastAsia"/>
              </w:rPr>
              <w:t>2</w:t>
            </w:r>
            <w:r>
              <w:t>.9×10</w:t>
            </w:r>
            <w:r>
              <w:rPr>
                <w:vertAlign w:val="superscript"/>
              </w:rPr>
              <w:t>-3</w:t>
            </w:r>
          </w:p>
        </w:tc>
        <w:tc>
          <w:tcPr>
            <w:tcW w:w="959" w:type="pct"/>
            <w:vAlign w:val="center"/>
          </w:tcPr>
          <w:p>
            <w:pPr>
              <w:jc w:val="center"/>
            </w:pPr>
            <w:r>
              <w:rPr>
                <w:rFonts w:hint="eastAsia"/>
              </w:rPr>
              <w:t>2</w:t>
            </w:r>
            <w:r>
              <w:t>.7×10</w:t>
            </w:r>
            <w:r>
              <w:rPr>
                <w:vertAlign w:val="superscript"/>
              </w:rPr>
              <w:t>-3</w:t>
            </w:r>
          </w:p>
        </w:tc>
        <w:tc>
          <w:tcPr>
            <w:tcW w:w="965" w:type="pct"/>
            <w:vAlign w:val="center"/>
          </w:tcPr>
          <w:p>
            <w:pPr>
              <w:jc w:val="center"/>
            </w:pPr>
            <w:r>
              <w:rPr>
                <w:rFonts w:hint="eastAsia"/>
              </w:rPr>
              <w:t>2</w:t>
            </w:r>
            <w:r>
              <w:t>.8×10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对间</w:t>
            </w:r>
            <w:r>
              <w:t>-</w:t>
            </w:r>
            <w:r>
              <w:rPr>
                <w:rFonts w:hint="eastAsia"/>
              </w:rPr>
              <w:t>二甲苯，</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邻</w:t>
            </w:r>
            <w:r>
              <w:t>-</w:t>
            </w:r>
            <w:r>
              <w:rPr>
                <w:rFonts w:hint="eastAsia"/>
              </w:rPr>
              <w:t>二甲苯，</w:t>
            </w:r>
            <w:r>
              <w:t>mg/kg</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59" w:type="pct"/>
            <w:vAlign w:val="center"/>
          </w:tcPr>
          <w:p>
            <w:pPr>
              <w:jc w:val="center"/>
            </w:pPr>
            <w:r>
              <w:t>＜1.2×10</w:t>
            </w:r>
            <w:r>
              <w:rPr>
                <w:vertAlign w:val="superscript"/>
              </w:rPr>
              <w:t>-3</w:t>
            </w:r>
          </w:p>
        </w:tc>
        <w:tc>
          <w:tcPr>
            <w:tcW w:w="965"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硝基苯，</w:t>
            </w:r>
            <w:r>
              <w:t>mg/kg</w:t>
            </w:r>
          </w:p>
        </w:tc>
        <w:tc>
          <w:tcPr>
            <w:tcW w:w="960" w:type="pct"/>
            <w:vAlign w:val="center"/>
          </w:tcPr>
          <w:p>
            <w:pPr>
              <w:jc w:val="center"/>
            </w:pPr>
            <w:r>
              <w:t>＜0.09</w:t>
            </w:r>
          </w:p>
        </w:tc>
        <w:tc>
          <w:tcPr>
            <w:tcW w:w="960" w:type="pct"/>
            <w:vAlign w:val="center"/>
          </w:tcPr>
          <w:p>
            <w:pPr>
              <w:jc w:val="center"/>
            </w:pPr>
            <w:r>
              <w:t>＜0.09</w:t>
            </w:r>
          </w:p>
        </w:tc>
        <w:tc>
          <w:tcPr>
            <w:tcW w:w="959" w:type="pct"/>
            <w:vAlign w:val="center"/>
          </w:tcPr>
          <w:p>
            <w:pPr>
              <w:jc w:val="center"/>
            </w:pPr>
            <w:r>
              <w:t>＜0.09</w:t>
            </w:r>
          </w:p>
        </w:tc>
        <w:tc>
          <w:tcPr>
            <w:tcW w:w="965"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rPr>
                <w:rFonts w:ascii="宋体" w:hAnsi="宋体" w:cs="宋体"/>
              </w:rPr>
            </w:pPr>
            <w:r>
              <w:rPr>
                <w:rFonts w:hint="eastAsia"/>
              </w:rPr>
              <w:t>苯胺，</w:t>
            </w:r>
            <w:r>
              <w:t>mg/kg</w:t>
            </w:r>
          </w:p>
        </w:tc>
        <w:tc>
          <w:tcPr>
            <w:tcW w:w="960" w:type="pct"/>
            <w:vAlign w:val="center"/>
          </w:tcPr>
          <w:p>
            <w:pPr>
              <w:jc w:val="center"/>
            </w:pPr>
            <w:r>
              <w:t>＜0.</w:t>
            </w:r>
            <w:r>
              <w:rPr>
                <w:rFonts w:hint="eastAsia"/>
              </w:rPr>
              <w:t>1</w:t>
            </w:r>
          </w:p>
        </w:tc>
        <w:tc>
          <w:tcPr>
            <w:tcW w:w="960" w:type="pct"/>
            <w:vAlign w:val="center"/>
          </w:tcPr>
          <w:p>
            <w:pPr>
              <w:jc w:val="center"/>
            </w:pPr>
            <w:r>
              <w:t>＜0.</w:t>
            </w:r>
            <w:r>
              <w:rPr>
                <w:rFonts w:hint="eastAsia"/>
              </w:rPr>
              <w:t>1</w:t>
            </w:r>
          </w:p>
        </w:tc>
        <w:tc>
          <w:tcPr>
            <w:tcW w:w="959" w:type="pct"/>
            <w:vAlign w:val="center"/>
          </w:tcPr>
          <w:p>
            <w:pPr>
              <w:jc w:val="center"/>
            </w:pPr>
            <w:r>
              <w:t>＜0.</w:t>
            </w:r>
            <w:r>
              <w:rPr>
                <w:rFonts w:hint="eastAsia"/>
              </w:rPr>
              <w:t>1</w:t>
            </w:r>
          </w:p>
        </w:tc>
        <w:tc>
          <w:tcPr>
            <w:tcW w:w="965"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t>2-</w:t>
            </w:r>
            <w:r>
              <w:rPr>
                <w:rFonts w:hint="eastAsia"/>
              </w:rPr>
              <w:t>氯酚，</w:t>
            </w:r>
            <w:r>
              <w:t>mg/kg</w:t>
            </w:r>
          </w:p>
        </w:tc>
        <w:tc>
          <w:tcPr>
            <w:tcW w:w="960" w:type="pct"/>
            <w:vAlign w:val="center"/>
          </w:tcPr>
          <w:p>
            <w:pPr>
              <w:jc w:val="center"/>
            </w:pPr>
            <w:r>
              <w:t>＜0.06</w:t>
            </w:r>
          </w:p>
        </w:tc>
        <w:tc>
          <w:tcPr>
            <w:tcW w:w="960" w:type="pct"/>
            <w:vAlign w:val="center"/>
          </w:tcPr>
          <w:p>
            <w:pPr>
              <w:jc w:val="center"/>
            </w:pPr>
            <w:r>
              <w:t>＜0.06</w:t>
            </w:r>
          </w:p>
        </w:tc>
        <w:tc>
          <w:tcPr>
            <w:tcW w:w="959" w:type="pct"/>
            <w:vAlign w:val="center"/>
          </w:tcPr>
          <w:p>
            <w:pPr>
              <w:jc w:val="center"/>
            </w:pPr>
            <w:r>
              <w:t>＜0.06</w:t>
            </w:r>
          </w:p>
        </w:tc>
        <w:tc>
          <w:tcPr>
            <w:tcW w:w="965"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苯并（a）蒽，</w:t>
            </w:r>
            <w:r>
              <w:t>mg/kg</w:t>
            </w:r>
          </w:p>
        </w:tc>
        <w:tc>
          <w:tcPr>
            <w:tcW w:w="960" w:type="pct"/>
            <w:vAlign w:val="center"/>
          </w:tcPr>
          <w:p>
            <w:pPr>
              <w:jc w:val="center"/>
            </w:pPr>
            <w:r>
              <w:t>＜0.1</w:t>
            </w:r>
          </w:p>
        </w:tc>
        <w:tc>
          <w:tcPr>
            <w:tcW w:w="960" w:type="pct"/>
            <w:vAlign w:val="center"/>
          </w:tcPr>
          <w:p>
            <w:pPr>
              <w:jc w:val="center"/>
            </w:pPr>
            <w:r>
              <w:t>＜0.1</w:t>
            </w:r>
          </w:p>
        </w:tc>
        <w:tc>
          <w:tcPr>
            <w:tcW w:w="959" w:type="pct"/>
            <w:vAlign w:val="center"/>
          </w:tcPr>
          <w:p>
            <w:pPr>
              <w:jc w:val="center"/>
            </w:pPr>
            <w:r>
              <w:t>＜0.1</w:t>
            </w:r>
          </w:p>
        </w:tc>
        <w:tc>
          <w:tcPr>
            <w:tcW w:w="965"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苯并（a）芘，</w:t>
            </w:r>
            <w:r>
              <w:t>mg/kg</w:t>
            </w:r>
          </w:p>
        </w:tc>
        <w:tc>
          <w:tcPr>
            <w:tcW w:w="960"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59" w:type="pct"/>
            <w:vAlign w:val="center"/>
          </w:tcPr>
          <w:p>
            <w:pPr>
              <w:jc w:val="center"/>
            </w:pPr>
            <w:r>
              <w:t>＜</w:t>
            </w:r>
            <w:r>
              <w:rPr>
                <w:rFonts w:hint="eastAsia"/>
              </w:rPr>
              <w:t>0.1</w:t>
            </w:r>
          </w:p>
        </w:tc>
        <w:tc>
          <w:tcPr>
            <w:tcW w:w="965"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苯并（b）荧蒽，</w:t>
            </w:r>
            <w:r>
              <w:t>mg/kg</w:t>
            </w:r>
          </w:p>
        </w:tc>
        <w:tc>
          <w:tcPr>
            <w:tcW w:w="960" w:type="pct"/>
            <w:vAlign w:val="center"/>
          </w:tcPr>
          <w:p>
            <w:pPr>
              <w:jc w:val="center"/>
            </w:pPr>
            <w:r>
              <w:t>＜0.2</w:t>
            </w:r>
          </w:p>
        </w:tc>
        <w:tc>
          <w:tcPr>
            <w:tcW w:w="960" w:type="pct"/>
            <w:vAlign w:val="center"/>
          </w:tcPr>
          <w:p>
            <w:pPr>
              <w:jc w:val="center"/>
            </w:pPr>
            <w:r>
              <w:t>＜0.2</w:t>
            </w:r>
          </w:p>
        </w:tc>
        <w:tc>
          <w:tcPr>
            <w:tcW w:w="959" w:type="pct"/>
            <w:vAlign w:val="center"/>
          </w:tcPr>
          <w:p>
            <w:pPr>
              <w:jc w:val="center"/>
            </w:pPr>
            <w:r>
              <w:t>＜0.2</w:t>
            </w:r>
          </w:p>
        </w:tc>
        <w:tc>
          <w:tcPr>
            <w:tcW w:w="965"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苯并（k）荧蒽，</w:t>
            </w:r>
            <w:r>
              <w:t>mg/kg</w:t>
            </w:r>
          </w:p>
        </w:tc>
        <w:tc>
          <w:tcPr>
            <w:tcW w:w="960" w:type="pct"/>
            <w:vAlign w:val="center"/>
          </w:tcPr>
          <w:p>
            <w:pPr>
              <w:jc w:val="center"/>
            </w:pPr>
            <w:r>
              <w:t>＜0.1</w:t>
            </w:r>
          </w:p>
        </w:tc>
        <w:tc>
          <w:tcPr>
            <w:tcW w:w="960" w:type="pct"/>
            <w:vAlign w:val="center"/>
          </w:tcPr>
          <w:p>
            <w:pPr>
              <w:jc w:val="center"/>
            </w:pPr>
            <w:r>
              <w:t>＜0.1</w:t>
            </w:r>
          </w:p>
        </w:tc>
        <w:tc>
          <w:tcPr>
            <w:tcW w:w="959" w:type="pct"/>
            <w:vAlign w:val="center"/>
          </w:tcPr>
          <w:p>
            <w:pPr>
              <w:jc w:val="center"/>
            </w:pPr>
            <w:r>
              <w:t>＜0.1</w:t>
            </w:r>
          </w:p>
        </w:tc>
        <w:tc>
          <w:tcPr>
            <w:tcW w:w="965"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䓛，</w:t>
            </w:r>
            <w:r>
              <w:t>mg/kg</w:t>
            </w:r>
          </w:p>
        </w:tc>
        <w:tc>
          <w:tcPr>
            <w:tcW w:w="960" w:type="pct"/>
            <w:vAlign w:val="center"/>
          </w:tcPr>
          <w:p>
            <w:pPr>
              <w:jc w:val="center"/>
            </w:pPr>
            <w:r>
              <w:t>＜0.1</w:t>
            </w:r>
          </w:p>
        </w:tc>
        <w:tc>
          <w:tcPr>
            <w:tcW w:w="960" w:type="pct"/>
            <w:vAlign w:val="center"/>
          </w:tcPr>
          <w:p>
            <w:pPr>
              <w:jc w:val="center"/>
            </w:pPr>
            <w:r>
              <w:t>＜0.1</w:t>
            </w:r>
          </w:p>
        </w:tc>
        <w:tc>
          <w:tcPr>
            <w:tcW w:w="959" w:type="pct"/>
            <w:vAlign w:val="center"/>
          </w:tcPr>
          <w:p>
            <w:pPr>
              <w:jc w:val="center"/>
            </w:pPr>
            <w:r>
              <w:t>＜0.1</w:t>
            </w:r>
          </w:p>
        </w:tc>
        <w:tc>
          <w:tcPr>
            <w:tcW w:w="965"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二苯并（a,h）蒽，</w:t>
            </w:r>
            <w:r>
              <w:t>mg/kg</w:t>
            </w:r>
          </w:p>
        </w:tc>
        <w:tc>
          <w:tcPr>
            <w:tcW w:w="960"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59" w:type="pct"/>
            <w:vAlign w:val="center"/>
          </w:tcPr>
          <w:p>
            <w:pPr>
              <w:jc w:val="center"/>
            </w:pPr>
            <w:r>
              <w:t>＜</w:t>
            </w:r>
            <w:r>
              <w:rPr>
                <w:rFonts w:hint="eastAsia"/>
              </w:rPr>
              <w:t>0.1</w:t>
            </w:r>
          </w:p>
        </w:tc>
        <w:tc>
          <w:tcPr>
            <w:tcW w:w="965"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茚并（1,2,3-c,d）芘，</w:t>
            </w:r>
            <w:r>
              <w:t>mg/kg</w:t>
            </w:r>
          </w:p>
        </w:tc>
        <w:tc>
          <w:tcPr>
            <w:tcW w:w="960" w:type="pct"/>
            <w:vAlign w:val="center"/>
          </w:tcPr>
          <w:p>
            <w:pPr>
              <w:jc w:val="center"/>
            </w:pPr>
            <w:r>
              <w:t>＜0.1</w:t>
            </w:r>
          </w:p>
        </w:tc>
        <w:tc>
          <w:tcPr>
            <w:tcW w:w="960" w:type="pct"/>
            <w:vAlign w:val="center"/>
          </w:tcPr>
          <w:p>
            <w:pPr>
              <w:jc w:val="center"/>
            </w:pPr>
            <w:r>
              <w:t>＜0.1</w:t>
            </w:r>
          </w:p>
        </w:tc>
        <w:tc>
          <w:tcPr>
            <w:tcW w:w="959" w:type="pct"/>
            <w:vAlign w:val="center"/>
          </w:tcPr>
          <w:p>
            <w:pPr>
              <w:jc w:val="center"/>
            </w:pPr>
            <w:r>
              <w:t>＜0.1</w:t>
            </w:r>
          </w:p>
        </w:tc>
        <w:tc>
          <w:tcPr>
            <w:tcW w:w="965"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8" w:hRule="atLeast"/>
        </w:trPr>
        <w:tc>
          <w:tcPr>
            <w:tcW w:w="1154" w:type="pct"/>
            <w:vAlign w:val="center"/>
          </w:tcPr>
          <w:p>
            <w:pPr>
              <w:jc w:val="center"/>
            </w:pPr>
            <w:r>
              <w:rPr>
                <w:rFonts w:hint="eastAsia"/>
              </w:rPr>
              <w:t>萘，</w:t>
            </w:r>
            <w:r>
              <w:t>mg/kg</w:t>
            </w:r>
          </w:p>
        </w:tc>
        <w:tc>
          <w:tcPr>
            <w:tcW w:w="960" w:type="pct"/>
            <w:vAlign w:val="center"/>
          </w:tcPr>
          <w:p>
            <w:pPr>
              <w:jc w:val="center"/>
            </w:pPr>
            <w:r>
              <w:t>＜0.09</w:t>
            </w:r>
          </w:p>
        </w:tc>
        <w:tc>
          <w:tcPr>
            <w:tcW w:w="960" w:type="pct"/>
            <w:vAlign w:val="center"/>
          </w:tcPr>
          <w:p>
            <w:pPr>
              <w:jc w:val="center"/>
            </w:pPr>
            <w:r>
              <w:t>＜0.09</w:t>
            </w:r>
          </w:p>
        </w:tc>
        <w:tc>
          <w:tcPr>
            <w:tcW w:w="959" w:type="pct"/>
            <w:vAlign w:val="center"/>
          </w:tcPr>
          <w:p>
            <w:pPr>
              <w:jc w:val="center"/>
            </w:pPr>
            <w:r>
              <w:t>＜0.09</w:t>
            </w:r>
          </w:p>
        </w:tc>
        <w:tc>
          <w:tcPr>
            <w:tcW w:w="965" w:type="pct"/>
            <w:vAlign w:val="center"/>
          </w:tcPr>
          <w:p>
            <w:pPr>
              <w:jc w:val="center"/>
            </w:pPr>
            <w:r>
              <w:t>＜0.09</w:t>
            </w:r>
          </w:p>
        </w:tc>
      </w:tr>
    </w:tbl>
    <w:p>
      <w:pPr>
        <w:pStyle w:val="20"/>
        <w:ind w:firstLine="480"/>
      </w:pPr>
    </w:p>
    <w:p>
      <w:pPr>
        <w:pStyle w:val="20"/>
        <w:ind w:firstLine="480"/>
      </w:pPr>
      <w:r>
        <w:br w:type="page"/>
      </w:r>
    </w:p>
    <w:p>
      <w:pPr>
        <w:pStyle w:val="32"/>
        <w:tabs>
          <w:tab w:val="left" w:pos="4540"/>
          <w:tab w:val="clear" w:pos="900"/>
        </w:tabs>
      </w:pPr>
      <w:r>
        <w:t>表4.3-</w:t>
      </w:r>
      <w:r>
        <w:rPr>
          <w:rFonts w:hint="eastAsia"/>
        </w:rPr>
        <w:t>12（6）                土壤检测结果</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1701"/>
        <w:gridCol w:w="1701"/>
        <w:gridCol w:w="1699"/>
        <w:gridCol w:w="17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spacing w:before="60" w:beforeLines="25" w:after="60" w:afterLines="25"/>
              <w:jc w:val="center"/>
              <w:rPr>
                <w:b/>
                <w:bCs/>
              </w:rPr>
            </w:pPr>
            <w:r>
              <w:rPr>
                <w:rFonts w:hint="eastAsia"/>
                <w:b/>
                <w:bCs/>
              </w:rPr>
              <w:t>监 测 项 目</w:t>
            </w:r>
          </w:p>
        </w:tc>
        <w:tc>
          <w:tcPr>
            <w:tcW w:w="927" w:type="pct"/>
            <w:vAlign w:val="center"/>
          </w:tcPr>
          <w:p>
            <w:pPr>
              <w:widowControl/>
              <w:jc w:val="center"/>
              <w:rPr>
                <w:b/>
                <w:bCs/>
              </w:rPr>
            </w:pPr>
            <w:r>
              <w:rPr>
                <w:b/>
                <w:bCs/>
              </w:rPr>
              <w:t>H02784545</w:t>
            </w:r>
          </w:p>
          <w:p>
            <w:pPr>
              <w:widowControl/>
              <w:jc w:val="center"/>
              <w:rPr>
                <w:b/>
                <w:bCs/>
              </w:rPr>
            </w:pPr>
            <w:r>
              <w:rPr>
                <w:b/>
                <w:bCs/>
              </w:rPr>
              <w:t xml:space="preserve">土壤   </w:t>
            </w:r>
          </w:p>
          <w:p>
            <w:pPr>
              <w:widowControl/>
              <w:jc w:val="center"/>
              <w:rPr>
                <w:b/>
                <w:bCs/>
                <w:kern w:val="0"/>
              </w:rPr>
            </w:pPr>
            <w:r>
              <w:rPr>
                <w:b/>
                <w:bCs/>
              </w:rPr>
              <w:t>5#现有MMA装置区（罐区附近）0-0.2m</w:t>
            </w:r>
          </w:p>
        </w:tc>
        <w:tc>
          <w:tcPr>
            <w:tcW w:w="927" w:type="pct"/>
            <w:vAlign w:val="center"/>
          </w:tcPr>
          <w:p>
            <w:pPr>
              <w:widowControl/>
              <w:jc w:val="center"/>
              <w:rPr>
                <w:b/>
                <w:bCs/>
              </w:rPr>
            </w:pPr>
            <w:r>
              <w:rPr>
                <w:b/>
                <w:bCs/>
              </w:rPr>
              <w:t>H02785545</w:t>
            </w:r>
          </w:p>
          <w:p>
            <w:pPr>
              <w:widowControl/>
              <w:jc w:val="center"/>
              <w:rPr>
                <w:b/>
                <w:bCs/>
              </w:rPr>
            </w:pPr>
            <w:r>
              <w:rPr>
                <w:b/>
                <w:bCs/>
              </w:rPr>
              <w:t xml:space="preserve">土壤   </w:t>
            </w:r>
          </w:p>
          <w:p>
            <w:pPr>
              <w:widowControl/>
              <w:jc w:val="center"/>
              <w:rPr>
                <w:b/>
                <w:bCs/>
                <w:kern w:val="0"/>
              </w:rPr>
            </w:pPr>
            <w:r>
              <w:rPr>
                <w:b/>
                <w:bCs/>
              </w:rPr>
              <w:t>6#现有甲醇装置区（甲醇罐区附近）0-0.5m</w:t>
            </w:r>
          </w:p>
        </w:tc>
        <w:tc>
          <w:tcPr>
            <w:tcW w:w="926" w:type="pct"/>
            <w:vAlign w:val="center"/>
          </w:tcPr>
          <w:p>
            <w:pPr>
              <w:widowControl/>
              <w:jc w:val="center"/>
              <w:rPr>
                <w:b/>
                <w:bCs/>
              </w:rPr>
            </w:pPr>
            <w:r>
              <w:rPr>
                <w:b/>
                <w:bCs/>
              </w:rPr>
              <w:t>H02786545</w:t>
            </w:r>
          </w:p>
          <w:p>
            <w:pPr>
              <w:widowControl/>
              <w:jc w:val="center"/>
              <w:rPr>
                <w:b/>
                <w:bCs/>
              </w:rPr>
            </w:pPr>
            <w:r>
              <w:rPr>
                <w:b/>
                <w:bCs/>
              </w:rPr>
              <w:t xml:space="preserve">土壤   </w:t>
            </w:r>
          </w:p>
          <w:p>
            <w:pPr>
              <w:widowControl/>
              <w:jc w:val="center"/>
              <w:rPr>
                <w:b/>
                <w:bCs/>
                <w:kern w:val="0"/>
              </w:rPr>
            </w:pPr>
            <w:r>
              <w:rPr>
                <w:b/>
                <w:bCs/>
              </w:rPr>
              <w:t>6#现有甲醇装置区（甲醇罐区附近）0.5-1.5m</w:t>
            </w:r>
          </w:p>
        </w:tc>
        <w:tc>
          <w:tcPr>
            <w:tcW w:w="931" w:type="pct"/>
            <w:vAlign w:val="center"/>
          </w:tcPr>
          <w:p>
            <w:pPr>
              <w:widowControl/>
              <w:jc w:val="center"/>
              <w:rPr>
                <w:b/>
                <w:bCs/>
              </w:rPr>
            </w:pPr>
            <w:r>
              <w:rPr>
                <w:b/>
                <w:bCs/>
              </w:rPr>
              <w:t>H02787545</w:t>
            </w:r>
          </w:p>
          <w:p>
            <w:pPr>
              <w:widowControl/>
              <w:jc w:val="center"/>
              <w:rPr>
                <w:b/>
                <w:bCs/>
              </w:rPr>
            </w:pPr>
            <w:r>
              <w:rPr>
                <w:b/>
                <w:bCs/>
              </w:rPr>
              <w:t xml:space="preserve">土壤   </w:t>
            </w:r>
          </w:p>
          <w:p>
            <w:pPr>
              <w:widowControl/>
              <w:jc w:val="center"/>
              <w:rPr>
                <w:b/>
                <w:bCs/>
                <w:kern w:val="0"/>
              </w:rPr>
            </w:pPr>
            <w:r>
              <w:rPr>
                <w:b/>
                <w:bCs/>
              </w:rPr>
              <w:t>6#现有甲醇装置区（甲醇罐区附近）1.5-3.0m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pH</w:t>
            </w:r>
            <w:r>
              <w:rPr>
                <w:rFonts w:hAnsi="宋体"/>
              </w:rPr>
              <w:t>（无量纲）</w:t>
            </w:r>
          </w:p>
        </w:tc>
        <w:tc>
          <w:tcPr>
            <w:tcW w:w="927" w:type="pct"/>
            <w:vAlign w:val="center"/>
          </w:tcPr>
          <w:p>
            <w:pPr>
              <w:widowControl/>
              <w:jc w:val="center"/>
              <w:rPr>
                <w:kern w:val="0"/>
              </w:rPr>
            </w:pPr>
            <w:r>
              <w:t>8.89</w:t>
            </w:r>
          </w:p>
        </w:tc>
        <w:tc>
          <w:tcPr>
            <w:tcW w:w="927" w:type="pct"/>
            <w:vAlign w:val="center"/>
          </w:tcPr>
          <w:p>
            <w:pPr>
              <w:jc w:val="center"/>
            </w:pPr>
            <w:r>
              <w:t>8.82</w:t>
            </w:r>
          </w:p>
        </w:tc>
        <w:tc>
          <w:tcPr>
            <w:tcW w:w="926" w:type="pct"/>
            <w:vAlign w:val="center"/>
          </w:tcPr>
          <w:p>
            <w:pPr>
              <w:jc w:val="center"/>
            </w:pPr>
            <w:r>
              <w:t>9.03</w:t>
            </w:r>
          </w:p>
        </w:tc>
        <w:tc>
          <w:tcPr>
            <w:tcW w:w="931" w:type="pct"/>
            <w:vAlign w:val="center"/>
          </w:tcPr>
          <w:p>
            <w:pPr>
              <w:jc w:val="center"/>
            </w:pPr>
            <w:r>
              <w:t>9.14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总砷，mg/kg</w:t>
            </w:r>
          </w:p>
        </w:tc>
        <w:tc>
          <w:tcPr>
            <w:tcW w:w="927" w:type="pct"/>
            <w:vAlign w:val="center"/>
          </w:tcPr>
          <w:p>
            <w:pPr>
              <w:jc w:val="center"/>
            </w:pPr>
            <w:r>
              <w:t>6.12</w:t>
            </w:r>
          </w:p>
        </w:tc>
        <w:tc>
          <w:tcPr>
            <w:tcW w:w="927" w:type="pct"/>
            <w:vAlign w:val="center"/>
          </w:tcPr>
          <w:p>
            <w:pPr>
              <w:jc w:val="center"/>
            </w:pPr>
            <w:r>
              <w:t>7.92</w:t>
            </w:r>
          </w:p>
        </w:tc>
        <w:tc>
          <w:tcPr>
            <w:tcW w:w="926" w:type="pct"/>
            <w:vAlign w:val="center"/>
          </w:tcPr>
          <w:p>
            <w:pPr>
              <w:jc w:val="center"/>
            </w:pPr>
            <w:r>
              <w:t>6.13</w:t>
            </w:r>
          </w:p>
        </w:tc>
        <w:tc>
          <w:tcPr>
            <w:tcW w:w="931" w:type="pct"/>
            <w:vAlign w:val="center"/>
          </w:tcPr>
          <w:p>
            <w:pPr>
              <w:jc w:val="center"/>
            </w:pPr>
            <w:r>
              <w:t>5.99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镉，mg/kg</w:t>
            </w:r>
          </w:p>
        </w:tc>
        <w:tc>
          <w:tcPr>
            <w:tcW w:w="927" w:type="pct"/>
            <w:vAlign w:val="center"/>
          </w:tcPr>
          <w:p>
            <w:pPr>
              <w:jc w:val="center"/>
            </w:pPr>
            <w:r>
              <w:t>0.07</w:t>
            </w:r>
          </w:p>
        </w:tc>
        <w:tc>
          <w:tcPr>
            <w:tcW w:w="927" w:type="pct"/>
            <w:vAlign w:val="center"/>
          </w:tcPr>
          <w:p>
            <w:pPr>
              <w:jc w:val="center"/>
            </w:pPr>
            <w:r>
              <w:t>0.12</w:t>
            </w:r>
          </w:p>
        </w:tc>
        <w:tc>
          <w:tcPr>
            <w:tcW w:w="926" w:type="pct"/>
            <w:vAlign w:val="center"/>
          </w:tcPr>
          <w:p>
            <w:pPr>
              <w:jc w:val="center"/>
            </w:pPr>
            <w:r>
              <w:t>0.07</w:t>
            </w:r>
          </w:p>
        </w:tc>
        <w:tc>
          <w:tcPr>
            <w:tcW w:w="931" w:type="pct"/>
            <w:vAlign w:val="center"/>
          </w:tcPr>
          <w:p>
            <w:pPr>
              <w:jc w:val="center"/>
            </w:pPr>
            <w:r>
              <w:t>0.05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铬（六价），mg/kg</w:t>
            </w:r>
          </w:p>
        </w:tc>
        <w:tc>
          <w:tcPr>
            <w:tcW w:w="927" w:type="pct"/>
            <w:vAlign w:val="center"/>
          </w:tcPr>
          <w:p>
            <w:pPr>
              <w:jc w:val="center"/>
            </w:pPr>
            <w:r>
              <w:t>1.3</w:t>
            </w:r>
          </w:p>
        </w:tc>
        <w:tc>
          <w:tcPr>
            <w:tcW w:w="927" w:type="pct"/>
            <w:vAlign w:val="center"/>
          </w:tcPr>
          <w:p>
            <w:pPr>
              <w:jc w:val="center"/>
            </w:pPr>
            <w:r>
              <w:t>3.2</w:t>
            </w:r>
          </w:p>
        </w:tc>
        <w:tc>
          <w:tcPr>
            <w:tcW w:w="926" w:type="pct"/>
            <w:vAlign w:val="center"/>
          </w:tcPr>
          <w:p>
            <w:pPr>
              <w:jc w:val="center"/>
            </w:pPr>
            <w:r>
              <w:t>1.5</w:t>
            </w:r>
          </w:p>
        </w:tc>
        <w:tc>
          <w:tcPr>
            <w:tcW w:w="931" w:type="pct"/>
            <w:vAlign w:val="center"/>
          </w:tcPr>
          <w:p>
            <w:pPr>
              <w:jc w:val="center"/>
            </w:pPr>
            <w:r>
              <w:t>1.3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铜，mg/kg</w:t>
            </w:r>
          </w:p>
        </w:tc>
        <w:tc>
          <w:tcPr>
            <w:tcW w:w="927" w:type="pct"/>
            <w:vAlign w:val="center"/>
          </w:tcPr>
          <w:p>
            <w:pPr>
              <w:jc w:val="center"/>
            </w:pPr>
            <w:r>
              <w:t>11</w:t>
            </w:r>
          </w:p>
        </w:tc>
        <w:tc>
          <w:tcPr>
            <w:tcW w:w="927" w:type="pct"/>
            <w:vAlign w:val="center"/>
          </w:tcPr>
          <w:p>
            <w:pPr>
              <w:jc w:val="center"/>
            </w:pPr>
            <w:r>
              <w:t>12</w:t>
            </w:r>
          </w:p>
        </w:tc>
        <w:tc>
          <w:tcPr>
            <w:tcW w:w="926" w:type="pct"/>
            <w:vAlign w:val="center"/>
          </w:tcPr>
          <w:p>
            <w:pPr>
              <w:jc w:val="center"/>
            </w:pPr>
            <w:r>
              <w:t>11</w:t>
            </w:r>
          </w:p>
        </w:tc>
        <w:tc>
          <w:tcPr>
            <w:tcW w:w="931" w:type="pct"/>
            <w:vAlign w:val="center"/>
          </w:tcPr>
          <w:p>
            <w:pPr>
              <w:jc w:val="center"/>
            </w:pPr>
            <w: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铅，mg/kg</w:t>
            </w:r>
          </w:p>
        </w:tc>
        <w:tc>
          <w:tcPr>
            <w:tcW w:w="927" w:type="pct"/>
            <w:vAlign w:val="center"/>
          </w:tcPr>
          <w:p>
            <w:pPr>
              <w:jc w:val="center"/>
            </w:pPr>
            <w:r>
              <w:t>15.4</w:t>
            </w:r>
          </w:p>
        </w:tc>
        <w:tc>
          <w:tcPr>
            <w:tcW w:w="927" w:type="pct"/>
            <w:vAlign w:val="center"/>
          </w:tcPr>
          <w:p>
            <w:pPr>
              <w:jc w:val="center"/>
            </w:pPr>
            <w:r>
              <w:t>18.3</w:t>
            </w:r>
          </w:p>
        </w:tc>
        <w:tc>
          <w:tcPr>
            <w:tcW w:w="926" w:type="pct"/>
            <w:vAlign w:val="center"/>
          </w:tcPr>
          <w:p>
            <w:pPr>
              <w:jc w:val="center"/>
            </w:pPr>
            <w:r>
              <w:t>14.6</w:t>
            </w:r>
          </w:p>
        </w:tc>
        <w:tc>
          <w:tcPr>
            <w:tcW w:w="931" w:type="pct"/>
            <w:vAlign w:val="center"/>
          </w:tcPr>
          <w:p>
            <w:pPr>
              <w:jc w:val="center"/>
            </w:pPr>
            <w:r>
              <w:t>13.8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rPr>
                <w:rFonts w:hint="eastAsia"/>
              </w:rPr>
              <w:t>总汞，mg/kg</w:t>
            </w:r>
          </w:p>
        </w:tc>
        <w:tc>
          <w:tcPr>
            <w:tcW w:w="927" w:type="pct"/>
            <w:vAlign w:val="center"/>
          </w:tcPr>
          <w:p>
            <w:pPr>
              <w:jc w:val="center"/>
            </w:pPr>
            <w:r>
              <w:t>0.010</w:t>
            </w:r>
          </w:p>
        </w:tc>
        <w:tc>
          <w:tcPr>
            <w:tcW w:w="927" w:type="pct"/>
            <w:vAlign w:val="center"/>
          </w:tcPr>
          <w:p>
            <w:pPr>
              <w:jc w:val="center"/>
            </w:pPr>
            <w:r>
              <w:t>0.056</w:t>
            </w:r>
          </w:p>
        </w:tc>
        <w:tc>
          <w:tcPr>
            <w:tcW w:w="926" w:type="pct"/>
            <w:vAlign w:val="center"/>
          </w:tcPr>
          <w:p>
            <w:pPr>
              <w:jc w:val="center"/>
            </w:pPr>
            <w:r>
              <w:t>0.006</w:t>
            </w:r>
          </w:p>
        </w:tc>
        <w:tc>
          <w:tcPr>
            <w:tcW w:w="931" w:type="pct"/>
            <w:vAlign w:val="center"/>
          </w:tcPr>
          <w:p>
            <w:pPr>
              <w:jc w:val="center"/>
            </w:pPr>
            <w:r>
              <w:t>0.008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widowControl/>
              <w:jc w:val="center"/>
            </w:pPr>
            <w:r>
              <w:rPr>
                <w:rFonts w:hint="eastAsia"/>
              </w:rPr>
              <w:t>镍，mg/kg</w:t>
            </w:r>
          </w:p>
        </w:tc>
        <w:tc>
          <w:tcPr>
            <w:tcW w:w="927" w:type="pct"/>
            <w:vAlign w:val="center"/>
          </w:tcPr>
          <w:p>
            <w:pPr>
              <w:jc w:val="center"/>
            </w:pPr>
            <w:r>
              <w:t>18</w:t>
            </w:r>
          </w:p>
        </w:tc>
        <w:tc>
          <w:tcPr>
            <w:tcW w:w="927" w:type="pct"/>
            <w:vAlign w:val="center"/>
          </w:tcPr>
          <w:p>
            <w:pPr>
              <w:jc w:val="center"/>
            </w:pPr>
            <w:r>
              <w:t>18</w:t>
            </w:r>
          </w:p>
        </w:tc>
        <w:tc>
          <w:tcPr>
            <w:tcW w:w="926" w:type="pct"/>
            <w:vAlign w:val="center"/>
          </w:tcPr>
          <w:p>
            <w:pPr>
              <w:jc w:val="center"/>
            </w:pPr>
            <w:r>
              <w:t>17</w:t>
            </w:r>
          </w:p>
        </w:tc>
        <w:tc>
          <w:tcPr>
            <w:tcW w:w="931" w:type="pct"/>
            <w:vAlign w:val="center"/>
          </w:tcPr>
          <w:p>
            <w:pPr>
              <w:jc w:val="center"/>
            </w:pPr>
            <w: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927" w:type="pct"/>
            <w:vAlign w:val="center"/>
          </w:tcPr>
          <w:p>
            <w:pPr>
              <w:jc w:val="center"/>
            </w:pPr>
            <w:r>
              <w:t>30</w:t>
            </w:r>
          </w:p>
        </w:tc>
        <w:tc>
          <w:tcPr>
            <w:tcW w:w="927" w:type="pct"/>
            <w:vAlign w:val="center"/>
          </w:tcPr>
          <w:p>
            <w:pPr>
              <w:jc w:val="center"/>
            </w:pPr>
            <w:r>
              <w:t>37</w:t>
            </w:r>
          </w:p>
        </w:tc>
        <w:tc>
          <w:tcPr>
            <w:tcW w:w="926" w:type="pct"/>
            <w:vAlign w:val="center"/>
          </w:tcPr>
          <w:p>
            <w:pPr>
              <w:jc w:val="center"/>
            </w:pPr>
            <w:r>
              <w:t>111</w:t>
            </w:r>
          </w:p>
        </w:tc>
        <w:tc>
          <w:tcPr>
            <w:tcW w:w="931" w:type="pct"/>
            <w:vAlign w:val="center"/>
          </w:tcPr>
          <w:p>
            <w:pPr>
              <w:jc w:val="center"/>
            </w:pPr>
            <w: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四氯化碳，mg/kg</w:t>
            </w:r>
          </w:p>
        </w:tc>
        <w:tc>
          <w:tcPr>
            <w:tcW w:w="927" w:type="pct"/>
            <w:vAlign w:val="center"/>
          </w:tcPr>
          <w:p>
            <w:pPr>
              <w:jc w:val="center"/>
            </w:pPr>
            <w:r>
              <w:t>＜1.</w:t>
            </w:r>
            <w:r>
              <w:rPr>
                <w:rFonts w:hint="eastAsia"/>
              </w:rPr>
              <w:t>3</w:t>
            </w:r>
            <w:r>
              <w:t>×10</w:t>
            </w:r>
            <w:r>
              <w:rPr>
                <w:vertAlign w:val="superscript"/>
              </w:rPr>
              <w:t>-3</w:t>
            </w:r>
          </w:p>
        </w:tc>
        <w:tc>
          <w:tcPr>
            <w:tcW w:w="927" w:type="pct"/>
            <w:vAlign w:val="center"/>
          </w:tcPr>
          <w:p>
            <w:pPr>
              <w:jc w:val="center"/>
            </w:pPr>
            <w:r>
              <w:t>＜1.</w:t>
            </w:r>
            <w:r>
              <w:rPr>
                <w:rFonts w:hint="eastAsia"/>
              </w:rPr>
              <w:t>3</w:t>
            </w:r>
            <w:r>
              <w:t>×10</w:t>
            </w:r>
            <w:r>
              <w:rPr>
                <w:vertAlign w:val="superscript"/>
              </w:rPr>
              <w:t>-3</w:t>
            </w:r>
          </w:p>
        </w:tc>
        <w:tc>
          <w:tcPr>
            <w:tcW w:w="926" w:type="pct"/>
            <w:vAlign w:val="center"/>
          </w:tcPr>
          <w:p>
            <w:pPr>
              <w:jc w:val="center"/>
            </w:pPr>
            <w:r>
              <w:t>＜1.</w:t>
            </w:r>
            <w:r>
              <w:rPr>
                <w:rFonts w:hint="eastAsia"/>
              </w:rPr>
              <w:t>3</w:t>
            </w:r>
            <w:r>
              <w:t>×10</w:t>
            </w:r>
            <w:r>
              <w:rPr>
                <w:vertAlign w:val="superscript"/>
              </w:rPr>
              <w:t>-3</w:t>
            </w:r>
          </w:p>
        </w:tc>
        <w:tc>
          <w:tcPr>
            <w:tcW w:w="931"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氯仿，mg/kg</w:t>
            </w:r>
          </w:p>
        </w:tc>
        <w:tc>
          <w:tcPr>
            <w:tcW w:w="927" w:type="pct"/>
            <w:vAlign w:val="center"/>
          </w:tcPr>
          <w:p>
            <w:pPr>
              <w:jc w:val="center"/>
            </w:pPr>
            <w:r>
              <w:t>＜</w:t>
            </w:r>
            <w:r>
              <w:rPr>
                <w:rFonts w:hint="eastAsia"/>
              </w:rPr>
              <w:t>1.1</w:t>
            </w:r>
            <w:r>
              <w:t>×10</w:t>
            </w:r>
            <w:r>
              <w:rPr>
                <w:vertAlign w:val="superscript"/>
              </w:rPr>
              <w:t>-3</w:t>
            </w:r>
          </w:p>
        </w:tc>
        <w:tc>
          <w:tcPr>
            <w:tcW w:w="927" w:type="pct"/>
            <w:vAlign w:val="center"/>
          </w:tcPr>
          <w:p>
            <w:pPr>
              <w:jc w:val="center"/>
            </w:pPr>
            <w:r>
              <w:t>＜</w:t>
            </w:r>
            <w:r>
              <w:rPr>
                <w:rFonts w:hint="eastAsia"/>
              </w:rPr>
              <w:t>1.1</w:t>
            </w:r>
            <w:r>
              <w:t>×10</w:t>
            </w:r>
            <w:r>
              <w:rPr>
                <w:vertAlign w:val="superscript"/>
              </w:rPr>
              <w:t>-3</w:t>
            </w:r>
          </w:p>
        </w:tc>
        <w:tc>
          <w:tcPr>
            <w:tcW w:w="926" w:type="pct"/>
            <w:vAlign w:val="center"/>
          </w:tcPr>
          <w:p>
            <w:pPr>
              <w:jc w:val="center"/>
            </w:pPr>
            <w:r>
              <w:t>＜</w:t>
            </w:r>
            <w:r>
              <w:rPr>
                <w:rFonts w:hint="eastAsia"/>
              </w:rPr>
              <w:t>1.1</w:t>
            </w:r>
            <w:r>
              <w:t>×10</w:t>
            </w:r>
            <w:r>
              <w:rPr>
                <w:vertAlign w:val="superscript"/>
              </w:rPr>
              <w:t>-3</w:t>
            </w:r>
          </w:p>
        </w:tc>
        <w:tc>
          <w:tcPr>
            <w:tcW w:w="931"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氯甲烷，</w:t>
            </w:r>
            <w:r>
              <w:t>mg/kg</w:t>
            </w:r>
          </w:p>
        </w:tc>
        <w:tc>
          <w:tcPr>
            <w:tcW w:w="927" w:type="pct"/>
            <w:vAlign w:val="center"/>
          </w:tcPr>
          <w:p>
            <w:pPr>
              <w:jc w:val="center"/>
            </w:pPr>
            <w:r>
              <w:t>＜1.0×10</w:t>
            </w:r>
            <w:r>
              <w:rPr>
                <w:vertAlign w:val="superscript"/>
              </w:rPr>
              <w:t>-3</w:t>
            </w:r>
          </w:p>
        </w:tc>
        <w:tc>
          <w:tcPr>
            <w:tcW w:w="927" w:type="pct"/>
            <w:vAlign w:val="center"/>
          </w:tcPr>
          <w:p>
            <w:pPr>
              <w:jc w:val="center"/>
            </w:pPr>
            <w:r>
              <w:t>＜1.0×10</w:t>
            </w:r>
            <w:r>
              <w:rPr>
                <w:vertAlign w:val="superscript"/>
              </w:rPr>
              <w:t>-3</w:t>
            </w:r>
          </w:p>
        </w:tc>
        <w:tc>
          <w:tcPr>
            <w:tcW w:w="926" w:type="pct"/>
            <w:vAlign w:val="center"/>
          </w:tcPr>
          <w:p>
            <w:pPr>
              <w:jc w:val="center"/>
            </w:pPr>
            <w:r>
              <w:t>＜1.0×10</w:t>
            </w:r>
            <w:r>
              <w:rPr>
                <w:vertAlign w:val="superscript"/>
              </w:rPr>
              <w:t>-3</w:t>
            </w:r>
          </w:p>
        </w:tc>
        <w:tc>
          <w:tcPr>
            <w:tcW w:w="931"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w:t>
            </w:r>
            <w:r>
              <w:rPr>
                <w:rFonts w:hint="eastAsia"/>
              </w:rPr>
              <w:t>二氯乙烷，</w:t>
            </w:r>
            <w:r>
              <w:t>mg/kg</w:t>
            </w:r>
          </w:p>
        </w:tc>
        <w:tc>
          <w:tcPr>
            <w:tcW w:w="927" w:type="pct"/>
            <w:vAlign w:val="center"/>
          </w:tcPr>
          <w:p>
            <w:pPr>
              <w:jc w:val="center"/>
            </w:pPr>
            <w:r>
              <w:t>＜</w:t>
            </w:r>
            <w:r>
              <w:rPr>
                <w:rFonts w:hint="eastAsia"/>
              </w:rPr>
              <w:t>1.2</w:t>
            </w:r>
            <w:r>
              <w:t>×10</w:t>
            </w:r>
            <w:r>
              <w:rPr>
                <w:vertAlign w:val="superscript"/>
              </w:rPr>
              <w:t>-3</w:t>
            </w:r>
          </w:p>
        </w:tc>
        <w:tc>
          <w:tcPr>
            <w:tcW w:w="927" w:type="pct"/>
            <w:vAlign w:val="center"/>
          </w:tcPr>
          <w:p>
            <w:pPr>
              <w:jc w:val="center"/>
            </w:pPr>
            <w:r>
              <w:t>＜</w:t>
            </w:r>
            <w:r>
              <w:rPr>
                <w:rFonts w:hint="eastAsia"/>
              </w:rPr>
              <w:t>1.2</w:t>
            </w:r>
            <w:r>
              <w:t>×10</w:t>
            </w:r>
            <w:r>
              <w:rPr>
                <w:vertAlign w:val="superscript"/>
              </w:rPr>
              <w:t>-3</w:t>
            </w:r>
          </w:p>
        </w:tc>
        <w:tc>
          <w:tcPr>
            <w:tcW w:w="926" w:type="pct"/>
            <w:vAlign w:val="center"/>
          </w:tcPr>
          <w:p>
            <w:pPr>
              <w:jc w:val="center"/>
            </w:pPr>
            <w:r>
              <w:t>＜</w:t>
            </w:r>
            <w:r>
              <w:rPr>
                <w:rFonts w:hint="eastAsia"/>
              </w:rPr>
              <w:t>1.2</w:t>
            </w:r>
            <w:r>
              <w:t>×10</w:t>
            </w:r>
            <w:r>
              <w:rPr>
                <w:vertAlign w:val="superscript"/>
              </w:rPr>
              <w:t>-3</w:t>
            </w:r>
          </w:p>
        </w:tc>
        <w:tc>
          <w:tcPr>
            <w:tcW w:w="931"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1,2-</w:t>
            </w:r>
            <w:r>
              <w:rPr>
                <w:rFonts w:hint="eastAsia"/>
              </w:rPr>
              <w:t>二氯乙烷，</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w:t>
            </w:r>
            <w:r>
              <w:rPr>
                <w:rFonts w:hint="eastAsia"/>
              </w:rPr>
              <w:t>二氯乙烯，</w:t>
            </w:r>
            <w:r>
              <w:t>mg/kg</w:t>
            </w:r>
          </w:p>
        </w:tc>
        <w:tc>
          <w:tcPr>
            <w:tcW w:w="927" w:type="pct"/>
            <w:vAlign w:val="center"/>
          </w:tcPr>
          <w:p>
            <w:pPr>
              <w:jc w:val="center"/>
            </w:pPr>
            <w:r>
              <w:t>＜1.0×10</w:t>
            </w:r>
            <w:r>
              <w:rPr>
                <w:vertAlign w:val="superscript"/>
              </w:rPr>
              <w:t>-3</w:t>
            </w:r>
          </w:p>
        </w:tc>
        <w:tc>
          <w:tcPr>
            <w:tcW w:w="927" w:type="pct"/>
            <w:vAlign w:val="center"/>
          </w:tcPr>
          <w:p>
            <w:pPr>
              <w:jc w:val="center"/>
            </w:pPr>
            <w:r>
              <w:t>＜1.0×10</w:t>
            </w:r>
            <w:r>
              <w:rPr>
                <w:vertAlign w:val="superscript"/>
              </w:rPr>
              <w:t>-3</w:t>
            </w:r>
          </w:p>
        </w:tc>
        <w:tc>
          <w:tcPr>
            <w:tcW w:w="926" w:type="pct"/>
            <w:vAlign w:val="center"/>
          </w:tcPr>
          <w:p>
            <w:pPr>
              <w:jc w:val="center"/>
            </w:pPr>
            <w:r>
              <w:t>＜1.0×10</w:t>
            </w:r>
            <w:r>
              <w:rPr>
                <w:vertAlign w:val="superscript"/>
              </w:rPr>
              <w:t>-3</w:t>
            </w:r>
          </w:p>
        </w:tc>
        <w:tc>
          <w:tcPr>
            <w:tcW w:w="931"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顺式</w:t>
            </w:r>
            <w:r>
              <w:t>-1,2-</w:t>
            </w:r>
            <w:r>
              <w:rPr>
                <w:rFonts w:hint="eastAsia"/>
              </w:rPr>
              <w:t>二氯乙烯，</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反式</w:t>
            </w:r>
            <w:r>
              <w:t>-1,2-</w:t>
            </w:r>
            <w:r>
              <w:rPr>
                <w:rFonts w:hint="eastAsia"/>
              </w:rPr>
              <w:t>二氯乙烯，</w:t>
            </w:r>
            <w:r>
              <w:t>mg/kg</w:t>
            </w:r>
          </w:p>
        </w:tc>
        <w:tc>
          <w:tcPr>
            <w:tcW w:w="927" w:type="pct"/>
            <w:vAlign w:val="center"/>
          </w:tcPr>
          <w:p>
            <w:pPr>
              <w:jc w:val="center"/>
            </w:pPr>
            <w:r>
              <w:t>＜1.4×10</w:t>
            </w:r>
            <w:r>
              <w:rPr>
                <w:vertAlign w:val="superscript"/>
              </w:rPr>
              <w:t>-3</w:t>
            </w:r>
          </w:p>
        </w:tc>
        <w:tc>
          <w:tcPr>
            <w:tcW w:w="927" w:type="pct"/>
            <w:vAlign w:val="center"/>
          </w:tcPr>
          <w:p>
            <w:pPr>
              <w:jc w:val="center"/>
            </w:pPr>
            <w:r>
              <w:t>＜1.4×10</w:t>
            </w:r>
            <w:r>
              <w:rPr>
                <w:vertAlign w:val="superscript"/>
              </w:rPr>
              <w:t>-3</w:t>
            </w:r>
          </w:p>
        </w:tc>
        <w:tc>
          <w:tcPr>
            <w:tcW w:w="926" w:type="pct"/>
            <w:vAlign w:val="center"/>
          </w:tcPr>
          <w:p>
            <w:pPr>
              <w:jc w:val="center"/>
            </w:pPr>
            <w:r>
              <w:t>＜1.4×10</w:t>
            </w:r>
            <w:r>
              <w:rPr>
                <w:vertAlign w:val="superscript"/>
              </w:rPr>
              <w:t>-3</w:t>
            </w:r>
          </w:p>
        </w:tc>
        <w:tc>
          <w:tcPr>
            <w:tcW w:w="931"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二氯甲烷，</w:t>
            </w:r>
            <w:r>
              <w:t>mg/kg</w:t>
            </w:r>
          </w:p>
        </w:tc>
        <w:tc>
          <w:tcPr>
            <w:tcW w:w="927" w:type="pct"/>
            <w:vAlign w:val="center"/>
          </w:tcPr>
          <w:p>
            <w:pPr>
              <w:jc w:val="center"/>
            </w:pPr>
            <w:r>
              <w:t>＜</w:t>
            </w:r>
            <w:r>
              <w:rPr>
                <w:rFonts w:hint="eastAsia"/>
              </w:rPr>
              <w:t>1.5</w:t>
            </w:r>
            <w:r>
              <w:t>×10</w:t>
            </w:r>
            <w:r>
              <w:rPr>
                <w:vertAlign w:val="superscript"/>
              </w:rPr>
              <w:t>-3</w:t>
            </w:r>
          </w:p>
        </w:tc>
        <w:tc>
          <w:tcPr>
            <w:tcW w:w="927" w:type="pct"/>
            <w:vAlign w:val="center"/>
          </w:tcPr>
          <w:p>
            <w:pPr>
              <w:jc w:val="center"/>
            </w:pPr>
            <w:r>
              <w:t>＜</w:t>
            </w:r>
            <w:r>
              <w:rPr>
                <w:rFonts w:hint="eastAsia"/>
              </w:rPr>
              <w:t>1.5</w:t>
            </w:r>
            <w:r>
              <w:t>×10</w:t>
            </w:r>
            <w:r>
              <w:rPr>
                <w:vertAlign w:val="superscript"/>
              </w:rPr>
              <w:t>-3</w:t>
            </w:r>
          </w:p>
        </w:tc>
        <w:tc>
          <w:tcPr>
            <w:tcW w:w="926" w:type="pct"/>
            <w:vAlign w:val="center"/>
          </w:tcPr>
          <w:p>
            <w:pPr>
              <w:jc w:val="center"/>
            </w:pPr>
            <w:r>
              <w:t>＜</w:t>
            </w:r>
            <w:r>
              <w:rPr>
                <w:rFonts w:hint="eastAsia"/>
              </w:rPr>
              <w:t>1.5</w:t>
            </w:r>
            <w:r>
              <w:t>×10</w:t>
            </w:r>
            <w:r>
              <w:rPr>
                <w:vertAlign w:val="superscript"/>
              </w:rPr>
              <w:t>-3</w:t>
            </w:r>
          </w:p>
        </w:tc>
        <w:tc>
          <w:tcPr>
            <w:tcW w:w="931"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1,2-</w:t>
            </w:r>
            <w:r>
              <w:rPr>
                <w:rFonts w:hint="eastAsia"/>
              </w:rPr>
              <w:t>二氯丙烷，</w:t>
            </w:r>
            <w:r>
              <w:t>mg/kg</w:t>
            </w:r>
          </w:p>
        </w:tc>
        <w:tc>
          <w:tcPr>
            <w:tcW w:w="927" w:type="pct"/>
            <w:vAlign w:val="center"/>
          </w:tcPr>
          <w:p>
            <w:pPr>
              <w:jc w:val="center"/>
            </w:pPr>
            <w:r>
              <w:t>＜1.1×10</w:t>
            </w:r>
            <w:r>
              <w:rPr>
                <w:vertAlign w:val="superscript"/>
              </w:rPr>
              <w:t>-3</w:t>
            </w:r>
          </w:p>
        </w:tc>
        <w:tc>
          <w:tcPr>
            <w:tcW w:w="927" w:type="pct"/>
            <w:vAlign w:val="center"/>
          </w:tcPr>
          <w:p>
            <w:pPr>
              <w:jc w:val="center"/>
            </w:pPr>
            <w:r>
              <w:t>＜1.1×10</w:t>
            </w:r>
            <w:r>
              <w:rPr>
                <w:vertAlign w:val="superscript"/>
              </w:rPr>
              <w:t>-3</w:t>
            </w:r>
          </w:p>
        </w:tc>
        <w:tc>
          <w:tcPr>
            <w:tcW w:w="926" w:type="pct"/>
            <w:vAlign w:val="center"/>
          </w:tcPr>
          <w:p>
            <w:pPr>
              <w:jc w:val="center"/>
            </w:pPr>
            <w:r>
              <w:t>＜1.1×10</w:t>
            </w:r>
            <w:r>
              <w:rPr>
                <w:vertAlign w:val="superscript"/>
              </w:rPr>
              <w:t>-3</w:t>
            </w:r>
          </w:p>
        </w:tc>
        <w:tc>
          <w:tcPr>
            <w:tcW w:w="931"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1,1,1,2-</w:t>
            </w:r>
            <w:r>
              <w:rPr>
                <w:rFonts w:hint="eastAsia"/>
              </w:rPr>
              <w:t>四氯乙烷，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1,1,2,2-</w:t>
            </w:r>
            <w:r>
              <w:rPr>
                <w:rFonts w:hint="eastAsia"/>
              </w:rPr>
              <w:t>四氯乙烷，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rPr>
                <w:rFonts w:ascii="宋体" w:hAnsi="宋体" w:cs="宋体"/>
              </w:rPr>
            </w:pPr>
            <w:r>
              <w:rPr>
                <w:rFonts w:hint="eastAsia"/>
              </w:rPr>
              <w:t>四氯乙烯，</w:t>
            </w:r>
            <w:r>
              <w:t>mg/kg</w:t>
            </w:r>
          </w:p>
        </w:tc>
        <w:tc>
          <w:tcPr>
            <w:tcW w:w="927" w:type="pct"/>
            <w:vAlign w:val="center"/>
          </w:tcPr>
          <w:p>
            <w:pPr>
              <w:jc w:val="center"/>
            </w:pPr>
            <w:r>
              <w:t>＜</w:t>
            </w:r>
            <w:r>
              <w:rPr>
                <w:rFonts w:hint="eastAsia"/>
              </w:rPr>
              <w:t>1</w:t>
            </w:r>
            <w:r>
              <w:t>.4×10</w:t>
            </w:r>
            <w:r>
              <w:rPr>
                <w:vertAlign w:val="superscript"/>
              </w:rPr>
              <w:t>-3</w:t>
            </w:r>
          </w:p>
        </w:tc>
        <w:tc>
          <w:tcPr>
            <w:tcW w:w="927" w:type="pct"/>
            <w:vAlign w:val="center"/>
          </w:tcPr>
          <w:p>
            <w:pPr>
              <w:jc w:val="center"/>
            </w:pPr>
            <w:r>
              <w:t>＜</w:t>
            </w:r>
            <w:r>
              <w:rPr>
                <w:rFonts w:hint="eastAsia"/>
              </w:rPr>
              <w:t>1</w:t>
            </w:r>
            <w:r>
              <w:t>.4×10</w:t>
            </w:r>
            <w:r>
              <w:rPr>
                <w:vertAlign w:val="superscript"/>
              </w:rPr>
              <w:t>-3</w:t>
            </w:r>
          </w:p>
        </w:tc>
        <w:tc>
          <w:tcPr>
            <w:tcW w:w="926" w:type="pct"/>
            <w:vAlign w:val="center"/>
          </w:tcPr>
          <w:p>
            <w:pPr>
              <w:jc w:val="center"/>
            </w:pPr>
            <w:r>
              <w:t>＜</w:t>
            </w:r>
            <w:r>
              <w:rPr>
                <w:rFonts w:hint="eastAsia"/>
              </w:rPr>
              <w:t>1</w:t>
            </w:r>
            <w:r>
              <w:t>.4×10</w:t>
            </w:r>
            <w:r>
              <w:rPr>
                <w:vertAlign w:val="superscript"/>
              </w:rPr>
              <w:t>-3</w:t>
            </w:r>
          </w:p>
        </w:tc>
        <w:tc>
          <w:tcPr>
            <w:tcW w:w="931"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1,1,1-</w:t>
            </w:r>
            <w:r>
              <w:rPr>
                <w:rFonts w:hint="eastAsia"/>
              </w:rPr>
              <w:t>三氯乙烷，</w:t>
            </w:r>
            <w:r>
              <w:t>mg/kg</w:t>
            </w:r>
          </w:p>
        </w:tc>
        <w:tc>
          <w:tcPr>
            <w:tcW w:w="927" w:type="pct"/>
            <w:vAlign w:val="center"/>
          </w:tcPr>
          <w:p>
            <w:pPr>
              <w:jc w:val="center"/>
            </w:pPr>
            <w:r>
              <w:t>＜1.3×10</w:t>
            </w:r>
            <w:r>
              <w:rPr>
                <w:vertAlign w:val="superscript"/>
              </w:rPr>
              <w:t>-3</w:t>
            </w:r>
          </w:p>
        </w:tc>
        <w:tc>
          <w:tcPr>
            <w:tcW w:w="927" w:type="pct"/>
            <w:vAlign w:val="center"/>
          </w:tcPr>
          <w:p>
            <w:pPr>
              <w:jc w:val="center"/>
            </w:pPr>
            <w:r>
              <w:t>＜1.3×10</w:t>
            </w:r>
            <w:r>
              <w:rPr>
                <w:vertAlign w:val="superscript"/>
              </w:rPr>
              <w:t>-3</w:t>
            </w:r>
          </w:p>
        </w:tc>
        <w:tc>
          <w:tcPr>
            <w:tcW w:w="926" w:type="pct"/>
            <w:vAlign w:val="center"/>
          </w:tcPr>
          <w:p>
            <w:pPr>
              <w:jc w:val="center"/>
            </w:pPr>
            <w:r>
              <w:t>＜1.3×10</w:t>
            </w:r>
            <w:r>
              <w:rPr>
                <w:vertAlign w:val="superscript"/>
              </w:rPr>
              <w:t>-3</w:t>
            </w:r>
          </w:p>
        </w:tc>
        <w:tc>
          <w:tcPr>
            <w:tcW w:w="931"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287" w:type="pct"/>
            <w:vAlign w:val="center"/>
          </w:tcPr>
          <w:p>
            <w:pPr>
              <w:jc w:val="center"/>
            </w:pPr>
            <w:r>
              <w:t>1,1,2-</w:t>
            </w:r>
            <w:r>
              <w:rPr>
                <w:rFonts w:hint="eastAsia"/>
              </w:rPr>
              <w:t>三氯乙烷，</w:t>
            </w:r>
            <w:r>
              <w:t>mg/kg</w:t>
            </w:r>
          </w:p>
        </w:tc>
        <w:tc>
          <w:tcPr>
            <w:tcW w:w="927" w:type="pct"/>
            <w:vAlign w:val="center"/>
          </w:tcPr>
          <w:p>
            <w:pPr>
              <w:jc w:val="center"/>
            </w:pPr>
            <w:r>
              <w:t>＜1.2×10</w:t>
            </w:r>
            <w:r>
              <w:rPr>
                <w:vertAlign w:val="superscript"/>
              </w:rPr>
              <w:t>-3</w:t>
            </w:r>
          </w:p>
        </w:tc>
        <w:tc>
          <w:tcPr>
            <w:tcW w:w="927" w:type="pct"/>
            <w:vAlign w:val="center"/>
          </w:tcPr>
          <w:p>
            <w:pPr>
              <w:jc w:val="center"/>
            </w:pPr>
            <w:r>
              <w:t>＜1.2×10</w:t>
            </w:r>
            <w:r>
              <w:rPr>
                <w:vertAlign w:val="superscript"/>
              </w:rPr>
              <w:t>-3</w:t>
            </w:r>
          </w:p>
        </w:tc>
        <w:tc>
          <w:tcPr>
            <w:tcW w:w="926" w:type="pct"/>
            <w:vAlign w:val="center"/>
          </w:tcPr>
          <w:p>
            <w:pPr>
              <w:jc w:val="center"/>
            </w:pPr>
            <w:r>
              <w:t>＜1.2×10</w:t>
            </w:r>
            <w:r>
              <w:rPr>
                <w:vertAlign w:val="superscript"/>
              </w:rPr>
              <w:t>-3</w:t>
            </w:r>
          </w:p>
        </w:tc>
        <w:tc>
          <w:tcPr>
            <w:tcW w:w="931" w:type="pct"/>
            <w:vAlign w:val="center"/>
          </w:tcPr>
          <w:p>
            <w:pPr>
              <w:jc w:val="center"/>
            </w:pPr>
            <w:r>
              <w:t>＜1.2×10</w:t>
            </w:r>
            <w:r>
              <w:rPr>
                <w:vertAlign w:val="superscript"/>
              </w:rPr>
              <w:t>-3</w:t>
            </w:r>
          </w:p>
        </w:tc>
      </w:tr>
    </w:tbl>
    <w:p>
      <w:pPr>
        <w:pStyle w:val="20"/>
        <w:ind w:firstLine="480"/>
      </w:pPr>
    </w:p>
    <w:p>
      <w:r>
        <w:br w:type="page"/>
      </w:r>
    </w:p>
    <w:p>
      <w:pPr>
        <w:pStyle w:val="32"/>
        <w:tabs>
          <w:tab w:val="left" w:pos="4540"/>
          <w:tab w:val="clear" w:pos="900"/>
        </w:tabs>
      </w:pPr>
      <w:r>
        <w:t>表4.3-</w:t>
      </w:r>
      <w:r>
        <w:rPr>
          <w:rFonts w:hint="eastAsia"/>
        </w:rPr>
        <w:t>12（8）                土壤检测结果</w:t>
      </w:r>
    </w:p>
    <w:tbl>
      <w:tblPr>
        <w:tblStyle w:val="21"/>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5"/>
        <w:gridCol w:w="1567"/>
        <w:gridCol w:w="1762"/>
        <w:gridCol w:w="1762"/>
        <w:gridCol w:w="176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spacing w:before="60" w:beforeLines="25" w:after="60" w:afterLines="25"/>
              <w:jc w:val="center"/>
              <w:rPr>
                <w:b/>
                <w:bCs/>
              </w:rPr>
            </w:pPr>
            <w:r>
              <w:rPr>
                <w:rFonts w:hint="eastAsia"/>
                <w:b/>
                <w:bCs/>
              </w:rPr>
              <w:t>监 测 项 目</w:t>
            </w:r>
          </w:p>
        </w:tc>
        <w:tc>
          <w:tcPr>
            <w:tcW w:w="854" w:type="pct"/>
            <w:vAlign w:val="center"/>
          </w:tcPr>
          <w:p>
            <w:pPr>
              <w:widowControl/>
              <w:jc w:val="center"/>
              <w:rPr>
                <w:b/>
                <w:bCs/>
              </w:rPr>
            </w:pPr>
            <w:r>
              <w:rPr>
                <w:b/>
                <w:bCs/>
              </w:rPr>
              <w:t>H02784545</w:t>
            </w:r>
          </w:p>
          <w:p>
            <w:pPr>
              <w:widowControl/>
              <w:jc w:val="center"/>
              <w:rPr>
                <w:b/>
                <w:bCs/>
              </w:rPr>
            </w:pPr>
            <w:r>
              <w:rPr>
                <w:b/>
                <w:bCs/>
              </w:rPr>
              <w:t xml:space="preserve">土壤   </w:t>
            </w:r>
          </w:p>
          <w:p>
            <w:pPr>
              <w:widowControl/>
              <w:jc w:val="center"/>
              <w:rPr>
                <w:b/>
                <w:bCs/>
                <w:kern w:val="0"/>
              </w:rPr>
            </w:pPr>
            <w:r>
              <w:rPr>
                <w:b/>
                <w:bCs/>
              </w:rPr>
              <w:t>5#现有MMA装置区（罐区附近）0-0.2m</w:t>
            </w:r>
          </w:p>
        </w:tc>
        <w:tc>
          <w:tcPr>
            <w:tcW w:w="960" w:type="pct"/>
            <w:vAlign w:val="center"/>
          </w:tcPr>
          <w:p>
            <w:pPr>
              <w:widowControl/>
              <w:jc w:val="center"/>
              <w:rPr>
                <w:b/>
                <w:bCs/>
              </w:rPr>
            </w:pPr>
            <w:r>
              <w:rPr>
                <w:b/>
                <w:bCs/>
              </w:rPr>
              <w:t>H02785545</w:t>
            </w:r>
          </w:p>
          <w:p>
            <w:pPr>
              <w:widowControl/>
              <w:jc w:val="center"/>
              <w:rPr>
                <w:b/>
                <w:bCs/>
              </w:rPr>
            </w:pPr>
            <w:r>
              <w:rPr>
                <w:b/>
                <w:bCs/>
              </w:rPr>
              <w:t xml:space="preserve">土壤   </w:t>
            </w:r>
          </w:p>
          <w:p>
            <w:pPr>
              <w:widowControl/>
              <w:jc w:val="center"/>
              <w:rPr>
                <w:b/>
                <w:bCs/>
                <w:kern w:val="0"/>
              </w:rPr>
            </w:pPr>
            <w:r>
              <w:rPr>
                <w:b/>
                <w:bCs/>
              </w:rPr>
              <w:t>6#现有甲醇装置区（甲醇罐区附近）0-0.5m</w:t>
            </w:r>
          </w:p>
        </w:tc>
        <w:tc>
          <w:tcPr>
            <w:tcW w:w="960" w:type="pct"/>
            <w:vAlign w:val="center"/>
          </w:tcPr>
          <w:p>
            <w:pPr>
              <w:widowControl/>
              <w:jc w:val="center"/>
              <w:rPr>
                <w:b/>
                <w:bCs/>
              </w:rPr>
            </w:pPr>
            <w:r>
              <w:rPr>
                <w:b/>
                <w:bCs/>
              </w:rPr>
              <w:t>H02786545</w:t>
            </w:r>
          </w:p>
          <w:p>
            <w:pPr>
              <w:widowControl/>
              <w:jc w:val="center"/>
              <w:rPr>
                <w:b/>
                <w:bCs/>
              </w:rPr>
            </w:pPr>
            <w:r>
              <w:rPr>
                <w:b/>
                <w:bCs/>
              </w:rPr>
              <w:t xml:space="preserve">土壤   </w:t>
            </w:r>
          </w:p>
          <w:p>
            <w:pPr>
              <w:widowControl/>
              <w:jc w:val="center"/>
              <w:rPr>
                <w:b/>
                <w:bCs/>
                <w:kern w:val="0"/>
              </w:rPr>
            </w:pPr>
            <w:r>
              <w:rPr>
                <w:b/>
                <w:bCs/>
              </w:rPr>
              <w:t>6#现有甲醇装置区（甲醇罐区附近）0.5-1.5m</w:t>
            </w:r>
          </w:p>
        </w:tc>
        <w:tc>
          <w:tcPr>
            <w:tcW w:w="962" w:type="pct"/>
            <w:vAlign w:val="center"/>
          </w:tcPr>
          <w:p>
            <w:pPr>
              <w:widowControl/>
              <w:jc w:val="center"/>
              <w:rPr>
                <w:b/>
                <w:bCs/>
              </w:rPr>
            </w:pPr>
            <w:r>
              <w:rPr>
                <w:b/>
                <w:bCs/>
              </w:rPr>
              <w:t>H02787545</w:t>
            </w:r>
          </w:p>
          <w:p>
            <w:pPr>
              <w:widowControl/>
              <w:jc w:val="center"/>
              <w:rPr>
                <w:b/>
                <w:bCs/>
              </w:rPr>
            </w:pPr>
            <w:r>
              <w:rPr>
                <w:b/>
                <w:bCs/>
              </w:rPr>
              <w:t xml:space="preserve">土壤   </w:t>
            </w:r>
          </w:p>
          <w:p>
            <w:pPr>
              <w:widowControl/>
              <w:jc w:val="center"/>
              <w:rPr>
                <w:b/>
                <w:bCs/>
                <w:kern w:val="0"/>
              </w:rPr>
            </w:pPr>
            <w:r>
              <w:rPr>
                <w:b/>
                <w:bCs/>
              </w:rPr>
              <w:t>6#现有甲醇装置区（甲醇罐区附近）1.5-3.0m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三氯乙烯，</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t>1,2,3-</w:t>
            </w:r>
            <w:r>
              <w:rPr>
                <w:rFonts w:hint="eastAsia"/>
              </w:rPr>
              <w:t>三氯丙烷，</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氯乙烯，</w:t>
            </w:r>
            <w:r>
              <w:t>mg/kg</w:t>
            </w:r>
          </w:p>
        </w:tc>
        <w:tc>
          <w:tcPr>
            <w:tcW w:w="854" w:type="pct"/>
            <w:vAlign w:val="center"/>
          </w:tcPr>
          <w:p>
            <w:pPr>
              <w:jc w:val="center"/>
            </w:pPr>
            <w:r>
              <w:t>＜1.0×10</w:t>
            </w:r>
            <w:r>
              <w:rPr>
                <w:vertAlign w:val="superscript"/>
              </w:rPr>
              <w:t>-3</w:t>
            </w:r>
          </w:p>
        </w:tc>
        <w:tc>
          <w:tcPr>
            <w:tcW w:w="960" w:type="pct"/>
            <w:vAlign w:val="center"/>
          </w:tcPr>
          <w:p>
            <w:pPr>
              <w:jc w:val="center"/>
            </w:pPr>
            <w:r>
              <w:t>＜1.0×10</w:t>
            </w:r>
            <w:r>
              <w:rPr>
                <w:vertAlign w:val="superscript"/>
              </w:rPr>
              <w:t>-3</w:t>
            </w:r>
          </w:p>
        </w:tc>
        <w:tc>
          <w:tcPr>
            <w:tcW w:w="960" w:type="pct"/>
            <w:vAlign w:val="center"/>
          </w:tcPr>
          <w:p>
            <w:pPr>
              <w:jc w:val="center"/>
            </w:pPr>
            <w:r>
              <w:t>＜1.0×10</w:t>
            </w:r>
            <w:r>
              <w:rPr>
                <w:vertAlign w:val="superscript"/>
              </w:rPr>
              <w:t>-3</w:t>
            </w:r>
          </w:p>
        </w:tc>
        <w:tc>
          <w:tcPr>
            <w:tcW w:w="962"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苯，</w:t>
            </w:r>
            <w:r>
              <w:t>mg/kg</w:t>
            </w:r>
          </w:p>
        </w:tc>
        <w:tc>
          <w:tcPr>
            <w:tcW w:w="854" w:type="pct"/>
            <w:vAlign w:val="center"/>
          </w:tcPr>
          <w:p>
            <w:pPr>
              <w:jc w:val="center"/>
            </w:pPr>
            <w:r>
              <w:t>＜1.9×10</w:t>
            </w:r>
            <w:r>
              <w:rPr>
                <w:vertAlign w:val="superscript"/>
              </w:rPr>
              <w:t>-3</w:t>
            </w:r>
          </w:p>
        </w:tc>
        <w:tc>
          <w:tcPr>
            <w:tcW w:w="960" w:type="pct"/>
            <w:vAlign w:val="center"/>
          </w:tcPr>
          <w:p>
            <w:pPr>
              <w:jc w:val="center"/>
            </w:pPr>
            <w:r>
              <w:t>＜1.9×10</w:t>
            </w:r>
            <w:r>
              <w:rPr>
                <w:vertAlign w:val="superscript"/>
              </w:rPr>
              <w:t>-3</w:t>
            </w:r>
          </w:p>
        </w:tc>
        <w:tc>
          <w:tcPr>
            <w:tcW w:w="960" w:type="pct"/>
            <w:vAlign w:val="center"/>
          </w:tcPr>
          <w:p>
            <w:pPr>
              <w:jc w:val="center"/>
            </w:pPr>
            <w:r>
              <w:t>＜1.9×10</w:t>
            </w:r>
            <w:r>
              <w:rPr>
                <w:vertAlign w:val="superscript"/>
              </w:rPr>
              <w:t>-3</w:t>
            </w:r>
          </w:p>
        </w:tc>
        <w:tc>
          <w:tcPr>
            <w:tcW w:w="962"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氯苯，</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t>1,2-</w:t>
            </w:r>
            <w:r>
              <w:rPr>
                <w:rFonts w:hint="eastAsia"/>
              </w:rPr>
              <w:t>二氯苯，</w:t>
            </w:r>
            <w:r>
              <w:t>mg/kg</w:t>
            </w:r>
          </w:p>
        </w:tc>
        <w:tc>
          <w:tcPr>
            <w:tcW w:w="854"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62"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t>1,4-</w:t>
            </w:r>
            <w:r>
              <w:rPr>
                <w:rFonts w:hint="eastAsia"/>
              </w:rPr>
              <w:t>二氯苯，</w:t>
            </w:r>
            <w:r>
              <w:t>mg/kg</w:t>
            </w:r>
          </w:p>
        </w:tc>
        <w:tc>
          <w:tcPr>
            <w:tcW w:w="854"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60" w:type="pct"/>
            <w:vAlign w:val="center"/>
          </w:tcPr>
          <w:p>
            <w:pPr>
              <w:jc w:val="center"/>
            </w:pPr>
            <w:r>
              <w:t>＜1.5×10</w:t>
            </w:r>
            <w:r>
              <w:rPr>
                <w:vertAlign w:val="superscript"/>
              </w:rPr>
              <w:t>-3</w:t>
            </w:r>
          </w:p>
        </w:tc>
        <w:tc>
          <w:tcPr>
            <w:tcW w:w="962"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乙苯，</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苯乙烯，</w:t>
            </w:r>
            <w:r>
              <w:t>mg/kg</w:t>
            </w:r>
          </w:p>
        </w:tc>
        <w:tc>
          <w:tcPr>
            <w:tcW w:w="854" w:type="pct"/>
            <w:vAlign w:val="center"/>
          </w:tcPr>
          <w:p>
            <w:pPr>
              <w:jc w:val="center"/>
            </w:pPr>
            <w:r>
              <w:t>＜1.</w:t>
            </w:r>
            <w:r>
              <w:rPr>
                <w:rFonts w:hint="eastAsia"/>
              </w:rPr>
              <w:t>1</w:t>
            </w:r>
            <w:r>
              <w:t>×10</w:t>
            </w:r>
            <w:r>
              <w:rPr>
                <w:vertAlign w:val="superscript"/>
              </w:rPr>
              <w:t>-3</w:t>
            </w:r>
          </w:p>
        </w:tc>
        <w:tc>
          <w:tcPr>
            <w:tcW w:w="960" w:type="pct"/>
            <w:vAlign w:val="center"/>
          </w:tcPr>
          <w:p>
            <w:pPr>
              <w:jc w:val="center"/>
            </w:pPr>
            <w:r>
              <w:t>＜1.</w:t>
            </w:r>
            <w:r>
              <w:rPr>
                <w:rFonts w:hint="eastAsia"/>
              </w:rPr>
              <w:t>1</w:t>
            </w:r>
            <w:r>
              <w:t>×10</w:t>
            </w:r>
            <w:r>
              <w:rPr>
                <w:vertAlign w:val="superscript"/>
              </w:rPr>
              <w:t>-3</w:t>
            </w:r>
          </w:p>
        </w:tc>
        <w:tc>
          <w:tcPr>
            <w:tcW w:w="960" w:type="pct"/>
            <w:vAlign w:val="center"/>
          </w:tcPr>
          <w:p>
            <w:pPr>
              <w:jc w:val="center"/>
            </w:pPr>
            <w:r>
              <w:t>＜1.</w:t>
            </w:r>
            <w:r>
              <w:rPr>
                <w:rFonts w:hint="eastAsia"/>
              </w:rPr>
              <w:t>1</w:t>
            </w:r>
            <w:r>
              <w:t>×10</w:t>
            </w:r>
            <w:r>
              <w:rPr>
                <w:vertAlign w:val="superscript"/>
              </w:rPr>
              <w:t>-3</w:t>
            </w:r>
          </w:p>
        </w:tc>
        <w:tc>
          <w:tcPr>
            <w:tcW w:w="962"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甲苯，</w:t>
            </w:r>
            <w:r>
              <w:t>mg/kg</w:t>
            </w:r>
          </w:p>
        </w:tc>
        <w:tc>
          <w:tcPr>
            <w:tcW w:w="854" w:type="pct"/>
            <w:vAlign w:val="center"/>
          </w:tcPr>
          <w:p>
            <w:pPr>
              <w:jc w:val="center"/>
            </w:pPr>
            <w:r>
              <w:rPr>
                <w:rFonts w:hint="eastAsia"/>
              </w:rPr>
              <w:t>2</w:t>
            </w:r>
            <w:r>
              <w:t>.8×10</w:t>
            </w:r>
            <w:r>
              <w:rPr>
                <w:vertAlign w:val="superscript"/>
              </w:rPr>
              <w:t>-3</w:t>
            </w:r>
          </w:p>
        </w:tc>
        <w:tc>
          <w:tcPr>
            <w:tcW w:w="960" w:type="pct"/>
            <w:vAlign w:val="center"/>
          </w:tcPr>
          <w:p>
            <w:pPr>
              <w:jc w:val="center"/>
            </w:pPr>
            <w:r>
              <w:rPr>
                <w:rFonts w:hint="eastAsia"/>
              </w:rPr>
              <w:t>2</w:t>
            </w:r>
            <w:r>
              <w:t>.7×10</w:t>
            </w:r>
            <w:r>
              <w:rPr>
                <w:vertAlign w:val="superscript"/>
              </w:rPr>
              <w:t>-3</w:t>
            </w:r>
          </w:p>
        </w:tc>
        <w:tc>
          <w:tcPr>
            <w:tcW w:w="960" w:type="pct"/>
            <w:vAlign w:val="center"/>
          </w:tcPr>
          <w:p>
            <w:pPr>
              <w:jc w:val="center"/>
            </w:pPr>
            <w:r>
              <w:rPr>
                <w:rFonts w:hint="eastAsia"/>
              </w:rPr>
              <w:t>2</w:t>
            </w:r>
            <w:r>
              <w:t>.9×10</w:t>
            </w:r>
            <w:r>
              <w:rPr>
                <w:vertAlign w:val="superscript"/>
              </w:rPr>
              <w:t>-3</w:t>
            </w:r>
          </w:p>
        </w:tc>
        <w:tc>
          <w:tcPr>
            <w:tcW w:w="962" w:type="pct"/>
            <w:vAlign w:val="center"/>
          </w:tcPr>
          <w:p>
            <w:pPr>
              <w:jc w:val="center"/>
            </w:pPr>
            <w:r>
              <w:rPr>
                <w:rFonts w:hint="eastAsia"/>
              </w:rPr>
              <w:t>2</w:t>
            </w:r>
            <w:r>
              <w:t>.9×10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对间</w:t>
            </w:r>
            <w:r>
              <w:t>-</w:t>
            </w:r>
            <w:r>
              <w:rPr>
                <w:rFonts w:hint="eastAsia"/>
              </w:rPr>
              <w:t>二甲苯，</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邻</w:t>
            </w:r>
            <w:r>
              <w:t>-</w:t>
            </w:r>
            <w:r>
              <w:rPr>
                <w:rFonts w:hint="eastAsia"/>
              </w:rPr>
              <w:t>二甲苯，</w:t>
            </w:r>
            <w:r>
              <w:t>mg/kg</w:t>
            </w:r>
          </w:p>
        </w:tc>
        <w:tc>
          <w:tcPr>
            <w:tcW w:w="854"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0" w:type="pct"/>
            <w:vAlign w:val="center"/>
          </w:tcPr>
          <w:p>
            <w:pPr>
              <w:jc w:val="center"/>
            </w:pPr>
            <w:r>
              <w:t>＜1.2×10</w:t>
            </w:r>
            <w:r>
              <w:rPr>
                <w:vertAlign w:val="superscript"/>
              </w:rPr>
              <w:t>-3</w:t>
            </w:r>
          </w:p>
        </w:tc>
        <w:tc>
          <w:tcPr>
            <w:tcW w:w="962"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硝基苯，</w:t>
            </w:r>
            <w:r>
              <w:t>mg/kg</w:t>
            </w:r>
          </w:p>
        </w:tc>
        <w:tc>
          <w:tcPr>
            <w:tcW w:w="854" w:type="pct"/>
            <w:vAlign w:val="center"/>
          </w:tcPr>
          <w:p>
            <w:pPr>
              <w:jc w:val="center"/>
            </w:pPr>
            <w:r>
              <w:t>＜0.09</w:t>
            </w:r>
          </w:p>
        </w:tc>
        <w:tc>
          <w:tcPr>
            <w:tcW w:w="960" w:type="pct"/>
            <w:vAlign w:val="center"/>
          </w:tcPr>
          <w:p>
            <w:pPr>
              <w:jc w:val="center"/>
            </w:pPr>
            <w:r>
              <w:t>＜0.09</w:t>
            </w:r>
          </w:p>
        </w:tc>
        <w:tc>
          <w:tcPr>
            <w:tcW w:w="960" w:type="pct"/>
            <w:vAlign w:val="center"/>
          </w:tcPr>
          <w:p>
            <w:pPr>
              <w:jc w:val="center"/>
            </w:pPr>
            <w:r>
              <w:t>＜0.09</w:t>
            </w:r>
          </w:p>
        </w:tc>
        <w:tc>
          <w:tcPr>
            <w:tcW w:w="962"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rPr>
                <w:rFonts w:ascii="宋体" w:hAnsi="宋体" w:cs="宋体"/>
              </w:rPr>
            </w:pPr>
            <w:r>
              <w:rPr>
                <w:rFonts w:hint="eastAsia"/>
              </w:rPr>
              <w:t>苯胺，</w:t>
            </w:r>
            <w:r>
              <w:t>mg/kg</w:t>
            </w:r>
          </w:p>
        </w:tc>
        <w:tc>
          <w:tcPr>
            <w:tcW w:w="854" w:type="pct"/>
            <w:vAlign w:val="center"/>
          </w:tcPr>
          <w:p>
            <w:pPr>
              <w:jc w:val="center"/>
            </w:pPr>
            <w:r>
              <w:t>＜0.</w:t>
            </w:r>
            <w:r>
              <w:rPr>
                <w:rFonts w:hint="eastAsia"/>
              </w:rPr>
              <w:t>1</w:t>
            </w:r>
          </w:p>
        </w:tc>
        <w:tc>
          <w:tcPr>
            <w:tcW w:w="960" w:type="pct"/>
            <w:vAlign w:val="center"/>
          </w:tcPr>
          <w:p>
            <w:pPr>
              <w:jc w:val="center"/>
            </w:pPr>
            <w:r>
              <w:t>＜0.</w:t>
            </w:r>
            <w:r>
              <w:rPr>
                <w:rFonts w:hint="eastAsia"/>
              </w:rPr>
              <w:t>1</w:t>
            </w:r>
          </w:p>
        </w:tc>
        <w:tc>
          <w:tcPr>
            <w:tcW w:w="960" w:type="pct"/>
            <w:vAlign w:val="center"/>
          </w:tcPr>
          <w:p>
            <w:pPr>
              <w:jc w:val="center"/>
            </w:pPr>
            <w:r>
              <w:t>＜0.</w:t>
            </w:r>
            <w:r>
              <w:rPr>
                <w:rFonts w:hint="eastAsia"/>
              </w:rPr>
              <w:t>1</w:t>
            </w:r>
          </w:p>
        </w:tc>
        <w:tc>
          <w:tcPr>
            <w:tcW w:w="962"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t>2-</w:t>
            </w:r>
            <w:r>
              <w:rPr>
                <w:rFonts w:hint="eastAsia"/>
              </w:rPr>
              <w:t>氯酚，</w:t>
            </w:r>
            <w:r>
              <w:t>mg/kg</w:t>
            </w:r>
          </w:p>
        </w:tc>
        <w:tc>
          <w:tcPr>
            <w:tcW w:w="854" w:type="pct"/>
            <w:vAlign w:val="center"/>
          </w:tcPr>
          <w:p>
            <w:pPr>
              <w:jc w:val="center"/>
            </w:pPr>
            <w:r>
              <w:t>＜0.06</w:t>
            </w:r>
          </w:p>
        </w:tc>
        <w:tc>
          <w:tcPr>
            <w:tcW w:w="960" w:type="pct"/>
            <w:vAlign w:val="center"/>
          </w:tcPr>
          <w:p>
            <w:pPr>
              <w:jc w:val="center"/>
            </w:pPr>
            <w:r>
              <w:t>＜0.06</w:t>
            </w:r>
          </w:p>
        </w:tc>
        <w:tc>
          <w:tcPr>
            <w:tcW w:w="960" w:type="pct"/>
            <w:vAlign w:val="center"/>
          </w:tcPr>
          <w:p>
            <w:pPr>
              <w:jc w:val="center"/>
            </w:pPr>
            <w:r>
              <w:t>＜0.06</w:t>
            </w:r>
          </w:p>
        </w:tc>
        <w:tc>
          <w:tcPr>
            <w:tcW w:w="962"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苯并（a）蒽，</w:t>
            </w:r>
            <w:r>
              <w:t>mg/kg</w:t>
            </w:r>
          </w:p>
        </w:tc>
        <w:tc>
          <w:tcPr>
            <w:tcW w:w="854" w:type="pct"/>
            <w:vAlign w:val="center"/>
          </w:tcPr>
          <w:p>
            <w:pPr>
              <w:jc w:val="center"/>
            </w:pPr>
            <w:r>
              <w:t>＜0.1</w:t>
            </w:r>
          </w:p>
        </w:tc>
        <w:tc>
          <w:tcPr>
            <w:tcW w:w="960" w:type="pct"/>
            <w:vAlign w:val="center"/>
          </w:tcPr>
          <w:p>
            <w:pPr>
              <w:jc w:val="center"/>
            </w:pPr>
            <w:r>
              <w:t>＜0.1</w:t>
            </w:r>
          </w:p>
        </w:tc>
        <w:tc>
          <w:tcPr>
            <w:tcW w:w="960" w:type="pct"/>
            <w:vAlign w:val="center"/>
          </w:tcPr>
          <w:p>
            <w:pPr>
              <w:jc w:val="center"/>
            </w:pPr>
            <w:r>
              <w:t>＜0.1</w:t>
            </w:r>
          </w:p>
        </w:tc>
        <w:tc>
          <w:tcPr>
            <w:tcW w:w="962"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苯并（a）芘，</w:t>
            </w:r>
            <w:r>
              <w:t>mg/kg</w:t>
            </w:r>
          </w:p>
        </w:tc>
        <w:tc>
          <w:tcPr>
            <w:tcW w:w="854"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62"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苯并（b）荧蒽，</w:t>
            </w:r>
            <w:r>
              <w:t>mg/kg</w:t>
            </w:r>
          </w:p>
        </w:tc>
        <w:tc>
          <w:tcPr>
            <w:tcW w:w="854" w:type="pct"/>
            <w:vAlign w:val="center"/>
          </w:tcPr>
          <w:p>
            <w:pPr>
              <w:jc w:val="center"/>
            </w:pPr>
            <w:r>
              <w:t>＜0.2</w:t>
            </w:r>
          </w:p>
        </w:tc>
        <w:tc>
          <w:tcPr>
            <w:tcW w:w="960" w:type="pct"/>
            <w:vAlign w:val="center"/>
          </w:tcPr>
          <w:p>
            <w:pPr>
              <w:jc w:val="center"/>
            </w:pPr>
            <w:r>
              <w:t>＜0.2</w:t>
            </w:r>
          </w:p>
        </w:tc>
        <w:tc>
          <w:tcPr>
            <w:tcW w:w="960" w:type="pct"/>
            <w:vAlign w:val="center"/>
          </w:tcPr>
          <w:p>
            <w:pPr>
              <w:jc w:val="center"/>
            </w:pPr>
            <w:r>
              <w:t>＜0.2</w:t>
            </w:r>
          </w:p>
        </w:tc>
        <w:tc>
          <w:tcPr>
            <w:tcW w:w="962"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苯并（k）荧蒽，</w:t>
            </w:r>
            <w:r>
              <w:t>mg/kg</w:t>
            </w:r>
          </w:p>
        </w:tc>
        <w:tc>
          <w:tcPr>
            <w:tcW w:w="854" w:type="pct"/>
            <w:vAlign w:val="center"/>
          </w:tcPr>
          <w:p>
            <w:pPr>
              <w:jc w:val="center"/>
            </w:pPr>
            <w:r>
              <w:t>＜0.1</w:t>
            </w:r>
          </w:p>
        </w:tc>
        <w:tc>
          <w:tcPr>
            <w:tcW w:w="960" w:type="pct"/>
            <w:vAlign w:val="center"/>
          </w:tcPr>
          <w:p>
            <w:pPr>
              <w:jc w:val="center"/>
            </w:pPr>
            <w:r>
              <w:t>＜0.1</w:t>
            </w:r>
          </w:p>
        </w:tc>
        <w:tc>
          <w:tcPr>
            <w:tcW w:w="960" w:type="pct"/>
            <w:vAlign w:val="center"/>
          </w:tcPr>
          <w:p>
            <w:pPr>
              <w:jc w:val="center"/>
            </w:pPr>
            <w:r>
              <w:t>＜0.1</w:t>
            </w:r>
          </w:p>
        </w:tc>
        <w:tc>
          <w:tcPr>
            <w:tcW w:w="962"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䓛，</w:t>
            </w:r>
            <w:r>
              <w:t>mg/kg</w:t>
            </w:r>
          </w:p>
        </w:tc>
        <w:tc>
          <w:tcPr>
            <w:tcW w:w="854" w:type="pct"/>
            <w:vAlign w:val="center"/>
          </w:tcPr>
          <w:p>
            <w:pPr>
              <w:jc w:val="center"/>
            </w:pPr>
            <w:r>
              <w:t>＜0.1</w:t>
            </w:r>
          </w:p>
        </w:tc>
        <w:tc>
          <w:tcPr>
            <w:tcW w:w="960" w:type="pct"/>
            <w:vAlign w:val="center"/>
          </w:tcPr>
          <w:p>
            <w:pPr>
              <w:jc w:val="center"/>
            </w:pPr>
            <w:r>
              <w:t>＜0.1</w:t>
            </w:r>
          </w:p>
        </w:tc>
        <w:tc>
          <w:tcPr>
            <w:tcW w:w="960" w:type="pct"/>
            <w:vAlign w:val="center"/>
          </w:tcPr>
          <w:p>
            <w:pPr>
              <w:jc w:val="center"/>
            </w:pPr>
            <w:r>
              <w:t>＜0.1</w:t>
            </w:r>
          </w:p>
        </w:tc>
        <w:tc>
          <w:tcPr>
            <w:tcW w:w="962"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二苯并（a,h）蒽，</w:t>
            </w:r>
            <w:r>
              <w:t>mg/kg</w:t>
            </w:r>
          </w:p>
        </w:tc>
        <w:tc>
          <w:tcPr>
            <w:tcW w:w="854"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60" w:type="pct"/>
            <w:vAlign w:val="center"/>
          </w:tcPr>
          <w:p>
            <w:pPr>
              <w:jc w:val="center"/>
            </w:pPr>
            <w:r>
              <w:t>＜</w:t>
            </w:r>
            <w:r>
              <w:rPr>
                <w:rFonts w:hint="eastAsia"/>
              </w:rPr>
              <w:t>0.1</w:t>
            </w:r>
          </w:p>
        </w:tc>
        <w:tc>
          <w:tcPr>
            <w:tcW w:w="962"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茚并（1,2,3-c,d）芘，</w:t>
            </w:r>
            <w:r>
              <w:t>mg/kg</w:t>
            </w:r>
          </w:p>
        </w:tc>
        <w:tc>
          <w:tcPr>
            <w:tcW w:w="854" w:type="pct"/>
            <w:vAlign w:val="center"/>
          </w:tcPr>
          <w:p>
            <w:pPr>
              <w:jc w:val="center"/>
            </w:pPr>
            <w:r>
              <w:t>＜0.1</w:t>
            </w:r>
          </w:p>
        </w:tc>
        <w:tc>
          <w:tcPr>
            <w:tcW w:w="960" w:type="pct"/>
            <w:vAlign w:val="center"/>
          </w:tcPr>
          <w:p>
            <w:pPr>
              <w:jc w:val="center"/>
            </w:pPr>
            <w:r>
              <w:t>＜0.1</w:t>
            </w:r>
          </w:p>
        </w:tc>
        <w:tc>
          <w:tcPr>
            <w:tcW w:w="960" w:type="pct"/>
            <w:vAlign w:val="center"/>
          </w:tcPr>
          <w:p>
            <w:pPr>
              <w:jc w:val="center"/>
            </w:pPr>
            <w:r>
              <w:t>＜0.1</w:t>
            </w:r>
          </w:p>
        </w:tc>
        <w:tc>
          <w:tcPr>
            <w:tcW w:w="962"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8" w:hRule="atLeast"/>
        </w:trPr>
        <w:tc>
          <w:tcPr>
            <w:tcW w:w="1262" w:type="pct"/>
            <w:vAlign w:val="center"/>
          </w:tcPr>
          <w:p>
            <w:pPr>
              <w:jc w:val="center"/>
            </w:pPr>
            <w:r>
              <w:rPr>
                <w:rFonts w:hint="eastAsia"/>
              </w:rPr>
              <w:t>萘，</w:t>
            </w:r>
            <w:r>
              <w:t>mg/kg</w:t>
            </w:r>
          </w:p>
        </w:tc>
        <w:tc>
          <w:tcPr>
            <w:tcW w:w="854" w:type="pct"/>
            <w:vAlign w:val="center"/>
          </w:tcPr>
          <w:p>
            <w:pPr>
              <w:jc w:val="center"/>
            </w:pPr>
            <w:r>
              <w:t>＜0.09</w:t>
            </w:r>
          </w:p>
        </w:tc>
        <w:tc>
          <w:tcPr>
            <w:tcW w:w="960" w:type="pct"/>
            <w:vAlign w:val="center"/>
          </w:tcPr>
          <w:p>
            <w:pPr>
              <w:jc w:val="center"/>
            </w:pPr>
            <w:r>
              <w:t>＜0.09</w:t>
            </w:r>
          </w:p>
        </w:tc>
        <w:tc>
          <w:tcPr>
            <w:tcW w:w="960" w:type="pct"/>
            <w:vAlign w:val="center"/>
          </w:tcPr>
          <w:p>
            <w:pPr>
              <w:jc w:val="center"/>
            </w:pPr>
            <w:r>
              <w:t>＜0.09</w:t>
            </w:r>
          </w:p>
        </w:tc>
        <w:tc>
          <w:tcPr>
            <w:tcW w:w="962" w:type="pct"/>
            <w:vAlign w:val="center"/>
          </w:tcPr>
          <w:p>
            <w:pPr>
              <w:jc w:val="center"/>
            </w:pPr>
            <w:r>
              <w:t>＜0.09</w:t>
            </w:r>
          </w:p>
        </w:tc>
      </w:tr>
    </w:tbl>
    <w:p>
      <w:pPr>
        <w:pStyle w:val="20"/>
        <w:ind w:firstLine="480"/>
      </w:pPr>
      <w:r>
        <w:br w:type="page"/>
      </w:r>
    </w:p>
    <w:p>
      <w:pPr>
        <w:pStyle w:val="32"/>
        <w:tabs>
          <w:tab w:val="left" w:pos="4540"/>
          <w:tab w:val="clear" w:pos="900"/>
        </w:tabs>
      </w:pPr>
      <w:r>
        <w:t>表4.3-</w:t>
      </w:r>
      <w:r>
        <w:rPr>
          <w:rFonts w:hint="eastAsia"/>
        </w:rPr>
        <w:t>12（9）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3"/>
        <w:gridCol w:w="2270"/>
        <w:gridCol w:w="2270"/>
        <w:gridCol w:w="22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spacing w:before="60" w:beforeLines="25" w:after="60" w:afterLines="25"/>
              <w:jc w:val="center"/>
              <w:rPr>
                <w:b/>
                <w:bCs/>
              </w:rPr>
            </w:pPr>
            <w:r>
              <w:rPr>
                <w:rFonts w:hint="eastAsia"/>
                <w:b/>
                <w:bCs/>
              </w:rPr>
              <w:t>监 测 项 目</w:t>
            </w:r>
          </w:p>
        </w:tc>
        <w:tc>
          <w:tcPr>
            <w:tcW w:w="1237" w:type="pct"/>
            <w:vAlign w:val="center"/>
          </w:tcPr>
          <w:p>
            <w:pPr>
              <w:widowControl/>
              <w:jc w:val="center"/>
              <w:rPr>
                <w:b/>
                <w:bCs/>
              </w:rPr>
            </w:pPr>
            <w:r>
              <w:rPr>
                <w:b/>
                <w:bCs/>
              </w:rPr>
              <w:t>H02788545</w:t>
            </w:r>
          </w:p>
          <w:p>
            <w:pPr>
              <w:widowControl/>
              <w:jc w:val="center"/>
              <w:rPr>
                <w:b/>
                <w:bCs/>
              </w:rPr>
            </w:pPr>
            <w:r>
              <w:rPr>
                <w:b/>
                <w:bCs/>
              </w:rPr>
              <w:t xml:space="preserve">土壤   </w:t>
            </w:r>
          </w:p>
          <w:p>
            <w:pPr>
              <w:widowControl/>
              <w:jc w:val="center"/>
              <w:rPr>
                <w:b/>
                <w:bCs/>
                <w:kern w:val="0"/>
              </w:rPr>
            </w:pPr>
            <w:r>
              <w:rPr>
                <w:b/>
                <w:bCs/>
              </w:rPr>
              <w:t>7#现有污水处理站区域0-0.5m</w:t>
            </w:r>
          </w:p>
        </w:tc>
        <w:tc>
          <w:tcPr>
            <w:tcW w:w="1237" w:type="pct"/>
            <w:vAlign w:val="center"/>
          </w:tcPr>
          <w:p>
            <w:pPr>
              <w:widowControl/>
              <w:jc w:val="center"/>
              <w:rPr>
                <w:b/>
                <w:bCs/>
              </w:rPr>
            </w:pPr>
            <w:r>
              <w:rPr>
                <w:b/>
                <w:bCs/>
              </w:rPr>
              <w:t>H02789545</w:t>
            </w:r>
          </w:p>
          <w:p>
            <w:pPr>
              <w:widowControl/>
              <w:jc w:val="center"/>
              <w:rPr>
                <w:b/>
                <w:bCs/>
              </w:rPr>
            </w:pPr>
            <w:r>
              <w:rPr>
                <w:b/>
                <w:bCs/>
              </w:rPr>
              <w:t xml:space="preserve">土壤  </w:t>
            </w:r>
          </w:p>
          <w:p>
            <w:pPr>
              <w:widowControl/>
              <w:jc w:val="center"/>
              <w:rPr>
                <w:b/>
                <w:bCs/>
                <w:kern w:val="0"/>
              </w:rPr>
            </w:pPr>
            <w:r>
              <w:rPr>
                <w:b/>
                <w:bCs/>
              </w:rPr>
              <w:t xml:space="preserve"> 7#现有污水处理站区域0.5-1.5m</w:t>
            </w:r>
          </w:p>
        </w:tc>
        <w:tc>
          <w:tcPr>
            <w:tcW w:w="1237" w:type="pct"/>
            <w:vAlign w:val="center"/>
          </w:tcPr>
          <w:p>
            <w:pPr>
              <w:widowControl/>
              <w:jc w:val="center"/>
              <w:rPr>
                <w:b/>
                <w:bCs/>
              </w:rPr>
            </w:pPr>
            <w:r>
              <w:rPr>
                <w:b/>
                <w:bCs/>
              </w:rPr>
              <w:t>H02790545</w:t>
            </w:r>
          </w:p>
          <w:p>
            <w:pPr>
              <w:widowControl/>
              <w:jc w:val="center"/>
              <w:rPr>
                <w:b/>
                <w:bCs/>
              </w:rPr>
            </w:pPr>
            <w:r>
              <w:rPr>
                <w:b/>
                <w:bCs/>
              </w:rPr>
              <w:t xml:space="preserve">土壤   </w:t>
            </w:r>
          </w:p>
          <w:p>
            <w:pPr>
              <w:widowControl/>
              <w:jc w:val="center"/>
              <w:rPr>
                <w:b/>
                <w:bCs/>
                <w:kern w:val="0"/>
              </w:rPr>
            </w:pPr>
            <w:r>
              <w:rPr>
                <w:b/>
                <w:bCs/>
              </w:rPr>
              <w:t>7#现有污水处理站区域1.5-3.0m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pH</w:t>
            </w:r>
            <w:r>
              <w:rPr>
                <w:rFonts w:hAnsi="宋体"/>
              </w:rPr>
              <w:t>（无量纲）</w:t>
            </w:r>
          </w:p>
        </w:tc>
        <w:tc>
          <w:tcPr>
            <w:tcW w:w="1237" w:type="pct"/>
            <w:vAlign w:val="center"/>
          </w:tcPr>
          <w:p>
            <w:pPr>
              <w:widowControl/>
              <w:jc w:val="center"/>
              <w:rPr>
                <w:kern w:val="0"/>
              </w:rPr>
            </w:pPr>
            <w:r>
              <w:t>9.92</w:t>
            </w:r>
          </w:p>
        </w:tc>
        <w:tc>
          <w:tcPr>
            <w:tcW w:w="1237" w:type="pct"/>
            <w:vAlign w:val="center"/>
          </w:tcPr>
          <w:p>
            <w:pPr>
              <w:jc w:val="center"/>
            </w:pPr>
            <w:r>
              <w:t>10.13</w:t>
            </w:r>
          </w:p>
        </w:tc>
        <w:tc>
          <w:tcPr>
            <w:tcW w:w="1237" w:type="pct"/>
            <w:vAlign w:val="center"/>
          </w:tcPr>
          <w:p>
            <w:pPr>
              <w:jc w:val="center"/>
            </w:pPr>
            <w:r>
              <w:t>10.23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总砷，mg/kg</w:t>
            </w:r>
          </w:p>
        </w:tc>
        <w:tc>
          <w:tcPr>
            <w:tcW w:w="1237" w:type="pct"/>
            <w:vAlign w:val="center"/>
          </w:tcPr>
          <w:p>
            <w:pPr>
              <w:jc w:val="center"/>
            </w:pPr>
            <w:r>
              <w:t>3.58</w:t>
            </w:r>
          </w:p>
        </w:tc>
        <w:tc>
          <w:tcPr>
            <w:tcW w:w="1237" w:type="pct"/>
            <w:vAlign w:val="center"/>
          </w:tcPr>
          <w:p>
            <w:pPr>
              <w:jc w:val="center"/>
            </w:pPr>
            <w:r>
              <w:t>5.56</w:t>
            </w:r>
          </w:p>
        </w:tc>
        <w:tc>
          <w:tcPr>
            <w:tcW w:w="1237" w:type="pct"/>
            <w:vAlign w:val="center"/>
          </w:tcPr>
          <w:p>
            <w:pPr>
              <w:jc w:val="center"/>
            </w:pPr>
            <w:r>
              <w:t>5.42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镉，mg/kg</w:t>
            </w:r>
          </w:p>
        </w:tc>
        <w:tc>
          <w:tcPr>
            <w:tcW w:w="1237" w:type="pct"/>
            <w:vAlign w:val="center"/>
          </w:tcPr>
          <w:p>
            <w:pPr>
              <w:jc w:val="center"/>
            </w:pPr>
            <w:r>
              <w:t>0.08</w:t>
            </w:r>
          </w:p>
        </w:tc>
        <w:tc>
          <w:tcPr>
            <w:tcW w:w="1237" w:type="pct"/>
            <w:vAlign w:val="center"/>
          </w:tcPr>
          <w:p>
            <w:pPr>
              <w:jc w:val="center"/>
            </w:pPr>
            <w:r>
              <w:t>0.07</w:t>
            </w:r>
          </w:p>
        </w:tc>
        <w:tc>
          <w:tcPr>
            <w:tcW w:w="1237"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铬（六价），mg/kg</w:t>
            </w:r>
          </w:p>
        </w:tc>
        <w:tc>
          <w:tcPr>
            <w:tcW w:w="1237" w:type="pct"/>
            <w:vAlign w:val="center"/>
          </w:tcPr>
          <w:p>
            <w:pPr>
              <w:jc w:val="center"/>
            </w:pPr>
            <w:r>
              <w:t>0.9</w:t>
            </w:r>
          </w:p>
        </w:tc>
        <w:tc>
          <w:tcPr>
            <w:tcW w:w="1237" w:type="pct"/>
            <w:vAlign w:val="center"/>
          </w:tcPr>
          <w:p>
            <w:pPr>
              <w:jc w:val="center"/>
            </w:pPr>
            <w:r>
              <w:rPr>
                <w:rFonts w:hint="eastAsia"/>
              </w:rPr>
              <w:t>＜</w:t>
            </w:r>
            <w:r>
              <w:t>0.5</w:t>
            </w:r>
          </w:p>
        </w:tc>
        <w:tc>
          <w:tcPr>
            <w:tcW w:w="1237" w:type="pct"/>
            <w:vAlign w:val="center"/>
          </w:tcPr>
          <w:p>
            <w:pPr>
              <w:jc w:val="center"/>
            </w:pPr>
            <w:r>
              <w:rPr>
                <w:rFonts w:hint="eastAsia"/>
              </w:rPr>
              <w:t>＜</w:t>
            </w:r>
            <w: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铜，mg/kg</w:t>
            </w:r>
          </w:p>
        </w:tc>
        <w:tc>
          <w:tcPr>
            <w:tcW w:w="1237" w:type="pct"/>
            <w:vAlign w:val="center"/>
          </w:tcPr>
          <w:p>
            <w:pPr>
              <w:jc w:val="center"/>
            </w:pPr>
            <w:r>
              <w:t>10</w:t>
            </w:r>
          </w:p>
        </w:tc>
        <w:tc>
          <w:tcPr>
            <w:tcW w:w="1237" w:type="pct"/>
            <w:vAlign w:val="center"/>
          </w:tcPr>
          <w:p>
            <w:pPr>
              <w:jc w:val="center"/>
            </w:pPr>
            <w:r>
              <w:t>6</w:t>
            </w:r>
          </w:p>
        </w:tc>
        <w:tc>
          <w:tcPr>
            <w:tcW w:w="1237" w:type="pct"/>
            <w:vAlign w:val="center"/>
          </w:tcPr>
          <w:p>
            <w:pPr>
              <w:jc w:val="center"/>
            </w:pPr>
            <w:r>
              <w:t>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铅，mg/kg</w:t>
            </w:r>
          </w:p>
        </w:tc>
        <w:tc>
          <w:tcPr>
            <w:tcW w:w="1237" w:type="pct"/>
            <w:vAlign w:val="center"/>
          </w:tcPr>
          <w:p>
            <w:pPr>
              <w:jc w:val="center"/>
            </w:pPr>
            <w:r>
              <w:t>16.2</w:t>
            </w:r>
          </w:p>
        </w:tc>
        <w:tc>
          <w:tcPr>
            <w:tcW w:w="1237" w:type="pct"/>
            <w:vAlign w:val="center"/>
          </w:tcPr>
          <w:p>
            <w:pPr>
              <w:jc w:val="center"/>
            </w:pPr>
            <w:r>
              <w:t>15.6</w:t>
            </w:r>
          </w:p>
        </w:tc>
        <w:tc>
          <w:tcPr>
            <w:tcW w:w="1237" w:type="pct"/>
            <w:vAlign w:val="center"/>
          </w:tcPr>
          <w:p>
            <w:pPr>
              <w:jc w:val="center"/>
            </w:pPr>
            <w:r>
              <w:t>13.9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rPr>
                <w:rFonts w:hint="eastAsia"/>
              </w:rPr>
              <w:t>总汞，mg/kg</w:t>
            </w:r>
          </w:p>
        </w:tc>
        <w:tc>
          <w:tcPr>
            <w:tcW w:w="1237" w:type="pct"/>
            <w:vAlign w:val="center"/>
          </w:tcPr>
          <w:p>
            <w:pPr>
              <w:jc w:val="center"/>
            </w:pPr>
            <w:r>
              <w:t>0.014</w:t>
            </w:r>
          </w:p>
        </w:tc>
        <w:tc>
          <w:tcPr>
            <w:tcW w:w="1237" w:type="pct"/>
            <w:vAlign w:val="center"/>
          </w:tcPr>
          <w:p>
            <w:pPr>
              <w:jc w:val="center"/>
            </w:pPr>
            <w:r>
              <w:t>0.016</w:t>
            </w:r>
          </w:p>
        </w:tc>
        <w:tc>
          <w:tcPr>
            <w:tcW w:w="1237" w:type="pct"/>
            <w:vAlign w:val="center"/>
          </w:tcPr>
          <w:p>
            <w:pPr>
              <w:jc w:val="center"/>
            </w:pPr>
            <w:r>
              <w:t>0.007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widowControl/>
              <w:jc w:val="center"/>
            </w:pPr>
            <w:r>
              <w:rPr>
                <w:rFonts w:hint="eastAsia"/>
              </w:rPr>
              <w:t>镍，mg/kg</w:t>
            </w:r>
          </w:p>
        </w:tc>
        <w:tc>
          <w:tcPr>
            <w:tcW w:w="1237" w:type="pct"/>
            <w:vAlign w:val="center"/>
          </w:tcPr>
          <w:p>
            <w:pPr>
              <w:jc w:val="center"/>
            </w:pPr>
            <w:r>
              <w:t>18</w:t>
            </w:r>
          </w:p>
        </w:tc>
        <w:tc>
          <w:tcPr>
            <w:tcW w:w="1237" w:type="pct"/>
            <w:vAlign w:val="center"/>
          </w:tcPr>
          <w:p>
            <w:pPr>
              <w:jc w:val="center"/>
            </w:pPr>
            <w:r>
              <w:t>18</w:t>
            </w:r>
          </w:p>
        </w:tc>
        <w:tc>
          <w:tcPr>
            <w:tcW w:w="1237" w:type="pct"/>
            <w:vAlign w:val="center"/>
          </w:tcPr>
          <w:p>
            <w:pPr>
              <w:jc w:val="center"/>
            </w:pPr>
            <w:r>
              <w:t>15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1237" w:type="pct"/>
            <w:vAlign w:val="center"/>
          </w:tcPr>
          <w:p>
            <w:pPr>
              <w:jc w:val="center"/>
            </w:pPr>
            <w:r>
              <w:t>11</w:t>
            </w:r>
          </w:p>
        </w:tc>
        <w:tc>
          <w:tcPr>
            <w:tcW w:w="1237" w:type="pct"/>
            <w:vAlign w:val="center"/>
          </w:tcPr>
          <w:p>
            <w:pPr>
              <w:jc w:val="center"/>
            </w:pPr>
            <w:r>
              <w:t>50</w:t>
            </w:r>
          </w:p>
        </w:tc>
        <w:tc>
          <w:tcPr>
            <w:tcW w:w="1237" w:type="pct"/>
            <w:vAlign w:val="center"/>
          </w:tcPr>
          <w:p>
            <w:pPr>
              <w:jc w:val="center"/>
            </w:pPr>
            <w:r>
              <w:t>31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widowControl/>
              <w:jc w:val="center"/>
            </w:pPr>
            <w:r>
              <w:rPr>
                <w:rFonts w:hint="eastAsia"/>
              </w:rPr>
              <w:t>氰化物，mg/kg</w:t>
            </w:r>
          </w:p>
        </w:tc>
        <w:tc>
          <w:tcPr>
            <w:tcW w:w="1237" w:type="pct"/>
            <w:vAlign w:val="center"/>
          </w:tcPr>
          <w:p>
            <w:pPr>
              <w:jc w:val="center"/>
            </w:pPr>
            <w:r>
              <w:t>＜</w:t>
            </w:r>
            <w:r>
              <w:rPr>
                <w:rFonts w:hint="eastAsia"/>
              </w:rPr>
              <w:t>0</w:t>
            </w:r>
            <w:r>
              <w:t>.04</w:t>
            </w:r>
          </w:p>
        </w:tc>
        <w:tc>
          <w:tcPr>
            <w:tcW w:w="1237" w:type="pct"/>
            <w:vAlign w:val="center"/>
          </w:tcPr>
          <w:p>
            <w:pPr>
              <w:jc w:val="center"/>
            </w:pPr>
            <w:r>
              <w:t>＜</w:t>
            </w:r>
            <w:r>
              <w:rPr>
                <w:rFonts w:hint="eastAsia"/>
              </w:rPr>
              <w:t>0</w:t>
            </w:r>
            <w:r>
              <w:t>.04</w:t>
            </w:r>
          </w:p>
        </w:tc>
        <w:tc>
          <w:tcPr>
            <w:tcW w:w="1237" w:type="pct"/>
            <w:vAlign w:val="center"/>
          </w:tcPr>
          <w:p>
            <w:pPr>
              <w:jc w:val="center"/>
            </w:pPr>
            <w:r>
              <w:t>＜</w:t>
            </w:r>
            <w:r>
              <w:rPr>
                <w:rFonts w:hint="eastAsia"/>
              </w:rPr>
              <w:t>0</w:t>
            </w:r>
            <w:r>
              <w:t>.04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四氯化碳，mg/kg</w:t>
            </w:r>
          </w:p>
        </w:tc>
        <w:tc>
          <w:tcPr>
            <w:tcW w:w="1237" w:type="pct"/>
            <w:vAlign w:val="center"/>
          </w:tcPr>
          <w:p>
            <w:pPr>
              <w:jc w:val="center"/>
            </w:pPr>
            <w:r>
              <w:t>＜1.</w:t>
            </w:r>
            <w:r>
              <w:rPr>
                <w:rFonts w:hint="eastAsia"/>
              </w:rPr>
              <w:t>3</w:t>
            </w:r>
            <w:r>
              <w:t>×10</w:t>
            </w:r>
            <w:r>
              <w:rPr>
                <w:vertAlign w:val="superscript"/>
              </w:rPr>
              <w:t>-3</w:t>
            </w:r>
          </w:p>
        </w:tc>
        <w:tc>
          <w:tcPr>
            <w:tcW w:w="1237" w:type="pct"/>
            <w:vAlign w:val="center"/>
          </w:tcPr>
          <w:p>
            <w:pPr>
              <w:jc w:val="center"/>
            </w:pPr>
            <w:r>
              <w:t>＜1.</w:t>
            </w:r>
            <w:r>
              <w:rPr>
                <w:rFonts w:hint="eastAsia"/>
              </w:rPr>
              <w:t>3</w:t>
            </w:r>
            <w:r>
              <w:t>×10</w:t>
            </w:r>
            <w:r>
              <w:rPr>
                <w:vertAlign w:val="superscript"/>
              </w:rPr>
              <w:t>-3</w:t>
            </w:r>
          </w:p>
        </w:tc>
        <w:tc>
          <w:tcPr>
            <w:tcW w:w="1237"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氯仿，mg/kg</w:t>
            </w:r>
          </w:p>
        </w:tc>
        <w:tc>
          <w:tcPr>
            <w:tcW w:w="1237" w:type="pct"/>
            <w:vAlign w:val="center"/>
          </w:tcPr>
          <w:p>
            <w:pPr>
              <w:jc w:val="center"/>
            </w:pPr>
            <w:r>
              <w:t>＜</w:t>
            </w:r>
            <w:r>
              <w:rPr>
                <w:rFonts w:hint="eastAsia"/>
              </w:rPr>
              <w:t>1.1</w:t>
            </w:r>
            <w:r>
              <w:t>×10</w:t>
            </w:r>
            <w:r>
              <w:rPr>
                <w:vertAlign w:val="superscript"/>
              </w:rPr>
              <w:t>-3</w:t>
            </w:r>
          </w:p>
        </w:tc>
        <w:tc>
          <w:tcPr>
            <w:tcW w:w="1237" w:type="pct"/>
            <w:vAlign w:val="center"/>
          </w:tcPr>
          <w:p>
            <w:pPr>
              <w:jc w:val="center"/>
            </w:pPr>
            <w:r>
              <w:t>＜</w:t>
            </w:r>
            <w:r>
              <w:rPr>
                <w:rFonts w:hint="eastAsia"/>
              </w:rPr>
              <w:t>1.1</w:t>
            </w:r>
            <w:r>
              <w:t>×10</w:t>
            </w:r>
            <w:r>
              <w:rPr>
                <w:vertAlign w:val="superscript"/>
              </w:rPr>
              <w:t>-3</w:t>
            </w:r>
          </w:p>
        </w:tc>
        <w:tc>
          <w:tcPr>
            <w:tcW w:w="1237"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氯甲烷，</w:t>
            </w:r>
            <w:r>
              <w:t>mg/kg</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w:t>
            </w:r>
            <w:r>
              <w:rPr>
                <w:rFonts w:hint="eastAsia"/>
              </w:rPr>
              <w:t>二氯乙烷，</w:t>
            </w:r>
            <w:r>
              <w:t>mg/kg</w:t>
            </w:r>
          </w:p>
        </w:tc>
        <w:tc>
          <w:tcPr>
            <w:tcW w:w="1237" w:type="pct"/>
            <w:vAlign w:val="center"/>
          </w:tcPr>
          <w:p>
            <w:pPr>
              <w:jc w:val="center"/>
            </w:pPr>
            <w:r>
              <w:t>＜</w:t>
            </w:r>
            <w:r>
              <w:rPr>
                <w:rFonts w:hint="eastAsia"/>
              </w:rPr>
              <w:t>1.2</w:t>
            </w:r>
            <w:r>
              <w:t>×10</w:t>
            </w:r>
            <w:r>
              <w:rPr>
                <w:vertAlign w:val="superscript"/>
              </w:rPr>
              <w:t>-3</w:t>
            </w:r>
          </w:p>
        </w:tc>
        <w:tc>
          <w:tcPr>
            <w:tcW w:w="1237" w:type="pct"/>
            <w:vAlign w:val="center"/>
          </w:tcPr>
          <w:p>
            <w:pPr>
              <w:jc w:val="center"/>
            </w:pPr>
            <w:r>
              <w:t>＜</w:t>
            </w:r>
            <w:r>
              <w:rPr>
                <w:rFonts w:hint="eastAsia"/>
              </w:rPr>
              <w:t>1.2</w:t>
            </w:r>
            <w:r>
              <w:t>×10</w:t>
            </w:r>
            <w:r>
              <w:rPr>
                <w:vertAlign w:val="superscript"/>
              </w:rPr>
              <w:t>-3</w:t>
            </w:r>
          </w:p>
        </w:tc>
        <w:tc>
          <w:tcPr>
            <w:tcW w:w="1237"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1,2-</w:t>
            </w:r>
            <w:r>
              <w:rPr>
                <w:rFonts w:hint="eastAsia"/>
              </w:rPr>
              <w:t>二氯乙烷，</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w:t>
            </w:r>
            <w:r>
              <w:rPr>
                <w:rFonts w:hint="eastAsia"/>
              </w:rPr>
              <w:t>二氯乙烯，</w:t>
            </w:r>
            <w:r>
              <w:t>mg/kg</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顺式</w:t>
            </w:r>
            <w:r>
              <w:t>-1,2-</w:t>
            </w:r>
            <w:r>
              <w:rPr>
                <w:rFonts w:hint="eastAsia"/>
              </w:rPr>
              <w:t>二氯乙烯，</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反式</w:t>
            </w:r>
            <w:r>
              <w:t>-1,2-</w:t>
            </w:r>
            <w:r>
              <w:rPr>
                <w:rFonts w:hint="eastAsia"/>
              </w:rPr>
              <w:t>二氯乙烯，</w:t>
            </w:r>
            <w:r>
              <w:t>mg/kg</w:t>
            </w:r>
          </w:p>
        </w:tc>
        <w:tc>
          <w:tcPr>
            <w:tcW w:w="1237" w:type="pct"/>
            <w:vAlign w:val="center"/>
          </w:tcPr>
          <w:p>
            <w:pPr>
              <w:jc w:val="center"/>
            </w:pPr>
            <w:r>
              <w:t>＜1.4×10</w:t>
            </w:r>
            <w:r>
              <w:rPr>
                <w:vertAlign w:val="superscript"/>
              </w:rPr>
              <w:t>-3</w:t>
            </w:r>
          </w:p>
        </w:tc>
        <w:tc>
          <w:tcPr>
            <w:tcW w:w="1237" w:type="pct"/>
            <w:vAlign w:val="center"/>
          </w:tcPr>
          <w:p>
            <w:pPr>
              <w:jc w:val="center"/>
            </w:pPr>
            <w:r>
              <w:t>＜1.4×10</w:t>
            </w:r>
            <w:r>
              <w:rPr>
                <w:vertAlign w:val="superscript"/>
              </w:rPr>
              <w:t>-3</w:t>
            </w:r>
          </w:p>
        </w:tc>
        <w:tc>
          <w:tcPr>
            <w:tcW w:w="1237"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二氯甲烷，</w:t>
            </w:r>
            <w:r>
              <w:t>mg/kg</w:t>
            </w:r>
          </w:p>
        </w:tc>
        <w:tc>
          <w:tcPr>
            <w:tcW w:w="1237" w:type="pct"/>
            <w:vAlign w:val="center"/>
          </w:tcPr>
          <w:p>
            <w:pPr>
              <w:jc w:val="center"/>
            </w:pPr>
            <w:r>
              <w:t>＜</w:t>
            </w:r>
            <w:r>
              <w:rPr>
                <w:rFonts w:hint="eastAsia"/>
              </w:rPr>
              <w:t>1.5</w:t>
            </w:r>
            <w:r>
              <w:t>×10</w:t>
            </w:r>
            <w:r>
              <w:rPr>
                <w:vertAlign w:val="superscript"/>
              </w:rPr>
              <w:t>-3</w:t>
            </w:r>
          </w:p>
        </w:tc>
        <w:tc>
          <w:tcPr>
            <w:tcW w:w="1237" w:type="pct"/>
            <w:vAlign w:val="center"/>
          </w:tcPr>
          <w:p>
            <w:pPr>
              <w:jc w:val="center"/>
            </w:pPr>
            <w:r>
              <w:t>＜</w:t>
            </w:r>
            <w:r>
              <w:rPr>
                <w:rFonts w:hint="eastAsia"/>
              </w:rPr>
              <w:t>1.5</w:t>
            </w:r>
            <w:r>
              <w:t>×10</w:t>
            </w:r>
            <w:r>
              <w:rPr>
                <w:vertAlign w:val="superscript"/>
              </w:rPr>
              <w:t>-3</w:t>
            </w:r>
          </w:p>
        </w:tc>
        <w:tc>
          <w:tcPr>
            <w:tcW w:w="1237"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1,2-</w:t>
            </w:r>
            <w:r>
              <w:rPr>
                <w:rFonts w:hint="eastAsia"/>
              </w:rPr>
              <w:t>二氯丙烷，</w:t>
            </w:r>
            <w:r>
              <w:t>mg/kg</w:t>
            </w:r>
          </w:p>
        </w:tc>
        <w:tc>
          <w:tcPr>
            <w:tcW w:w="1237" w:type="pct"/>
            <w:vAlign w:val="center"/>
          </w:tcPr>
          <w:p>
            <w:pPr>
              <w:jc w:val="center"/>
            </w:pPr>
            <w:r>
              <w:t>＜1.1×10</w:t>
            </w:r>
            <w:r>
              <w:rPr>
                <w:vertAlign w:val="superscript"/>
              </w:rPr>
              <w:t>-3</w:t>
            </w:r>
          </w:p>
        </w:tc>
        <w:tc>
          <w:tcPr>
            <w:tcW w:w="1237" w:type="pct"/>
            <w:vAlign w:val="center"/>
          </w:tcPr>
          <w:p>
            <w:pPr>
              <w:jc w:val="center"/>
            </w:pPr>
            <w:r>
              <w:t>＜1.1×10</w:t>
            </w:r>
            <w:r>
              <w:rPr>
                <w:vertAlign w:val="superscript"/>
              </w:rPr>
              <w:t>-3</w:t>
            </w:r>
          </w:p>
        </w:tc>
        <w:tc>
          <w:tcPr>
            <w:tcW w:w="1237"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1,1,1,2-</w:t>
            </w:r>
            <w:r>
              <w:rPr>
                <w:rFonts w:hint="eastAsia"/>
              </w:rPr>
              <w:t>四氯乙烷，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1,1,2,2-</w:t>
            </w:r>
            <w:r>
              <w:rPr>
                <w:rFonts w:hint="eastAsia"/>
              </w:rPr>
              <w:t>四氯乙烷，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rPr>
                <w:rFonts w:ascii="宋体" w:hAnsi="宋体" w:cs="宋体"/>
              </w:rPr>
            </w:pPr>
            <w:r>
              <w:rPr>
                <w:rFonts w:hint="eastAsia"/>
              </w:rPr>
              <w:t>四氯乙烯，</w:t>
            </w:r>
            <w:r>
              <w:t>mg/kg</w:t>
            </w:r>
          </w:p>
        </w:tc>
        <w:tc>
          <w:tcPr>
            <w:tcW w:w="1237" w:type="pct"/>
            <w:vAlign w:val="center"/>
          </w:tcPr>
          <w:p>
            <w:pPr>
              <w:jc w:val="center"/>
            </w:pPr>
            <w:r>
              <w:t>＜</w:t>
            </w:r>
            <w:r>
              <w:rPr>
                <w:rFonts w:hint="eastAsia"/>
              </w:rPr>
              <w:t>1</w:t>
            </w:r>
            <w:r>
              <w:t>.4×10</w:t>
            </w:r>
            <w:r>
              <w:rPr>
                <w:vertAlign w:val="superscript"/>
              </w:rPr>
              <w:t>-3</w:t>
            </w:r>
          </w:p>
        </w:tc>
        <w:tc>
          <w:tcPr>
            <w:tcW w:w="1237" w:type="pct"/>
            <w:vAlign w:val="center"/>
          </w:tcPr>
          <w:p>
            <w:pPr>
              <w:jc w:val="center"/>
            </w:pPr>
            <w:r>
              <w:t>＜</w:t>
            </w:r>
            <w:r>
              <w:rPr>
                <w:rFonts w:hint="eastAsia"/>
              </w:rPr>
              <w:t>1</w:t>
            </w:r>
            <w:r>
              <w:t>.4×10</w:t>
            </w:r>
            <w:r>
              <w:rPr>
                <w:vertAlign w:val="superscript"/>
              </w:rPr>
              <w:t>-3</w:t>
            </w:r>
          </w:p>
        </w:tc>
        <w:tc>
          <w:tcPr>
            <w:tcW w:w="1237"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1,1,1-</w:t>
            </w:r>
            <w:r>
              <w:rPr>
                <w:rFonts w:hint="eastAsia"/>
              </w:rPr>
              <w:t>三氯乙烷，</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trPr>
        <w:tc>
          <w:tcPr>
            <w:tcW w:w="1288" w:type="pct"/>
            <w:vAlign w:val="center"/>
          </w:tcPr>
          <w:p>
            <w:pPr>
              <w:jc w:val="center"/>
            </w:pPr>
            <w:r>
              <w:t>1,1,2-</w:t>
            </w:r>
            <w:r>
              <w:rPr>
                <w:rFonts w:hint="eastAsia"/>
              </w:rPr>
              <w:t>三氯乙烷，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bl>
    <w:p>
      <w:pPr>
        <w:pStyle w:val="20"/>
        <w:ind w:firstLine="480"/>
      </w:pPr>
    </w:p>
    <w:p>
      <w:pPr>
        <w:pStyle w:val="20"/>
        <w:ind w:firstLine="480"/>
      </w:pPr>
      <w:r>
        <w:br w:type="page"/>
      </w:r>
    </w:p>
    <w:p>
      <w:pPr>
        <w:pStyle w:val="32"/>
        <w:tabs>
          <w:tab w:val="left" w:pos="4540"/>
          <w:tab w:val="clear" w:pos="900"/>
        </w:tabs>
      </w:pPr>
      <w:r>
        <w:t>表4.3-</w:t>
      </w:r>
      <w:r>
        <w:rPr>
          <w:rFonts w:hint="eastAsia"/>
        </w:rPr>
        <w:t>12（10）                土壤检测结果</w:t>
      </w:r>
    </w:p>
    <w:tbl>
      <w:tblPr>
        <w:tblStyle w:val="21"/>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2202"/>
        <w:gridCol w:w="2303"/>
        <w:gridCol w:w="23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spacing w:before="60" w:beforeLines="25" w:after="60" w:afterLines="25"/>
              <w:jc w:val="center"/>
              <w:rPr>
                <w:b/>
                <w:bCs/>
              </w:rPr>
            </w:pPr>
            <w:r>
              <w:rPr>
                <w:rFonts w:hint="eastAsia"/>
                <w:b/>
                <w:bCs/>
              </w:rPr>
              <w:t>监 测 项 目</w:t>
            </w:r>
          </w:p>
        </w:tc>
        <w:tc>
          <w:tcPr>
            <w:tcW w:w="1200" w:type="pct"/>
            <w:vAlign w:val="center"/>
          </w:tcPr>
          <w:p>
            <w:pPr>
              <w:widowControl/>
              <w:jc w:val="center"/>
              <w:rPr>
                <w:b/>
                <w:bCs/>
              </w:rPr>
            </w:pPr>
            <w:r>
              <w:rPr>
                <w:b/>
                <w:bCs/>
              </w:rPr>
              <w:t>H02788545</w:t>
            </w:r>
          </w:p>
          <w:p>
            <w:pPr>
              <w:widowControl/>
              <w:jc w:val="center"/>
              <w:rPr>
                <w:b/>
                <w:bCs/>
              </w:rPr>
            </w:pPr>
            <w:r>
              <w:rPr>
                <w:b/>
                <w:bCs/>
              </w:rPr>
              <w:t xml:space="preserve">土壤   </w:t>
            </w:r>
          </w:p>
          <w:p>
            <w:pPr>
              <w:widowControl/>
              <w:jc w:val="center"/>
              <w:rPr>
                <w:b/>
                <w:bCs/>
                <w:kern w:val="0"/>
              </w:rPr>
            </w:pPr>
            <w:r>
              <w:rPr>
                <w:b/>
                <w:bCs/>
              </w:rPr>
              <w:t>7#现有污水处理站区域0-0.5m</w:t>
            </w:r>
          </w:p>
        </w:tc>
        <w:tc>
          <w:tcPr>
            <w:tcW w:w="1255" w:type="pct"/>
            <w:vAlign w:val="center"/>
          </w:tcPr>
          <w:p>
            <w:pPr>
              <w:widowControl/>
              <w:jc w:val="center"/>
              <w:rPr>
                <w:b/>
                <w:bCs/>
              </w:rPr>
            </w:pPr>
            <w:r>
              <w:rPr>
                <w:b/>
                <w:bCs/>
              </w:rPr>
              <w:t>H02789545</w:t>
            </w:r>
          </w:p>
          <w:p>
            <w:pPr>
              <w:widowControl/>
              <w:jc w:val="center"/>
              <w:rPr>
                <w:b/>
                <w:bCs/>
              </w:rPr>
            </w:pPr>
            <w:r>
              <w:rPr>
                <w:b/>
                <w:bCs/>
              </w:rPr>
              <w:t xml:space="preserve">土壤  </w:t>
            </w:r>
          </w:p>
          <w:p>
            <w:pPr>
              <w:widowControl/>
              <w:jc w:val="center"/>
              <w:rPr>
                <w:b/>
                <w:bCs/>
                <w:kern w:val="0"/>
              </w:rPr>
            </w:pPr>
            <w:r>
              <w:rPr>
                <w:b/>
                <w:bCs/>
              </w:rPr>
              <w:t xml:space="preserve"> 7#现有污水处理站区域0.5-1.5m</w:t>
            </w:r>
          </w:p>
        </w:tc>
        <w:tc>
          <w:tcPr>
            <w:tcW w:w="1256" w:type="pct"/>
            <w:vAlign w:val="center"/>
          </w:tcPr>
          <w:p>
            <w:pPr>
              <w:widowControl/>
              <w:jc w:val="center"/>
              <w:rPr>
                <w:b/>
                <w:bCs/>
              </w:rPr>
            </w:pPr>
            <w:r>
              <w:rPr>
                <w:b/>
                <w:bCs/>
              </w:rPr>
              <w:t>H02790545</w:t>
            </w:r>
          </w:p>
          <w:p>
            <w:pPr>
              <w:widowControl/>
              <w:jc w:val="center"/>
              <w:rPr>
                <w:b/>
                <w:bCs/>
              </w:rPr>
            </w:pPr>
            <w:r>
              <w:rPr>
                <w:b/>
                <w:bCs/>
              </w:rPr>
              <w:t xml:space="preserve">土壤   </w:t>
            </w:r>
          </w:p>
          <w:p>
            <w:pPr>
              <w:widowControl/>
              <w:jc w:val="center"/>
              <w:rPr>
                <w:b/>
                <w:bCs/>
                <w:kern w:val="0"/>
              </w:rPr>
            </w:pPr>
            <w:r>
              <w:rPr>
                <w:b/>
                <w:bCs/>
              </w:rPr>
              <w:t>7#现有污水处理站区域1.5-3.0m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三氯乙烯，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1,2,3-</w:t>
            </w:r>
            <w:r>
              <w:rPr>
                <w:rFonts w:hint="eastAsia"/>
              </w:rPr>
              <w:t>三氯丙烷，</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氯乙烯，</w:t>
            </w:r>
            <w:r>
              <w:t>mg/kg</w:t>
            </w:r>
          </w:p>
        </w:tc>
        <w:tc>
          <w:tcPr>
            <w:tcW w:w="1200" w:type="pct"/>
            <w:vAlign w:val="center"/>
          </w:tcPr>
          <w:p>
            <w:pPr>
              <w:jc w:val="center"/>
            </w:pPr>
            <w:r>
              <w:t>＜1.0×10</w:t>
            </w:r>
            <w:r>
              <w:rPr>
                <w:vertAlign w:val="superscript"/>
              </w:rPr>
              <w:t>-3</w:t>
            </w:r>
          </w:p>
        </w:tc>
        <w:tc>
          <w:tcPr>
            <w:tcW w:w="1255" w:type="pct"/>
            <w:vAlign w:val="center"/>
          </w:tcPr>
          <w:p>
            <w:pPr>
              <w:jc w:val="center"/>
            </w:pPr>
            <w:r>
              <w:t>＜1.0×10</w:t>
            </w:r>
            <w:r>
              <w:rPr>
                <w:vertAlign w:val="superscript"/>
              </w:rPr>
              <w:t>-3</w:t>
            </w:r>
          </w:p>
        </w:tc>
        <w:tc>
          <w:tcPr>
            <w:tcW w:w="1256"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w:t>
            </w:r>
            <w:r>
              <w:t>mg/kg</w:t>
            </w:r>
          </w:p>
        </w:tc>
        <w:tc>
          <w:tcPr>
            <w:tcW w:w="1200" w:type="pct"/>
            <w:vAlign w:val="center"/>
          </w:tcPr>
          <w:p>
            <w:pPr>
              <w:jc w:val="center"/>
            </w:pPr>
            <w:r>
              <w:t>＜1.9×10</w:t>
            </w:r>
            <w:r>
              <w:rPr>
                <w:vertAlign w:val="superscript"/>
              </w:rPr>
              <w:t>-3</w:t>
            </w:r>
          </w:p>
        </w:tc>
        <w:tc>
          <w:tcPr>
            <w:tcW w:w="1255" w:type="pct"/>
            <w:vAlign w:val="center"/>
          </w:tcPr>
          <w:p>
            <w:pPr>
              <w:jc w:val="center"/>
            </w:pPr>
            <w:r>
              <w:t>＜1.9×10</w:t>
            </w:r>
            <w:r>
              <w:rPr>
                <w:vertAlign w:val="superscript"/>
              </w:rPr>
              <w:t>-3</w:t>
            </w:r>
          </w:p>
        </w:tc>
        <w:tc>
          <w:tcPr>
            <w:tcW w:w="1256"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氯苯，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1,2-</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6"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1,4-</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6"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乙苯，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苯乙烯，</w:t>
            </w:r>
            <w:r>
              <w:t>mg/kg</w:t>
            </w:r>
          </w:p>
        </w:tc>
        <w:tc>
          <w:tcPr>
            <w:tcW w:w="1200" w:type="pct"/>
            <w:vAlign w:val="center"/>
          </w:tcPr>
          <w:p>
            <w:pPr>
              <w:jc w:val="center"/>
            </w:pPr>
            <w:r>
              <w:t>＜1.</w:t>
            </w:r>
            <w:r>
              <w:rPr>
                <w:rFonts w:hint="eastAsia"/>
              </w:rPr>
              <w:t>1</w:t>
            </w:r>
            <w:r>
              <w:t>×10</w:t>
            </w:r>
            <w:r>
              <w:rPr>
                <w:vertAlign w:val="superscript"/>
              </w:rPr>
              <w:t>-3</w:t>
            </w:r>
          </w:p>
        </w:tc>
        <w:tc>
          <w:tcPr>
            <w:tcW w:w="1255" w:type="pct"/>
            <w:vAlign w:val="center"/>
          </w:tcPr>
          <w:p>
            <w:pPr>
              <w:jc w:val="center"/>
            </w:pPr>
            <w:r>
              <w:t>＜1.</w:t>
            </w:r>
            <w:r>
              <w:rPr>
                <w:rFonts w:hint="eastAsia"/>
              </w:rPr>
              <w:t>1</w:t>
            </w:r>
            <w:r>
              <w:t>×10</w:t>
            </w:r>
            <w:r>
              <w:rPr>
                <w:vertAlign w:val="superscript"/>
              </w:rPr>
              <w:t>-3</w:t>
            </w:r>
          </w:p>
        </w:tc>
        <w:tc>
          <w:tcPr>
            <w:tcW w:w="1256"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甲苯，</w:t>
            </w:r>
            <w:r>
              <w:t>mg/kg</w:t>
            </w:r>
          </w:p>
        </w:tc>
        <w:tc>
          <w:tcPr>
            <w:tcW w:w="1200" w:type="pct"/>
            <w:vAlign w:val="center"/>
          </w:tcPr>
          <w:p>
            <w:pPr>
              <w:jc w:val="center"/>
            </w:pPr>
            <w:r>
              <w:rPr>
                <w:rFonts w:hint="eastAsia"/>
              </w:rPr>
              <w:t>3</w:t>
            </w:r>
            <w:r>
              <w:t>.0×10</w:t>
            </w:r>
            <w:r>
              <w:rPr>
                <w:vertAlign w:val="superscript"/>
              </w:rPr>
              <w:t>-3</w:t>
            </w:r>
          </w:p>
        </w:tc>
        <w:tc>
          <w:tcPr>
            <w:tcW w:w="1255" w:type="pct"/>
            <w:vAlign w:val="center"/>
          </w:tcPr>
          <w:p>
            <w:pPr>
              <w:jc w:val="center"/>
            </w:pPr>
            <w:r>
              <w:rPr>
                <w:rFonts w:hint="eastAsia"/>
              </w:rPr>
              <w:t>2</w:t>
            </w:r>
            <w:r>
              <w:t>.4×10</w:t>
            </w:r>
            <w:r>
              <w:rPr>
                <w:vertAlign w:val="superscript"/>
              </w:rPr>
              <w:t>-3</w:t>
            </w:r>
          </w:p>
        </w:tc>
        <w:tc>
          <w:tcPr>
            <w:tcW w:w="1256" w:type="pct"/>
            <w:vAlign w:val="center"/>
          </w:tcPr>
          <w:p>
            <w:pPr>
              <w:jc w:val="center"/>
            </w:pPr>
            <w:r>
              <w:rPr>
                <w:rFonts w:hint="eastAsia"/>
              </w:rPr>
              <w:t>3</w:t>
            </w:r>
            <w:r>
              <w:t>.0×10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对间</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邻</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硝基苯，</w:t>
            </w:r>
            <w:r>
              <w:t>mg/kg</w:t>
            </w:r>
          </w:p>
        </w:tc>
        <w:tc>
          <w:tcPr>
            <w:tcW w:w="1200" w:type="pct"/>
            <w:vAlign w:val="center"/>
          </w:tcPr>
          <w:p>
            <w:pPr>
              <w:jc w:val="center"/>
            </w:pPr>
            <w:r>
              <w:t>＜0.09</w:t>
            </w:r>
          </w:p>
        </w:tc>
        <w:tc>
          <w:tcPr>
            <w:tcW w:w="1255" w:type="pct"/>
            <w:vAlign w:val="center"/>
          </w:tcPr>
          <w:p>
            <w:pPr>
              <w:jc w:val="center"/>
            </w:pPr>
            <w:r>
              <w:t>＜0.09</w:t>
            </w:r>
          </w:p>
        </w:tc>
        <w:tc>
          <w:tcPr>
            <w:tcW w:w="1256"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苯胺，</w:t>
            </w:r>
            <w:r>
              <w:t>mg/kg</w:t>
            </w:r>
          </w:p>
        </w:tc>
        <w:tc>
          <w:tcPr>
            <w:tcW w:w="1200" w:type="pct"/>
            <w:vAlign w:val="center"/>
          </w:tcPr>
          <w:p>
            <w:pPr>
              <w:jc w:val="center"/>
            </w:pPr>
            <w:r>
              <w:t>＜0.</w:t>
            </w:r>
            <w:r>
              <w:rPr>
                <w:rFonts w:hint="eastAsia"/>
              </w:rPr>
              <w:t>1</w:t>
            </w:r>
          </w:p>
        </w:tc>
        <w:tc>
          <w:tcPr>
            <w:tcW w:w="1255" w:type="pct"/>
            <w:vAlign w:val="center"/>
          </w:tcPr>
          <w:p>
            <w:pPr>
              <w:jc w:val="center"/>
            </w:pPr>
            <w:r>
              <w:t>＜0.</w:t>
            </w:r>
            <w:r>
              <w:rPr>
                <w:rFonts w:hint="eastAsia"/>
              </w:rPr>
              <w:t>1</w:t>
            </w:r>
          </w:p>
        </w:tc>
        <w:tc>
          <w:tcPr>
            <w:tcW w:w="1256"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2-</w:t>
            </w:r>
            <w:r>
              <w:rPr>
                <w:rFonts w:hint="eastAsia"/>
              </w:rPr>
              <w:t>氯酚，</w:t>
            </w:r>
            <w:r>
              <w:t>mg/kg</w:t>
            </w:r>
          </w:p>
        </w:tc>
        <w:tc>
          <w:tcPr>
            <w:tcW w:w="1200" w:type="pct"/>
            <w:vAlign w:val="center"/>
          </w:tcPr>
          <w:p>
            <w:pPr>
              <w:jc w:val="center"/>
            </w:pPr>
            <w:r>
              <w:t>＜0.06</w:t>
            </w:r>
          </w:p>
        </w:tc>
        <w:tc>
          <w:tcPr>
            <w:tcW w:w="1255" w:type="pct"/>
            <w:vAlign w:val="center"/>
          </w:tcPr>
          <w:p>
            <w:pPr>
              <w:jc w:val="center"/>
            </w:pPr>
            <w:r>
              <w:t>＜0.06</w:t>
            </w:r>
          </w:p>
        </w:tc>
        <w:tc>
          <w:tcPr>
            <w:tcW w:w="1256"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苯并（a）蒽，</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苯并（a）芘，</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6"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苯并（b）荧蒽，</w:t>
            </w:r>
            <w:r>
              <w:t>mg/kg</w:t>
            </w:r>
          </w:p>
        </w:tc>
        <w:tc>
          <w:tcPr>
            <w:tcW w:w="1200" w:type="pct"/>
            <w:vAlign w:val="center"/>
          </w:tcPr>
          <w:p>
            <w:pPr>
              <w:jc w:val="center"/>
            </w:pPr>
            <w:r>
              <w:t>＜0.2</w:t>
            </w:r>
          </w:p>
        </w:tc>
        <w:tc>
          <w:tcPr>
            <w:tcW w:w="1255" w:type="pct"/>
            <w:vAlign w:val="center"/>
          </w:tcPr>
          <w:p>
            <w:pPr>
              <w:jc w:val="center"/>
            </w:pPr>
            <w:r>
              <w:t>＜0.2</w:t>
            </w:r>
          </w:p>
        </w:tc>
        <w:tc>
          <w:tcPr>
            <w:tcW w:w="1256"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苯并（k）荧蒽，</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䓛，</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二苯并（a,h）蒽，</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6"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茚并（1,2,3-c,d）芘，</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萘，</w:t>
            </w:r>
            <w:r>
              <w:t>mg/kg</w:t>
            </w:r>
          </w:p>
        </w:tc>
        <w:tc>
          <w:tcPr>
            <w:tcW w:w="1200" w:type="pct"/>
            <w:vAlign w:val="center"/>
          </w:tcPr>
          <w:p>
            <w:pPr>
              <w:jc w:val="center"/>
            </w:pPr>
            <w:r>
              <w:t>＜0.09</w:t>
            </w:r>
          </w:p>
        </w:tc>
        <w:tc>
          <w:tcPr>
            <w:tcW w:w="1255" w:type="pct"/>
            <w:vAlign w:val="center"/>
          </w:tcPr>
          <w:p>
            <w:pPr>
              <w:jc w:val="center"/>
            </w:pPr>
            <w:r>
              <w:t>＜0.09</w:t>
            </w:r>
          </w:p>
        </w:tc>
        <w:tc>
          <w:tcPr>
            <w:tcW w:w="1256" w:type="pct"/>
            <w:vAlign w:val="center"/>
          </w:tcPr>
          <w:p>
            <w:pPr>
              <w:jc w:val="center"/>
            </w:pPr>
            <w:r>
              <w:t>＜0.09</w:t>
            </w:r>
          </w:p>
        </w:tc>
      </w:tr>
    </w:tbl>
    <w:p>
      <w:pPr>
        <w:pStyle w:val="20"/>
        <w:ind w:firstLine="480"/>
      </w:pPr>
      <w:r>
        <w:br w:type="page"/>
      </w:r>
    </w:p>
    <w:p>
      <w:pPr>
        <w:pStyle w:val="32"/>
        <w:tabs>
          <w:tab w:val="left" w:pos="4540"/>
          <w:tab w:val="clear" w:pos="900"/>
        </w:tabs>
      </w:pPr>
      <w:r>
        <w:t>表4.3-</w:t>
      </w:r>
      <w:r>
        <w:rPr>
          <w:rFonts w:hint="eastAsia"/>
        </w:rPr>
        <w:t>12（11）                土壤检测结果</w:t>
      </w:r>
    </w:p>
    <w:tbl>
      <w:tblPr>
        <w:tblStyle w:val="21"/>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3"/>
        <w:gridCol w:w="2269"/>
        <w:gridCol w:w="2269"/>
        <w:gridCol w:w="22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spacing w:before="60" w:beforeLines="25" w:after="60" w:afterLines="25"/>
              <w:jc w:val="center"/>
              <w:rPr>
                <w:b/>
                <w:bCs/>
              </w:rPr>
            </w:pPr>
            <w:r>
              <w:rPr>
                <w:rFonts w:hint="eastAsia"/>
                <w:b/>
                <w:bCs/>
              </w:rPr>
              <w:t>监 测 项 目</w:t>
            </w:r>
          </w:p>
        </w:tc>
        <w:tc>
          <w:tcPr>
            <w:tcW w:w="1237" w:type="pct"/>
            <w:vAlign w:val="center"/>
          </w:tcPr>
          <w:p>
            <w:pPr>
              <w:widowControl/>
              <w:jc w:val="center"/>
              <w:rPr>
                <w:b/>
                <w:bCs/>
              </w:rPr>
            </w:pPr>
            <w:r>
              <w:rPr>
                <w:b/>
                <w:bCs/>
              </w:rPr>
              <w:t>H02791545</w:t>
            </w:r>
          </w:p>
          <w:p>
            <w:pPr>
              <w:widowControl/>
              <w:jc w:val="center"/>
              <w:rPr>
                <w:b/>
                <w:bCs/>
              </w:rPr>
            </w:pPr>
            <w:r>
              <w:rPr>
                <w:b/>
                <w:bCs/>
              </w:rPr>
              <w:t xml:space="preserve">土壤   </w:t>
            </w:r>
          </w:p>
          <w:p>
            <w:pPr>
              <w:widowControl/>
              <w:jc w:val="center"/>
              <w:rPr>
                <w:b/>
                <w:bCs/>
                <w:kern w:val="0"/>
              </w:rPr>
            </w:pPr>
            <w:r>
              <w:rPr>
                <w:b/>
                <w:bCs/>
              </w:rPr>
              <w:t>8#张康呼村庄0-0.2m</w:t>
            </w:r>
          </w:p>
        </w:tc>
        <w:tc>
          <w:tcPr>
            <w:tcW w:w="1237" w:type="pct"/>
            <w:vAlign w:val="center"/>
          </w:tcPr>
          <w:p>
            <w:pPr>
              <w:widowControl/>
              <w:jc w:val="center"/>
              <w:rPr>
                <w:b/>
                <w:bCs/>
              </w:rPr>
            </w:pPr>
            <w:r>
              <w:rPr>
                <w:b/>
                <w:bCs/>
              </w:rPr>
              <w:t>H02792545</w:t>
            </w:r>
          </w:p>
          <w:p>
            <w:pPr>
              <w:widowControl/>
              <w:jc w:val="center"/>
              <w:rPr>
                <w:b/>
                <w:bCs/>
              </w:rPr>
            </w:pPr>
            <w:r>
              <w:rPr>
                <w:b/>
                <w:bCs/>
              </w:rPr>
              <w:t xml:space="preserve">土壤   </w:t>
            </w:r>
          </w:p>
          <w:p>
            <w:pPr>
              <w:widowControl/>
              <w:jc w:val="center"/>
              <w:rPr>
                <w:b/>
                <w:bCs/>
                <w:kern w:val="0"/>
              </w:rPr>
            </w:pPr>
            <w:r>
              <w:rPr>
                <w:b/>
                <w:bCs/>
              </w:rPr>
              <w:t>9#项目东北侧空地0-0.2m</w:t>
            </w:r>
          </w:p>
        </w:tc>
        <w:tc>
          <w:tcPr>
            <w:tcW w:w="1237" w:type="pct"/>
            <w:vAlign w:val="center"/>
          </w:tcPr>
          <w:p>
            <w:pPr>
              <w:widowControl/>
              <w:jc w:val="center"/>
              <w:rPr>
                <w:b/>
                <w:bCs/>
              </w:rPr>
            </w:pPr>
            <w:r>
              <w:rPr>
                <w:b/>
                <w:bCs/>
              </w:rPr>
              <w:t>H02793545</w:t>
            </w:r>
          </w:p>
          <w:p>
            <w:pPr>
              <w:widowControl/>
              <w:jc w:val="center"/>
              <w:rPr>
                <w:b/>
                <w:bCs/>
              </w:rPr>
            </w:pPr>
            <w:r>
              <w:rPr>
                <w:b/>
                <w:bCs/>
              </w:rPr>
              <w:t xml:space="preserve">土壤   </w:t>
            </w:r>
          </w:p>
          <w:p>
            <w:pPr>
              <w:widowControl/>
              <w:jc w:val="center"/>
              <w:rPr>
                <w:b/>
                <w:bCs/>
                <w:kern w:val="0"/>
              </w:rPr>
            </w:pPr>
            <w:r>
              <w:rPr>
                <w:b/>
                <w:bCs/>
              </w:rPr>
              <w:t>10#项目西北侧空地0-0.2m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pH</w:t>
            </w:r>
            <w:r>
              <w:rPr>
                <w:rFonts w:hAnsi="宋体"/>
              </w:rPr>
              <w:t>（无量纲）</w:t>
            </w:r>
          </w:p>
        </w:tc>
        <w:tc>
          <w:tcPr>
            <w:tcW w:w="1237" w:type="pct"/>
            <w:vAlign w:val="center"/>
          </w:tcPr>
          <w:p>
            <w:pPr>
              <w:widowControl/>
              <w:jc w:val="center"/>
              <w:rPr>
                <w:kern w:val="0"/>
              </w:rPr>
            </w:pPr>
            <w:r>
              <w:t>8.57</w:t>
            </w:r>
          </w:p>
        </w:tc>
        <w:tc>
          <w:tcPr>
            <w:tcW w:w="1237" w:type="pct"/>
            <w:vAlign w:val="center"/>
          </w:tcPr>
          <w:p>
            <w:pPr>
              <w:jc w:val="center"/>
            </w:pPr>
            <w:r>
              <w:t>8.13</w:t>
            </w:r>
          </w:p>
        </w:tc>
        <w:tc>
          <w:tcPr>
            <w:tcW w:w="1237" w:type="pct"/>
            <w:vAlign w:val="center"/>
          </w:tcPr>
          <w:p>
            <w:pPr>
              <w:jc w:val="center"/>
            </w:pPr>
            <w:r>
              <w:t>8.80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总砷，mg/kg</w:t>
            </w:r>
          </w:p>
        </w:tc>
        <w:tc>
          <w:tcPr>
            <w:tcW w:w="1237" w:type="pct"/>
            <w:vAlign w:val="center"/>
          </w:tcPr>
          <w:p>
            <w:pPr>
              <w:jc w:val="center"/>
            </w:pPr>
            <w:r>
              <w:t>6.35</w:t>
            </w:r>
          </w:p>
        </w:tc>
        <w:tc>
          <w:tcPr>
            <w:tcW w:w="1237" w:type="pct"/>
            <w:vAlign w:val="center"/>
          </w:tcPr>
          <w:p>
            <w:pPr>
              <w:jc w:val="center"/>
            </w:pPr>
            <w:r>
              <w:t>7.62</w:t>
            </w:r>
          </w:p>
        </w:tc>
        <w:tc>
          <w:tcPr>
            <w:tcW w:w="1237" w:type="pct"/>
            <w:vAlign w:val="center"/>
          </w:tcPr>
          <w:p>
            <w:pPr>
              <w:jc w:val="center"/>
            </w:pPr>
            <w:r>
              <w:t>6.28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镉，mg/kg</w:t>
            </w:r>
          </w:p>
        </w:tc>
        <w:tc>
          <w:tcPr>
            <w:tcW w:w="1237" w:type="pct"/>
            <w:vAlign w:val="center"/>
          </w:tcPr>
          <w:p>
            <w:pPr>
              <w:jc w:val="center"/>
            </w:pPr>
            <w:r>
              <w:t>0.13</w:t>
            </w:r>
          </w:p>
        </w:tc>
        <w:tc>
          <w:tcPr>
            <w:tcW w:w="1237" w:type="pct"/>
            <w:vAlign w:val="center"/>
          </w:tcPr>
          <w:p>
            <w:pPr>
              <w:jc w:val="center"/>
            </w:pPr>
            <w:r>
              <w:t>0.13</w:t>
            </w:r>
          </w:p>
        </w:tc>
        <w:tc>
          <w:tcPr>
            <w:tcW w:w="1237" w:type="pct"/>
            <w:vAlign w:val="center"/>
          </w:tcPr>
          <w:p>
            <w:pPr>
              <w:jc w:val="center"/>
            </w:pPr>
            <w:r>
              <w:t>0.10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铬（六价），mg/kg</w:t>
            </w:r>
          </w:p>
        </w:tc>
        <w:tc>
          <w:tcPr>
            <w:tcW w:w="1237" w:type="pct"/>
            <w:vAlign w:val="center"/>
          </w:tcPr>
          <w:p>
            <w:pPr>
              <w:jc w:val="center"/>
            </w:pPr>
            <w:r>
              <w:t>2.8</w:t>
            </w:r>
          </w:p>
        </w:tc>
        <w:tc>
          <w:tcPr>
            <w:tcW w:w="1237" w:type="pct"/>
            <w:vAlign w:val="center"/>
          </w:tcPr>
          <w:p>
            <w:pPr>
              <w:jc w:val="center"/>
            </w:pPr>
            <w:r>
              <w:t>2.1</w:t>
            </w:r>
          </w:p>
        </w:tc>
        <w:tc>
          <w:tcPr>
            <w:tcW w:w="1237" w:type="pct"/>
            <w:vAlign w:val="center"/>
          </w:tcPr>
          <w:p>
            <w:pPr>
              <w:jc w:val="center"/>
            </w:pPr>
            <w: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铜，mg/kg</w:t>
            </w:r>
          </w:p>
        </w:tc>
        <w:tc>
          <w:tcPr>
            <w:tcW w:w="1237" w:type="pct"/>
            <w:vAlign w:val="center"/>
          </w:tcPr>
          <w:p>
            <w:pPr>
              <w:jc w:val="center"/>
            </w:pPr>
            <w:r>
              <w:t>10</w:t>
            </w:r>
          </w:p>
        </w:tc>
        <w:tc>
          <w:tcPr>
            <w:tcW w:w="1237" w:type="pct"/>
            <w:vAlign w:val="center"/>
          </w:tcPr>
          <w:p>
            <w:pPr>
              <w:jc w:val="center"/>
            </w:pPr>
            <w:r>
              <w:t>10</w:t>
            </w:r>
          </w:p>
        </w:tc>
        <w:tc>
          <w:tcPr>
            <w:tcW w:w="1237" w:type="pct"/>
            <w:vAlign w:val="center"/>
          </w:tcPr>
          <w:p>
            <w:pPr>
              <w:jc w:val="center"/>
            </w:pPr>
            <w:r>
              <w:t>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铅，mg/kg</w:t>
            </w:r>
          </w:p>
        </w:tc>
        <w:tc>
          <w:tcPr>
            <w:tcW w:w="1237" w:type="pct"/>
            <w:vAlign w:val="center"/>
          </w:tcPr>
          <w:p>
            <w:pPr>
              <w:jc w:val="center"/>
            </w:pPr>
            <w:r>
              <w:t>17.3</w:t>
            </w:r>
          </w:p>
        </w:tc>
        <w:tc>
          <w:tcPr>
            <w:tcW w:w="1237" w:type="pct"/>
            <w:vAlign w:val="center"/>
          </w:tcPr>
          <w:p>
            <w:pPr>
              <w:jc w:val="center"/>
            </w:pPr>
            <w:r>
              <w:t>19.1</w:t>
            </w:r>
          </w:p>
        </w:tc>
        <w:tc>
          <w:tcPr>
            <w:tcW w:w="1237" w:type="pct"/>
            <w:vAlign w:val="center"/>
          </w:tcPr>
          <w:p>
            <w:pPr>
              <w:jc w:val="center"/>
            </w:pPr>
            <w:r>
              <w:t>18.1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rPr>
                <w:rFonts w:hint="eastAsia"/>
              </w:rPr>
              <w:t>总汞，mg/kg</w:t>
            </w:r>
          </w:p>
        </w:tc>
        <w:tc>
          <w:tcPr>
            <w:tcW w:w="1237" w:type="pct"/>
            <w:vAlign w:val="center"/>
          </w:tcPr>
          <w:p>
            <w:pPr>
              <w:jc w:val="center"/>
            </w:pPr>
            <w:r>
              <w:t>0.016</w:t>
            </w:r>
          </w:p>
        </w:tc>
        <w:tc>
          <w:tcPr>
            <w:tcW w:w="1237" w:type="pct"/>
            <w:vAlign w:val="center"/>
          </w:tcPr>
          <w:p>
            <w:pPr>
              <w:jc w:val="center"/>
            </w:pPr>
            <w:r>
              <w:t>0.053</w:t>
            </w:r>
          </w:p>
        </w:tc>
        <w:tc>
          <w:tcPr>
            <w:tcW w:w="1237" w:type="pct"/>
            <w:vAlign w:val="center"/>
          </w:tcPr>
          <w:p>
            <w:pPr>
              <w:jc w:val="center"/>
            </w:pPr>
            <w:r>
              <w:t>0.017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widowControl/>
              <w:jc w:val="center"/>
            </w:pPr>
            <w:r>
              <w:rPr>
                <w:rFonts w:hint="eastAsia"/>
              </w:rPr>
              <w:t>镍，mg/kg</w:t>
            </w:r>
          </w:p>
        </w:tc>
        <w:tc>
          <w:tcPr>
            <w:tcW w:w="1237" w:type="pct"/>
            <w:vAlign w:val="center"/>
          </w:tcPr>
          <w:p>
            <w:pPr>
              <w:jc w:val="center"/>
            </w:pPr>
            <w:r>
              <w:t>14</w:t>
            </w:r>
          </w:p>
        </w:tc>
        <w:tc>
          <w:tcPr>
            <w:tcW w:w="1237" w:type="pct"/>
            <w:vAlign w:val="center"/>
          </w:tcPr>
          <w:p>
            <w:pPr>
              <w:jc w:val="center"/>
            </w:pPr>
            <w:r>
              <w:t>24</w:t>
            </w:r>
          </w:p>
        </w:tc>
        <w:tc>
          <w:tcPr>
            <w:tcW w:w="1237" w:type="pct"/>
            <w:vAlign w:val="center"/>
          </w:tcPr>
          <w:p>
            <w:pPr>
              <w:jc w:val="center"/>
            </w:pPr>
            <w: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widowControl/>
              <w:jc w:val="center"/>
            </w:pPr>
            <w:r>
              <w:rPr>
                <w:rFonts w:hint="eastAsia"/>
              </w:rPr>
              <w:t>石油烃（C</w:t>
            </w:r>
            <w:r>
              <w:rPr>
                <w:vertAlign w:val="subscript"/>
              </w:rPr>
              <w:t>10</w:t>
            </w:r>
            <w:r>
              <w:t>~C</w:t>
            </w:r>
            <w:r>
              <w:rPr>
                <w:vertAlign w:val="subscript"/>
              </w:rPr>
              <w:t>40</w:t>
            </w:r>
            <w:r>
              <w:rPr>
                <w:rFonts w:hint="eastAsia"/>
              </w:rPr>
              <w:t>），mg/kg</w:t>
            </w:r>
          </w:p>
        </w:tc>
        <w:tc>
          <w:tcPr>
            <w:tcW w:w="1237" w:type="pct"/>
            <w:vAlign w:val="center"/>
          </w:tcPr>
          <w:p>
            <w:pPr>
              <w:jc w:val="center"/>
            </w:pPr>
            <w:r>
              <w:t>24</w:t>
            </w:r>
          </w:p>
        </w:tc>
        <w:tc>
          <w:tcPr>
            <w:tcW w:w="1237" w:type="pct"/>
            <w:vAlign w:val="center"/>
          </w:tcPr>
          <w:p>
            <w:pPr>
              <w:jc w:val="center"/>
            </w:pPr>
            <w:r>
              <w:t>34</w:t>
            </w:r>
          </w:p>
        </w:tc>
        <w:tc>
          <w:tcPr>
            <w:tcW w:w="1237" w:type="pct"/>
            <w:vAlign w:val="center"/>
          </w:tcPr>
          <w:p>
            <w:pPr>
              <w:jc w:val="center"/>
            </w:pPr>
            <w:r>
              <w:t>52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四氯化碳，mg/kg</w:t>
            </w:r>
          </w:p>
        </w:tc>
        <w:tc>
          <w:tcPr>
            <w:tcW w:w="1237" w:type="pct"/>
            <w:vAlign w:val="center"/>
          </w:tcPr>
          <w:p>
            <w:pPr>
              <w:jc w:val="center"/>
            </w:pPr>
            <w:r>
              <w:t>＜1.</w:t>
            </w:r>
            <w:r>
              <w:rPr>
                <w:rFonts w:hint="eastAsia"/>
              </w:rPr>
              <w:t>3</w:t>
            </w:r>
            <w:r>
              <w:t>×10</w:t>
            </w:r>
            <w:r>
              <w:rPr>
                <w:vertAlign w:val="superscript"/>
              </w:rPr>
              <w:t>-3</w:t>
            </w:r>
          </w:p>
        </w:tc>
        <w:tc>
          <w:tcPr>
            <w:tcW w:w="1237" w:type="pct"/>
            <w:vAlign w:val="center"/>
          </w:tcPr>
          <w:p>
            <w:pPr>
              <w:jc w:val="center"/>
            </w:pPr>
            <w:r>
              <w:t>＜1.</w:t>
            </w:r>
            <w:r>
              <w:rPr>
                <w:rFonts w:hint="eastAsia"/>
              </w:rPr>
              <w:t>3</w:t>
            </w:r>
            <w:r>
              <w:t>×10</w:t>
            </w:r>
            <w:r>
              <w:rPr>
                <w:vertAlign w:val="superscript"/>
              </w:rPr>
              <w:t>-3</w:t>
            </w:r>
          </w:p>
        </w:tc>
        <w:tc>
          <w:tcPr>
            <w:tcW w:w="1237" w:type="pct"/>
            <w:vAlign w:val="center"/>
          </w:tcPr>
          <w:p>
            <w:pPr>
              <w:jc w:val="center"/>
            </w:pPr>
            <w:r>
              <w:t>＜1.</w:t>
            </w:r>
            <w:r>
              <w:rPr>
                <w:rFonts w:hint="eastAsia"/>
              </w:rPr>
              <w:t>3</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氯仿，mg/kg</w:t>
            </w:r>
          </w:p>
        </w:tc>
        <w:tc>
          <w:tcPr>
            <w:tcW w:w="1237" w:type="pct"/>
            <w:vAlign w:val="center"/>
          </w:tcPr>
          <w:p>
            <w:pPr>
              <w:jc w:val="center"/>
            </w:pPr>
            <w:r>
              <w:t>＜</w:t>
            </w:r>
            <w:r>
              <w:rPr>
                <w:rFonts w:hint="eastAsia"/>
              </w:rPr>
              <w:t>1.1</w:t>
            </w:r>
            <w:r>
              <w:t>×10</w:t>
            </w:r>
            <w:r>
              <w:rPr>
                <w:vertAlign w:val="superscript"/>
              </w:rPr>
              <w:t>-3</w:t>
            </w:r>
          </w:p>
        </w:tc>
        <w:tc>
          <w:tcPr>
            <w:tcW w:w="1237" w:type="pct"/>
            <w:vAlign w:val="center"/>
          </w:tcPr>
          <w:p>
            <w:pPr>
              <w:jc w:val="center"/>
            </w:pPr>
            <w:r>
              <w:t>＜</w:t>
            </w:r>
            <w:r>
              <w:rPr>
                <w:rFonts w:hint="eastAsia"/>
              </w:rPr>
              <w:t>1.1</w:t>
            </w:r>
            <w:r>
              <w:t>×10</w:t>
            </w:r>
            <w:r>
              <w:rPr>
                <w:vertAlign w:val="superscript"/>
              </w:rPr>
              <w:t>-3</w:t>
            </w:r>
          </w:p>
        </w:tc>
        <w:tc>
          <w:tcPr>
            <w:tcW w:w="1237" w:type="pct"/>
            <w:vAlign w:val="center"/>
          </w:tcPr>
          <w:p>
            <w:pPr>
              <w:jc w:val="center"/>
            </w:pPr>
            <w:r>
              <w:t>＜</w:t>
            </w:r>
            <w:r>
              <w:rPr>
                <w:rFonts w:hint="eastAsia"/>
              </w:rPr>
              <w:t>1.1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氯甲烷，</w:t>
            </w:r>
            <w:r>
              <w:t>mg/kg</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w:t>
            </w:r>
            <w:r>
              <w:rPr>
                <w:rFonts w:hint="eastAsia"/>
              </w:rPr>
              <w:t>二氯乙烷，</w:t>
            </w:r>
            <w:r>
              <w:t>mg/kg</w:t>
            </w:r>
          </w:p>
        </w:tc>
        <w:tc>
          <w:tcPr>
            <w:tcW w:w="1237" w:type="pct"/>
            <w:vAlign w:val="center"/>
          </w:tcPr>
          <w:p>
            <w:pPr>
              <w:jc w:val="center"/>
            </w:pPr>
            <w:r>
              <w:t>＜</w:t>
            </w:r>
            <w:r>
              <w:rPr>
                <w:rFonts w:hint="eastAsia"/>
              </w:rPr>
              <w:t>1.2</w:t>
            </w:r>
            <w:r>
              <w:t>×10</w:t>
            </w:r>
            <w:r>
              <w:rPr>
                <w:vertAlign w:val="superscript"/>
              </w:rPr>
              <w:t>-3</w:t>
            </w:r>
          </w:p>
        </w:tc>
        <w:tc>
          <w:tcPr>
            <w:tcW w:w="1237" w:type="pct"/>
            <w:vAlign w:val="center"/>
          </w:tcPr>
          <w:p>
            <w:pPr>
              <w:jc w:val="center"/>
            </w:pPr>
            <w:r>
              <w:t>＜</w:t>
            </w:r>
            <w:r>
              <w:rPr>
                <w:rFonts w:hint="eastAsia"/>
              </w:rPr>
              <w:t>1.2</w:t>
            </w:r>
            <w:r>
              <w:t>×10</w:t>
            </w:r>
            <w:r>
              <w:rPr>
                <w:vertAlign w:val="superscript"/>
              </w:rPr>
              <w:t>-3</w:t>
            </w:r>
          </w:p>
        </w:tc>
        <w:tc>
          <w:tcPr>
            <w:tcW w:w="1237" w:type="pct"/>
            <w:vAlign w:val="center"/>
          </w:tcPr>
          <w:p>
            <w:pPr>
              <w:jc w:val="center"/>
            </w:pPr>
            <w:r>
              <w:t>＜</w:t>
            </w:r>
            <w:r>
              <w:rPr>
                <w:rFonts w:hint="eastAsia"/>
              </w:rPr>
              <w:t>1.2</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1,2-</w:t>
            </w:r>
            <w:r>
              <w:rPr>
                <w:rFonts w:hint="eastAsia"/>
              </w:rPr>
              <w:t>二氯乙烷，</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w:t>
            </w:r>
            <w:r>
              <w:rPr>
                <w:rFonts w:hint="eastAsia"/>
              </w:rPr>
              <w:t>二氯乙烯，</w:t>
            </w:r>
            <w:r>
              <w:t>mg/kg</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c>
          <w:tcPr>
            <w:tcW w:w="1237"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顺式</w:t>
            </w:r>
            <w:r>
              <w:t>-1,2-</w:t>
            </w:r>
            <w:r>
              <w:rPr>
                <w:rFonts w:hint="eastAsia"/>
              </w:rPr>
              <w:t>二氯乙烯，</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反式</w:t>
            </w:r>
            <w:r>
              <w:t>-1,2-</w:t>
            </w:r>
            <w:r>
              <w:rPr>
                <w:rFonts w:hint="eastAsia"/>
              </w:rPr>
              <w:t>二氯乙烯，</w:t>
            </w:r>
            <w:r>
              <w:t>mg/kg</w:t>
            </w:r>
          </w:p>
        </w:tc>
        <w:tc>
          <w:tcPr>
            <w:tcW w:w="1237" w:type="pct"/>
            <w:vAlign w:val="center"/>
          </w:tcPr>
          <w:p>
            <w:pPr>
              <w:jc w:val="center"/>
            </w:pPr>
            <w:r>
              <w:t>＜1.4×10</w:t>
            </w:r>
            <w:r>
              <w:rPr>
                <w:vertAlign w:val="superscript"/>
              </w:rPr>
              <w:t>-3</w:t>
            </w:r>
          </w:p>
        </w:tc>
        <w:tc>
          <w:tcPr>
            <w:tcW w:w="1237" w:type="pct"/>
            <w:vAlign w:val="center"/>
          </w:tcPr>
          <w:p>
            <w:pPr>
              <w:jc w:val="center"/>
            </w:pPr>
            <w:r>
              <w:t>＜1.4×10</w:t>
            </w:r>
            <w:r>
              <w:rPr>
                <w:vertAlign w:val="superscript"/>
              </w:rPr>
              <w:t>-3</w:t>
            </w:r>
          </w:p>
        </w:tc>
        <w:tc>
          <w:tcPr>
            <w:tcW w:w="1237" w:type="pct"/>
            <w:vAlign w:val="center"/>
          </w:tcPr>
          <w:p>
            <w:pPr>
              <w:jc w:val="center"/>
            </w:pPr>
            <w:r>
              <w:t>＜1.4×10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二氯甲烷，</w:t>
            </w:r>
            <w:r>
              <w:t>mg/kg</w:t>
            </w:r>
          </w:p>
        </w:tc>
        <w:tc>
          <w:tcPr>
            <w:tcW w:w="1237" w:type="pct"/>
            <w:vAlign w:val="center"/>
          </w:tcPr>
          <w:p>
            <w:pPr>
              <w:jc w:val="center"/>
            </w:pPr>
            <w:r>
              <w:t>＜</w:t>
            </w:r>
            <w:r>
              <w:rPr>
                <w:rFonts w:hint="eastAsia"/>
              </w:rPr>
              <w:t>1.5</w:t>
            </w:r>
            <w:r>
              <w:t>×10</w:t>
            </w:r>
            <w:r>
              <w:rPr>
                <w:vertAlign w:val="superscript"/>
              </w:rPr>
              <w:t>-3</w:t>
            </w:r>
          </w:p>
        </w:tc>
        <w:tc>
          <w:tcPr>
            <w:tcW w:w="1237" w:type="pct"/>
            <w:vAlign w:val="center"/>
          </w:tcPr>
          <w:p>
            <w:pPr>
              <w:jc w:val="center"/>
            </w:pPr>
            <w:r>
              <w:t>＜</w:t>
            </w:r>
            <w:r>
              <w:rPr>
                <w:rFonts w:hint="eastAsia"/>
              </w:rPr>
              <w:t>1.5</w:t>
            </w:r>
            <w:r>
              <w:t>×10</w:t>
            </w:r>
            <w:r>
              <w:rPr>
                <w:vertAlign w:val="superscript"/>
              </w:rPr>
              <w:t>-3</w:t>
            </w:r>
          </w:p>
        </w:tc>
        <w:tc>
          <w:tcPr>
            <w:tcW w:w="1237" w:type="pct"/>
            <w:vAlign w:val="center"/>
          </w:tcPr>
          <w:p>
            <w:pPr>
              <w:jc w:val="center"/>
            </w:pPr>
            <w:r>
              <w:t>＜</w:t>
            </w:r>
            <w:r>
              <w:rPr>
                <w:rFonts w:hint="eastAsia"/>
              </w:rPr>
              <w:t>1.5</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1,2-</w:t>
            </w:r>
            <w:r>
              <w:rPr>
                <w:rFonts w:hint="eastAsia"/>
              </w:rPr>
              <w:t>二氯丙烷，</w:t>
            </w:r>
            <w:r>
              <w:t>mg/kg</w:t>
            </w:r>
          </w:p>
        </w:tc>
        <w:tc>
          <w:tcPr>
            <w:tcW w:w="1237" w:type="pct"/>
            <w:vAlign w:val="center"/>
          </w:tcPr>
          <w:p>
            <w:pPr>
              <w:jc w:val="center"/>
            </w:pPr>
            <w:r>
              <w:t>＜1.1×10</w:t>
            </w:r>
            <w:r>
              <w:rPr>
                <w:vertAlign w:val="superscript"/>
              </w:rPr>
              <w:t>-3</w:t>
            </w:r>
          </w:p>
        </w:tc>
        <w:tc>
          <w:tcPr>
            <w:tcW w:w="1237" w:type="pct"/>
            <w:vAlign w:val="center"/>
          </w:tcPr>
          <w:p>
            <w:pPr>
              <w:jc w:val="center"/>
            </w:pPr>
            <w:r>
              <w:t>＜1.1×10</w:t>
            </w:r>
            <w:r>
              <w:rPr>
                <w:vertAlign w:val="superscript"/>
              </w:rPr>
              <w:t>-3</w:t>
            </w:r>
          </w:p>
        </w:tc>
        <w:tc>
          <w:tcPr>
            <w:tcW w:w="1237" w:type="pct"/>
            <w:vAlign w:val="center"/>
          </w:tcPr>
          <w:p>
            <w:pPr>
              <w:jc w:val="center"/>
            </w:pPr>
            <w:r>
              <w:t>＜1.1×10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1,1,1,2-</w:t>
            </w:r>
            <w:r>
              <w:rPr>
                <w:rFonts w:hint="eastAsia"/>
              </w:rPr>
              <w:t>四氯乙烷，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1,1,2,2-</w:t>
            </w:r>
            <w:r>
              <w:rPr>
                <w:rFonts w:hint="eastAsia"/>
              </w:rPr>
              <w:t>四氯乙烷，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rPr>
                <w:rFonts w:ascii="宋体" w:hAnsi="宋体" w:cs="宋体"/>
              </w:rPr>
            </w:pPr>
            <w:r>
              <w:rPr>
                <w:rFonts w:hint="eastAsia"/>
              </w:rPr>
              <w:t>四氯乙烯，</w:t>
            </w:r>
            <w:r>
              <w:t>mg/kg</w:t>
            </w:r>
          </w:p>
        </w:tc>
        <w:tc>
          <w:tcPr>
            <w:tcW w:w="1237" w:type="pct"/>
            <w:vAlign w:val="center"/>
          </w:tcPr>
          <w:p>
            <w:pPr>
              <w:jc w:val="center"/>
            </w:pPr>
            <w:r>
              <w:t>＜</w:t>
            </w:r>
            <w:r>
              <w:rPr>
                <w:rFonts w:hint="eastAsia"/>
              </w:rPr>
              <w:t>1</w:t>
            </w:r>
            <w:r>
              <w:t>.4×10</w:t>
            </w:r>
            <w:r>
              <w:rPr>
                <w:vertAlign w:val="superscript"/>
              </w:rPr>
              <w:t>-3</w:t>
            </w:r>
          </w:p>
        </w:tc>
        <w:tc>
          <w:tcPr>
            <w:tcW w:w="1237" w:type="pct"/>
            <w:vAlign w:val="center"/>
          </w:tcPr>
          <w:p>
            <w:pPr>
              <w:jc w:val="center"/>
            </w:pPr>
            <w:r>
              <w:t>＜</w:t>
            </w:r>
            <w:r>
              <w:rPr>
                <w:rFonts w:hint="eastAsia"/>
              </w:rPr>
              <w:t>1</w:t>
            </w:r>
            <w:r>
              <w:t>.4×10</w:t>
            </w:r>
            <w:r>
              <w:rPr>
                <w:vertAlign w:val="superscript"/>
              </w:rPr>
              <w:t>-3</w:t>
            </w:r>
          </w:p>
        </w:tc>
        <w:tc>
          <w:tcPr>
            <w:tcW w:w="1237" w:type="pct"/>
            <w:vAlign w:val="center"/>
          </w:tcPr>
          <w:p>
            <w:pPr>
              <w:jc w:val="center"/>
            </w:pPr>
            <w:r>
              <w:rPr>
                <w:rFonts w:hint="eastAsia"/>
              </w:rPr>
              <w:t>＜1.4</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1,1,1-</w:t>
            </w:r>
            <w:r>
              <w:rPr>
                <w:rFonts w:hint="eastAsia"/>
              </w:rPr>
              <w:t>三氯乙烷，</w:t>
            </w:r>
            <w:r>
              <w:t>mg/kg</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c>
          <w:tcPr>
            <w:tcW w:w="1237" w:type="pct"/>
            <w:vAlign w:val="center"/>
          </w:tcPr>
          <w:p>
            <w:pPr>
              <w:jc w:val="center"/>
            </w:pPr>
            <w:r>
              <w:t>＜1.3×10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288" w:type="pct"/>
            <w:vAlign w:val="center"/>
          </w:tcPr>
          <w:p>
            <w:pPr>
              <w:jc w:val="center"/>
            </w:pPr>
            <w:r>
              <w:t>1,1,2-</w:t>
            </w:r>
            <w:r>
              <w:rPr>
                <w:rFonts w:hint="eastAsia"/>
              </w:rPr>
              <w:t>三氯乙烷，</w:t>
            </w:r>
            <w:r>
              <w:t>mg/kg</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c>
          <w:tcPr>
            <w:tcW w:w="1237" w:type="pct"/>
            <w:vAlign w:val="center"/>
          </w:tcPr>
          <w:p>
            <w:pPr>
              <w:jc w:val="center"/>
            </w:pPr>
            <w:r>
              <w:t>＜1.2×10</w:t>
            </w:r>
            <w:r>
              <w:rPr>
                <w:vertAlign w:val="superscript"/>
              </w:rPr>
              <w:t>-3</w:t>
            </w:r>
          </w:p>
        </w:tc>
      </w:tr>
    </w:tbl>
    <w:p>
      <w:pPr>
        <w:pStyle w:val="20"/>
        <w:ind w:firstLine="480"/>
      </w:pPr>
    </w:p>
    <w:p>
      <w:pPr>
        <w:pStyle w:val="20"/>
        <w:ind w:firstLine="480"/>
      </w:pPr>
      <w:r>
        <w:br w:type="page"/>
      </w:r>
    </w:p>
    <w:p>
      <w:pPr>
        <w:pStyle w:val="32"/>
        <w:tabs>
          <w:tab w:val="left" w:pos="4540"/>
          <w:tab w:val="clear" w:pos="900"/>
        </w:tabs>
      </w:pPr>
      <w:r>
        <w:t>表4.3-</w:t>
      </w:r>
      <w:r>
        <w:rPr>
          <w:rFonts w:hint="eastAsia"/>
        </w:rPr>
        <w:t>12（12）                土壤检测结果</w:t>
      </w:r>
    </w:p>
    <w:tbl>
      <w:tblPr>
        <w:tblStyle w:val="21"/>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60"/>
        <w:gridCol w:w="2202"/>
        <w:gridCol w:w="2303"/>
        <w:gridCol w:w="23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spacing w:before="60" w:beforeLines="25" w:after="60" w:afterLines="25"/>
              <w:jc w:val="center"/>
              <w:rPr>
                <w:b/>
                <w:bCs/>
              </w:rPr>
            </w:pPr>
            <w:r>
              <w:rPr>
                <w:rFonts w:hint="eastAsia"/>
                <w:b/>
                <w:bCs/>
              </w:rPr>
              <w:t>监 测 项 目</w:t>
            </w:r>
          </w:p>
        </w:tc>
        <w:tc>
          <w:tcPr>
            <w:tcW w:w="1200" w:type="pct"/>
            <w:vAlign w:val="center"/>
          </w:tcPr>
          <w:p>
            <w:pPr>
              <w:widowControl/>
              <w:jc w:val="center"/>
              <w:rPr>
                <w:b/>
                <w:bCs/>
              </w:rPr>
            </w:pPr>
            <w:r>
              <w:rPr>
                <w:b/>
                <w:bCs/>
              </w:rPr>
              <w:t>H02791545</w:t>
            </w:r>
          </w:p>
          <w:p>
            <w:pPr>
              <w:widowControl/>
              <w:jc w:val="center"/>
              <w:rPr>
                <w:b/>
                <w:bCs/>
              </w:rPr>
            </w:pPr>
            <w:r>
              <w:rPr>
                <w:b/>
                <w:bCs/>
              </w:rPr>
              <w:t xml:space="preserve">土壤   </w:t>
            </w:r>
          </w:p>
          <w:p>
            <w:pPr>
              <w:widowControl/>
              <w:jc w:val="center"/>
              <w:rPr>
                <w:b/>
                <w:bCs/>
                <w:kern w:val="0"/>
              </w:rPr>
            </w:pPr>
            <w:r>
              <w:rPr>
                <w:b/>
                <w:bCs/>
              </w:rPr>
              <w:t>8#张康呼村庄0-0.2m</w:t>
            </w:r>
          </w:p>
        </w:tc>
        <w:tc>
          <w:tcPr>
            <w:tcW w:w="1255" w:type="pct"/>
            <w:vAlign w:val="center"/>
          </w:tcPr>
          <w:p>
            <w:pPr>
              <w:widowControl/>
              <w:jc w:val="center"/>
              <w:rPr>
                <w:b/>
                <w:bCs/>
              </w:rPr>
            </w:pPr>
            <w:r>
              <w:rPr>
                <w:b/>
                <w:bCs/>
              </w:rPr>
              <w:t>H02792545</w:t>
            </w:r>
          </w:p>
          <w:p>
            <w:pPr>
              <w:widowControl/>
              <w:jc w:val="center"/>
              <w:rPr>
                <w:b/>
                <w:bCs/>
              </w:rPr>
            </w:pPr>
            <w:r>
              <w:rPr>
                <w:b/>
                <w:bCs/>
              </w:rPr>
              <w:t xml:space="preserve">土壤   </w:t>
            </w:r>
          </w:p>
          <w:p>
            <w:pPr>
              <w:widowControl/>
              <w:jc w:val="center"/>
              <w:rPr>
                <w:b/>
                <w:bCs/>
                <w:kern w:val="0"/>
              </w:rPr>
            </w:pPr>
            <w:r>
              <w:rPr>
                <w:b/>
                <w:bCs/>
              </w:rPr>
              <w:t>9#项目东北侧空地0-0.2m</w:t>
            </w:r>
          </w:p>
        </w:tc>
        <w:tc>
          <w:tcPr>
            <w:tcW w:w="1256" w:type="pct"/>
            <w:vAlign w:val="center"/>
          </w:tcPr>
          <w:p>
            <w:pPr>
              <w:widowControl/>
              <w:jc w:val="center"/>
              <w:rPr>
                <w:b/>
                <w:bCs/>
              </w:rPr>
            </w:pPr>
            <w:r>
              <w:rPr>
                <w:b/>
                <w:bCs/>
              </w:rPr>
              <w:t>H02793545</w:t>
            </w:r>
          </w:p>
          <w:p>
            <w:pPr>
              <w:widowControl/>
              <w:jc w:val="center"/>
              <w:rPr>
                <w:b/>
                <w:bCs/>
              </w:rPr>
            </w:pPr>
            <w:r>
              <w:rPr>
                <w:b/>
                <w:bCs/>
              </w:rPr>
              <w:t xml:space="preserve">土壤   </w:t>
            </w:r>
          </w:p>
          <w:p>
            <w:pPr>
              <w:widowControl/>
              <w:jc w:val="center"/>
              <w:rPr>
                <w:b/>
                <w:bCs/>
                <w:kern w:val="0"/>
              </w:rPr>
            </w:pPr>
            <w:r>
              <w:rPr>
                <w:b/>
                <w:bCs/>
              </w:rPr>
              <w:t>10#项目西北侧空地0-0.2m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三氯乙烯，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1,2,3-</w:t>
            </w:r>
            <w:r>
              <w:rPr>
                <w:rFonts w:hint="eastAsia"/>
              </w:rPr>
              <w:t>三氯丙烷，</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氯乙烯，</w:t>
            </w:r>
            <w:r>
              <w:t>mg/kg</w:t>
            </w:r>
          </w:p>
        </w:tc>
        <w:tc>
          <w:tcPr>
            <w:tcW w:w="1200" w:type="pct"/>
            <w:vAlign w:val="center"/>
          </w:tcPr>
          <w:p>
            <w:pPr>
              <w:jc w:val="center"/>
            </w:pPr>
            <w:r>
              <w:t>＜1.0×10</w:t>
            </w:r>
            <w:r>
              <w:rPr>
                <w:vertAlign w:val="superscript"/>
              </w:rPr>
              <w:t>-3</w:t>
            </w:r>
          </w:p>
        </w:tc>
        <w:tc>
          <w:tcPr>
            <w:tcW w:w="1255" w:type="pct"/>
            <w:vAlign w:val="center"/>
          </w:tcPr>
          <w:p>
            <w:pPr>
              <w:jc w:val="center"/>
            </w:pPr>
            <w:r>
              <w:t>＜1.0×10</w:t>
            </w:r>
            <w:r>
              <w:rPr>
                <w:vertAlign w:val="superscript"/>
              </w:rPr>
              <w:t>-3</w:t>
            </w:r>
          </w:p>
        </w:tc>
        <w:tc>
          <w:tcPr>
            <w:tcW w:w="1256" w:type="pct"/>
            <w:vAlign w:val="center"/>
          </w:tcPr>
          <w:p>
            <w:pPr>
              <w:jc w:val="center"/>
            </w:pPr>
            <w:r>
              <w:t>＜1.0×10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w:t>
            </w:r>
            <w:r>
              <w:t>mg/kg</w:t>
            </w:r>
          </w:p>
        </w:tc>
        <w:tc>
          <w:tcPr>
            <w:tcW w:w="1200" w:type="pct"/>
            <w:vAlign w:val="center"/>
          </w:tcPr>
          <w:p>
            <w:pPr>
              <w:jc w:val="center"/>
            </w:pPr>
            <w:r>
              <w:t>＜1.9×10</w:t>
            </w:r>
            <w:r>
              <w:rPr>
                <w:vertAlign w:val="superscript"/>
              </w:rPr>
              <w:t>-3</w:t>
            </w:r>
          </w:p>
        </w:tc>
        <w:tc>
          <w:tcPr>
            <w:tcW w:w="1255" w:type="pct"/>
            <w:vAlign w:val="center"/>
          </w:tcPr>
          <w:p>
            <w:pPr>
              <w:jc w:val="center"/>
            </w:pPr>
            <w:r>
              <w:t>＜1.9×10</w:t>
            </w:r>
            <w:r>
              <w:rPr>
                <w:vertAlign w:val="superscript"/>
              </w:rPr>
              <w:t>-3</w:t>
            </w:r>
          </w:p>
        </w:tc>
        <w:tc>
          <w:tcPr>
            <w:tcW w:w="1256" w:type="pct"/>
            <w:vAlign w:val="center"/>
          </w:tcPr>
          <w:p>
            <w:pPr>
              <w:jc w:val="center"/>
            </w:pPr>
            <w:r>
              <w:t>＜1.9×10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氯苯，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1,2-</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6"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1,4-</w:t>
            </w:r>
            <w:r>
              <w:rPr>
                <w:rFonts w:hint="eastAsia"/>
              </w:rPr>
              <w:t>二氯苯，</w:t>
            </w:r>
            <w:r>
              <w:t>mg/kg</w:t>
            </w:r>
          </w:p>
        </w:tc>
        <w:tc>
          <w:tcPr>
            <w:tcW w:w="1200" w:type="pct"/>
            <w:vAlign w:val="center"/>
          </w:tcPr>
          <w:p>
            <w:pPr>
              <w:jc w:val="center"/>
            </w:pPr>
            <w:r>
              <w:t>＜1.5×10</w:t>
            </w:r>
            <w:r>
              <w:rPr>
                <w:vertAlign w:val="superscript"/>
              </w:rPr>
              <w:t>-3</w:t>
            </w:r>
          </w:p>
        </w:tc>
        <w:tc>
          <w:tcPr>
            <w:tcW w:w="1255" w:type="pct"/>
            <w:vAlign w:val="center"/>
          </w:tcPr>
          <w:p>
            <w:pPr>
              <w:jc w:val="center"/>
            </w:pPr>
            <w:r>
              <w:t>＜1.5×10</w:t>
            </w:r>
            <w:r>
              <w:rPr>
                <w:vertAlign w:val="superscript"/>
              </w:rPr>
              <w:t>-3</w:t>
            </w:r>
          </w:p>
        </w:tc>
        <w:tc>
          <w:tcPr>
            <w:tcW w:w="1256" w:type="pct"/>
            <w:vAlign w:val="center"/>
          </w:tcPr>
          <w:p>
            <w:pPr>
              <w:jc w:val="center"/>
            </w:pPr>
            <w:r>
              <w:t>＜1.5×10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乙苯，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苯乙烯，</w:t>
            </w:r>
            <w:r>
              <w:t>mg/kg</w:t>
            </w:r>
          </w:p>
        </w:tc>
        <w:tc>
          <w:tcPr>
            <w:tcW w:w="1200" w:type="pct"/>
            <w:vAlign w:val="center"/>
          </w:tcPr>
          <w:p>
            <w:pPr>
              <w:jc w:val="center"/>
            </w:pPr>
            <w:r>
              <w:t>＜1.</w:t>
            </w:r>
            <w:r>
              <w:rPr>
                <w:rFonts w:hint="eastAsia"/>
              </w:rPr>
              <w:t>1</w:t>
            </w:r>
            <w:r>
              <w:t>×10</w:t>
            </w:r>
            <w:r>
              <w:rPr>
                <w:vertAlign w:val="superscript"/>
              </w:rPr>
              <w:t>-3</w:t>
            </w:r>
          </w:p>
        </w:tc>
        <w:tc>
          <w:tcPr>
            <w:tcW w:w="1255" w:type="pct"/>
            <w:vAlign w:val="center"/>
          </w:tcPr>
          <w:p>
            <w:pPr>
              <w:jc w:val="center"/>
            </w:pPr>
            <w:r>
              <w:t>＜1.</w:t>
            </w:r>
            <w:r>
              <w:rPr>
                <w:rFonts w:hint="eastAsia"/>
              </w:rPr>
              <w:t>1</w:t>
            </w:r>
            <w:r>
              <w:t>×10</w:t>
            </w:r>
            <w:r>
              <w:rPr>
                <w:vertAlign w:val="superscript"/>
              </w:rPr>
              <w:t>-3</w:t>
            </w:r>
          </w:p>
        </w:tc>
        <w:tc>
          <w:tcPr>
            <w:tcW w:w="1256" w:type="pct"/>
            <w:vAlign w:val="center"/>
          </w:tcPr>
          <w:p>
            <w:pPr>
              <w:jc w:val="center"/>
            </w:pPr>
            <w:r>
              <w:t>＜1.</w:t>
            </w:r>
            <w:r>
              <w:rPr>
                <w:rFonts w:hint="eastAsia"/>
              </w:rPr>
              <w:t>1</w:t>
            </w:r>
            <w:r>
              <w:t>×10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甲苯，</w:t>
            </w:r>
            <w:r>
              <w:t>mg/kg</w:t>
            </w:r>
          </w:p>
        </w:tc>
        <w:tc>
          <w:tcPr>
            <w:tcW w:w="1200" w:type="pct"/>
            <w:vAlign w:val="center"/>
          </w:tcPr>
          <w:p>
            <w:pPr>
              <w:jc w:val="center"/>
            </w:pPr>
            <w:r>
              <w:rPr>
                <w:rFonts w:hint="eastAsia"/>
              </w:rPr>
              <w:t>3</w:t>
            </w:r>
            <w:r>
              <w:t>.0×10</w:t>
            </w:r>
            <w:r>
              <w:rPr>
                <w:vertAlign w:val="superscript"/>
              </w:rPr>
              <w:t>-3</w:t>
            </w:r>
          </w:p>
        </w:tc>
        <w:tc>
          <w:tcPr>
            <w:tcW w:w="1255" w:type="pct"/>
            <w:vAlign w:val="center"/>
          </w:tcPr>
          <w:p>
            <w:pPr>
              <w:jc w:val="center"/>
            </w:pPr>
            <w:r>
              <w:rPr>
                <w:rFonts w:hint="eastAsia"/>
              </w:rPr>
              <w:t>3</w:t>
            </w:r>
            <w:r>
              <w:t>.2×10</w:t>
            </w:r>
            <w:r>
              <w:rPr>
                <w:vertAlign w:val="superscript"/>
              </w:rPr>
              <w:t>-3</w:t>
            </w:r>
          </w:p>
        </w:tc>
        <w:tc>
          <w:tcPr>
            <w:tcW w:w="1256" w:type="pct"/>
            <w:vAlign w:val="center"/>
          </w:tcPr>
          <w:p>
            <w:pPr>
              <w:jc w:val="center"/>
            </w:pPr>
            <w:r>
              <w:rPr>
                <w:rFonts w:hint="eastAsia"/>
              </w:rPr>
              <w:t>3</w:t>
            </w:r>
            <w:r>
              <w:t>.2×10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对间</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邻</w:t>
            </w:r>
            <w:r>
              <w:t>-</w:t>
            </w:r>
            <w:r>
              <w:rPr>
                <w:rFonts w:hint="eastAsia"/>
              </w:rPr>
              <w:t>二甲苯，</w:t>
            </w:r>
            <w:r>
              <w:t>mg/kg</w:t>
            </w:r>
          </w:p>
        </w:tc>
        <w:tc>
          <w:tcPr>
            <w:tcW w:w="1200" w:type="pct"/>
            <w:vAlign w:val="center"/>
          </w:tcPr>
          <w:p>
            <w:pPr>
              <w:jc w:val="center"/>
            </w:pPr>
            <w:r>
              <w:t>＜1.2×10</w:t>
            </w:r>
            <w:r>
              <w:rPr>
                <w:vertAlign w:val="superscript"/>
              </w:rPr>
              <w:t>-3</w:t>
            </w:r>
          </w:p>
        </w:tc>
        <w:tc>
          <w:tcPr>
            <w:tcW w:w="1255" w:type="pct"/>
            <w:vAlign w:val="center"/>
          </w:tcPr>
          <w:p>
            <w:pPr>
              <w:jc w:val="center"/>
            </w:pPr>
            <w:r>
              <w:t>＜1.2×10</w:t>
            </w:r>
            <w:r>
              <w:rPr>
                <w:vertAlign w:val="superscript"/>
              </w:rPr>
              <w:t>-3</w:t>
            </w:r>
          </w:p>
        </w:tc>
        <w:tc>
          <w:tcPr>
            <w:tcW w:w="1256" w:type="pct"/>
            <w:vAlign w:val="center"/>
          </w:tcPr>
          <w:p>
            <w:pPr>
              <w:jc w:val="center"/>
            </w:pPr>
            <w:r>
              <w:t>＜1.2×10</w:t>
            </w:r>
            <w:r>
              <w:rPr>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硝基苯，</w:t>
            </w:r>
            <w:r>
              <w:t>mg/kg</w:t>
            </w:r>
          </w:p>
        </w:tc>
        <w:tc>
          <w:tcPr>
            <w:tcW w:w="1200" w:type="pct"/>
            <w:vAlign w:val="center"/>
          </w:tcPr>
          <w:p>
            <w:pPr>
              <w:jc w:val="center"/>
            </w:pPr>
            <w:r>
              <w:t>＜0.09</w:t>
            </w:r>
          </w:p>
        </w:tc>
        <w:tc>
          <w:tcPr>
            <w:tcW w:w="1255" w:type="pct"/>
            <w:vAlign w:val="center"/>
          </w:tcPr>
          <w:p>
            <w:pPr>
              <w:jc w:val="center"/>
            </w:pPr>
            <w:r>
              <w:t>＜0.09</w:t>
            </w:r>
          </w:p>
        </w:tc>
        <w:tc>
          <w:tcPr>
            <w:tcW w:w="1256" w:type="pct"/>
            <w:vAlign w:val="center"/>
          </w:tcPr>
          <w:p>
            <w:pPr>
              <w:jc w:val="center"/>
            </w:pPr>
            <w:r>
              <w:t>＜0.09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rPr>
                <w:rFonts w:ascii="宋体" w:hAnsi="宋体" w:cs="宋体"/>
              </w:rPr>
            </w:pPr>
            <w:r>
              <w:rPr>
                <w:rFonts w:hint="eastAsia"/>
              </w:rPr>
              <w:t>苯胺，</w:t>
            </w:r>
            <w:r>
              <w:t>mg/kg</w:t>
            </w:r>
          </w:p>
        </w:tc>
        <w:tc>
          <w:tcPr>
            <w:tcW w:w="1200" w:type="pct"/>
            <w:vAlign w:val="center"/>
          </w:tcPr>
          <w:p>
            <w:pPr>
              <w:jc w:val="center"/>
            </w:pPr>
            <w:r>
              <w:t>＜0.</w:t>
            </w:r>
            <w:r>
              <w:rPr>
                <w:rFonts w:hint="eastAsia"/>
              </w:rPr>
              <w:t>1</w:t>
            </w:r>
          </w:p>
        </w:tc>
        <w:tc>
          <w:tcPr>
            <w:tcW w:w="1255" w:type="pct"/>
            <w:vAlign w:val="center"/>
          </w:tcPr>
          <w:p>
            <w:pPr>
              <w:jc w:val="center"/>
            </w:pPr>
            <w:r>
              <w:t>＜0.</w:t>
            </w:r>
            <w:r>
              <w:rPr>
                <w:rFonts w:hint="eastAsia"/>
              </w:rPr>
              <w:t>1</w:t>
            </w:r>
          </w:p>
        </w:tc>
        <w:tc>
          <w:tcPr>
            <w:tcW w:w="1256" w:type="pct"/>
            <w:vAlign w:val="center"/>
          </w:tcPr>
          <w:p>
            <w:pPr>
              <w:jc w:val="center"/>
            </w:pPr>
            <w:r>
              <w:t>＜0.</w:t>
            </w:r>
            <w:r>
              <w:rPr>
                <w:rFonts w:hint="eastAsia"/>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t>2-</w:t>
            </w:r>
            <w:r>
              <w:rPr>
                <w:rFonts w:hint="eastAsia"/>
              </w:rPr>
              <w:t>氯酚，</w:t>
            </w:r>
            <w:r>
              <w:t>mg/kg</w:t>
            </w:r>
          </w:p>
        </w:tc>
        <w:tc>
          <w:tcPr>
            <w:tcW w:w="1200" w:type="pct"/>
            <w:vAlign w:val="center"/>
          </w:tcPr>
          <w:p>
            <w:pPr>
              <w:jc w:val="center"/>
            </w:pPr>
            <w:r>
              <w:t>＜0.06</w:t>
            </w:r>
          </w:p>
        </w:tc>
        <w:tc>
          <w:tcPr>
            <w:tcW w:w="1255" w:type="pct"/>
            <w:vAlign w:val="center"/>
          </w:tcPr>
          <w:p>
            <w:pPr>
              <w:jc w:val="center"/>
            </w:pPr>
            <w:r>
              <w:t>＜0.06</w:t>
            </w:r>
          </w:p>
        </w:tc>
        <w:tc>
          <w:tcPr>
            <w:tcW w:w="1256" w:type="pct"/>
            <w:vAlign w:val="center"/>
          </w:tcPr>
          <w:p>
            <w:pPr>
              <w:jc w:val="center"/>
            </w:pPr>
            <w:r>
              <w:t>＜0.06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苯并（a）蒽，</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苯并（a）芘，</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6"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苯并（b）荧蒽，</w:t>
            </w:r>
            <w:r>
              <w:t>mg/kg</w:t>
            </w:r>
          </w:p>
        </w:tc>
        <w:tc>
          <w:tcPr>
            <w:tcW w:w="1200" w:type="pct"/>
            <w:vAlign w:val="center"/>
          </w:tcPr>
          <w:p>
            <w:pPr>
              <w:jc w:val="center"/>
            </w:pPr>
            <w:r>
              <w:t>＜0.2</w:t>
            </w:r>
          </w:p>
        </w:tc>
        <w:tc>
          <w:tcPr>
            <w:tcW w:w="1255" w:type="pct"/>
            <w:vAlign w:val="center"/>
          </w:tcPr>
          <w:p>
            <w:pPr>
              <w:jc w:val="center"/>
            </w:pPr>
            <w:r>
              <w:t>＜0.2</w:t>
            </w:r>
          </w:p>
        </w:tc>
        <w:tc>
          <w:tcPr>
            <w:tcW w:w="1256" w:type="pct"/>
            <w:vAlign w:val="center"/>
          </w:tcPr>
          <w:p>
            <w:pPr>
              <w:jc w:val="center"/>
            </w:pPr>
            <w:r>
              <w:t>＜0.2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苯并（k）荧蒽，</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䓛，</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二苯并（a,h）蒽，</w:t>
            </w:r>
            <w:r>
              <w:t>mg/kg</w:t>
            </w:r>
          </w:p>
        </w:tc>
        <w:tc>
          <w:tcPr>
            <w:tcW w:w="1200" w:type="pct"/>
            <w:vAlign w:val="center"/>
          </w:tcPr>
          <w:p>
            <w:pPr>
              <w:jc w:val="center"/>
            </w:pPr>
            <w:r>
              <w:t>＜</w:t>
            </w:r>
            <w:r>
              <w:rPr>
                <w:rFonts w:hint="eastAsia"/>
              </w:rPr>
              <w:t>0.1</w:t>
            </w:r>
          </w:p>
        </w:tc>
        <w:tc>
          <w:tcPr>
            <w:tcW w:w="1255" w:type="pct"/>
            <w:vAlign w:val="center"/>
          </w:tcPr>
          <w:p>
            <w:pPr>
              <w:jc w:val="center"/>
            </w:pPr>
            <w:r>
              <w:t>＜</w:t>
            </w:r>
            <w:r>
              <w:rPr>
                <w:rFonts w:hint="eastAsia"/>
              </w:rPr>
              <w:t>0.1</w:t>
            </w:r>
          </w:p>
        </w:tc>
        <w:tc>
          <w:tcPr>
            <w:tcW w:w="1256" w:type="pct"/>
            <w:vAlign w:val="center"/>
          </w:tcPr>
          <w:p>
            <w:pPr>
              <w:jc w:val="center"/>
            </w:pPr>
            <w:r>
              <w:t>＜</w:t>
            </w:r>
            <w:r>
              <w:rPr>
                <w:rFonts w:hint="eastAsia"/>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茚并（1,2,3-c,d）芘，</w:t>
            </w:r>
            <w:r>
              <w:t>mg/kg</w:t>
            </w:r>
          </w:p>
        </w:tc>
        <w:tc>
          <w:tcPr>
            <w:tcW w:w="1200" w:type="pct"/>
            <w:vAlign w:val="center"/>
          </w:tcPr>
          <w:p>
            <w:pPr>
              <w:jc w:val="center"/>
            </w:pPr>
            <w:r>
              <w:t>＜0.1</w:t>
            </w:r>
          </w:p>
        </w:tc>
        <w:tc>
          <w:tcPr>
            <w:tcW w:w="1255" w:type="pct"/>
            <w:vAlign w:val="center"/>
          </w:tcPr>
          <w:p>
            <w:pPr>
              <w:jc w:val="center"/>
            </w:pPr>
            <w:r>
              <w:t>＜0.1</w:t>
            </w:r>
          </w:p>
        </w:tc>
        <w:tc>
          <w:tcPr>
            <w:tcW w:w="1256" w:type="pct"/>
            <w:vAlign w:val="center"/>
          </w:tcPr>
          <w:p>
            <w:pPr>
              <w:jc w:val="center"/>
            </w:pPr>
            <w: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trPr>
        <w:tc>
          <w:tcPr>
            <w:tcW w:w="1286" w:type="pct"/>
            <w:vAlign w:val="center"/>
          </w:tcPr>
          <w:p>
            <w:pPr>
              <w:jc w:val="center"/>
            </w:pPr>
            <w:r>
              <w:rPr>
                <w:rFonts w:hint="eastAsia"/>
              </w:rPr>
              <w:t>萘，</w:t>
            </w:r>
            <w:r>
              <w:t>mg/kg</w:t>
            </w:r>
          </w:p>
        </w:tc>
        <w:tc>
          <w:tcPr>
            <w:tcW w:w="1200" w:type="pct"/>
            <w:vAlign w:val="center"/>
          </w:tcPr>
          <w:p>
            <w:pPr>
              <w:jc w:val="center"/>
            </w:pPr>
            <w:r>
              <w:t>＜0.09</w:t>
            </w:r>
          </w:p>
        </w:tc>
        <w:tc>
          <w:tcPr>
            <w:tcW w:w="1255" w:type="pct"/>
            <w:vAlign w:val="center"/>
          </w:tcPr>
          <w:p>
            <w:pPr>
              <w:jc w:val="center"/>
            </w:pPr>
            <w:r>
              <w:t>＜0.09</w:t>
            </w:r>
          </w:p>
        </w:tc>
        <w:tc>
          <w:tcPr>
            <w:tcW w:w="1256" w:type="pct"/>
            <w:vAlign w:val="center"/>
          </w:tcPr>
          <w:p>
            <w:pPr>
              <w:jc w:val="center"/>
            </w:pPr>
            <w:r>
              <w:t>＜0.09</w:t>
            </w:r>
          </w:p>
        </w:tc>
      </w:tr>
    </w:tbl>
    <w:p>
      <w:pPr>
        <w:pStyle w:val="20"/>
        <w:ind w:firstLine="480"/>
      </w:pPr>
      <w:r>
        <w:br w:type="page"/>
      </w:r>
    </w:p>
    <w:p>
      <w:pPr>
        <w:pStyle w:val="32"/>
        <w:tabs>
          <w:tab w:val="left" w:pos="4540"/>
          <w:tab w:val="clear" w:pos="900"/>
        </w:tabs>
      </w:pPr>
      <w:r>
        <w:t>表4.3-</w:t>
      </w:r>
      <w:r>
        <w:rPr>
          <w:rFonts w:hint="eastAsia"/>
        </w:rPr>
        <w:t>12（13）                土壤检测结果</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12"/>
        <w:gridCol w:w="526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spacing w:before="60" w:beforeLines="25" w:after="60" w:afterLines="25"/>
              <w:jc w:val="center"/>
              <w:rPr>
                <w:b/>
                <w:bCs/>
              </w:rPr>
            </w:pPr>
            <w:r>
              <w:rPr>
                <w:rFonts w:hint="eastAsia"/>
                <w:b/>
                <w:bCs/>
              </w:rPr>
              <w:t>监 测 项 目</w:t>
            </w:r>
          </w:p>
        </w:tc>
        <w:tc>
          <w:tcPr>
            <w:tcW w:w="2867" w:type="pct"/>
            <w:vAlign w:val="center"/>
          </w:tcPr>
          <w:p>
            <w:pPr>
              <w:widowControl/>
              <w:jc w:val="center"/>
              <w:rPr>
                <w:b/>
                <w:bCs/>
              </w:rPr>
            </w:pPr>
            <w:r>
              <w:rPr>
                <w:b/>
                <w:bCs/>
              </w:rPr>
              <w:t xml:space="preserve">H02794545土壤   </w:t>
            </w:r>
          </w:p>
          <w:p>
            <w:pPr>
              <w:widowControl/>
              <w:jc w:val="center"/>
              <w:rPr>
                <w:b/>
                <w:bCs/>
                <w:kern w:val="0"/>
              </w:rPr>
            </w:pPr>
            <w:r>
              <w:rPr>
                <w:b/>
                <w:bCs/>
              </w:rPr>
              <w:t>11#张康呼村农用地0-0.2m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t>pH</w:t>
            </w:r>
            <w:r>
              <w:rPr>
                <w:rFonts w:hAnsi="宋体"/>
              </w:rPr>
              <w:t>（无量纲）</w:t>
            </w:r>
          </w:p>
        </w:tc>
        <w:tc>
          <w:tcPr>
            <w:tcW w:w="2867" w:type="pct"/>
            <w:vAlign w:val="center"/>
          </w:tcPr>
          <w:p>
            <w:pPr>
              <w:widowControl/>
              <w:jc w:val="center"/>
              <w:rPr>
                <w:kern w:val="0"/>
              </w:rPr>
            </w:pPr>
            <w:r>
              <w:t>8.82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总砷，mg/kg</w:t>
            </w:r>
          </w:p>
        </w:tc>
        <w:tc>
          <w:tcPr>
            <w:tcW w:w="2867" w:type="pct"/>
            <w:vAlign w:val="center"/>
          </w:tcPr>
          <w:p>
            <w:pPr>
              <w:jc w:val="center"/>
            </w:pPr>
            <w:r>
              <w:t>5.93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镉，mg/kg</w:t>
            </w:r>
          </w:p>
        </w:tc>
        <w:tc>
          <w:tcPr>
            <w:tcW w:w="2867" w:type="pct"/>
            <w:vAlign w:val="center"/>
          </w:tcPr>
          <w:p>
            <w:pPr>
              <w:jc w:val="center"/>
            </w:pPr>
            <w:r>
              <w:t>0.13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铜，mg/kg</w:t>
            </w:r>
          </w:p>
        </w:tc>
        <w:tc>
          <w:tcPr>
            <w:tcW w:w="2867" w:type="pct"/>
            <w:vAlign w:val="center"/>
          </w:tcPr>
          <w:p>
            <w:pPr>
              <w:widowControl/>
              <w:jc w:val="center"/>
              <w:rPr>
                <w:kern w:val="0"/>
              </w:rPr>
            </w:pPr>
            <w:r>
              <w:t>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铅，mg/kg</w:t>
            </w:r>
          </w:p>
        </w:tc>
        <w:tc>
          <w:tcPr>
            <w:tcW w:w="2867" w:type="pct"/>
            <w:vAlign w:val="center"/>
          </w:tcPr>
          <w:p>
            <w:pPr>
              <w:jc w:val="center"/>
            </w:pPr>
            <w:r>
              <w:t>17.5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总汞，mg/kg</w:t>
            </w:r>
          </w:p>
        </w:tc>
        <w:tc>
          <w:tcPr>
            <w:tcW w:w="2867" w:type="pct"/>
            <w:vAlign w:val="center"/>
          </w:tcPr>
          <w:p>
            <w:pPr>
              <w:jc w:val="center"/>
            </w:pPr>
            <w:r>
              <w:t>0.016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镍，mg/kg</w:t>
            </w:r>
          </w:p>
        </w:tc>
        <w:tc>
          <w:tcPr>
            <w:tcW w:w="2867" w:type="pct"/>
            <w:vAlign w:val="center"/>
          </w:tcPr>
          <w:p>
            <w:pPr>
              <w:jc w:val="center"/>
            </w:pPr>
            <w: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jc w:val="center"/>
            </w:pPr>
            <w:r>
              <w:rPr>
                <w:rFonts w:hint="eastAsia"/>
              </w:rPr>
              <w:t>石油烃（C</w:t>
            </w:r>
            <w:r>
              <w:rPr>
                <w:vertAlign w:val="subscript"/>
              </w:rPr>
              <w:t>10</w:t>
            </w:r>
            <w:r>
              <w:t>~C</w:t>
            </w:r>
            <w:r>
              <w:rPr>
                <w:vertAlign w:val="subscript"/>
              </w:rPr>
              <w:t>40</w:t>
            </w:r>
            <w:r>
              <w:rPr>
                <w:rFonts w:hint="eastAsia"/>
              </w:rPr>
              <w:t>），mg/kg</w:t>
            </w:r>
          </w:p>
        </w:tc>
        <w:tc>
          <w:tcPr>
            <w:tcW w:w="2867" w:type="pct"/>
            <w:vAlign w:val="center"/>
          </w:tcPr>
          <w:p>
            <w:pPr>
              <w:jc w:val="center"/>
            </w:pPr>
            <w:r>
              <w:t>27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widowControl/>
              <w:jc w:val="center"/>
            </w:pPr>
            <w:r>
              <w:rPr>
                <w:rFonts w:hint="eastAsia"/>
              </w:rPr>
              <w:t>锌，mg/kg</w:t>
            </w:r>
          </w:p>
        </w:tc>
        <w:tc>
          <w:tcPr>
            <w:tcW w:w="2867" w:type="pct"/>
            <w:vAlign w:val="center"/>
          </w:tcPr>
          <w:p>
            <w:pPr>
              <w:widowControl/>
              <w:jc w:val="center"/>
              <w:rPr>
                <w:kern w:val="0"/>
              </w:rPr>
            </w:pPr>
            <w:r>
              <w:t>45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132" w:type="pct"/>
            <w:vAlign w:val="center"/>
          </w:tcPr>
          <w:p>
            <w:pPr>
              <w:widowControl/>
              <w:jc w:val="center"/>
            </w:pPr>
            <w:r>
              <w:rPr>
                <w:rFonts w:hint="eastAsia"/>
              </w:rPr>
              <w:t>铬，mg/kg</w:t>
            </w:r>
          </w:p>
        </w:tc>
        <w:tc>
          <w:tcPr>
            <w:tcW w:w="2867" w:type="pct"/>
            <w:vAlign w:val="center"/>
          </w:tcPr>
          <w:p>
            <w:pPr>
              <w:jc w:val="center"/>
            </w:pPr>
            <w:r>
              <w:t>38</w:t>
            </w:r>
          </w:p>
        </w:tc>
      </w:tr>
    </w:tbl>
    <w:p>
      <w:pPr>
        <w:pStyle w:val="32"/>
        <w:tabs>
          <w:tab w:val="left" w:pos="4540"/>
          <w:tab w:val="clear" w:pos="900"/>
        </w:tabs>
      </w:pPr>
      <w:r>
        <w:t>表4.3-</w:t>
      </w:r>
      <w:r>
        <w:rPr>
          <w:rFonts w:hint="eastAsia"/>
        </w:rPr>
        <w:t>13                 土壤理化特征调查</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2661"/>
        <w:gridCol w:w="2706"/>
        <w:gridCol w:w="262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641" w:type="pct"/>
            <w:vAlign w:val="center"/>
          </w:tcPr>
          <w:p>
            <w:pPr>
              <w:snapToGrid w:val="0"/>
              <w:jc w:val="center"/>
              <w:rPr>
                <w:rFonts w:hAnsi="宋体"/>
                <w:b/>
                <w:bCs/>
              </w:rPr>
            </w:pPr>
            <w:r>
              <w:rPr>
                <w:rFonts w:hAnsi="宋体"/>
                <w:b/>
                <w:bCs/>
              </w:rPr>
              <w:t>检测项目</w:t>
            </w:r>
          </w:p>
        </w:tc>
        <w:tc>
          <w:tcPr>
            <w:tcW w:w="1451" w:type="pct"/>
            <w:vAlign w:val="center"/>
          </w:tcPr>
          <w:p>
            <w:pPr>
              <w:widowControl/>
              <w:jc w:val="center"/>
              <w:rPr>
                <w:b/>
                <w:bCs/>
              </w:rPr>
            </w:pPr>
            <w:r>
              <w:rPr>
                <w:b/>
                <w:bCs/>
              </w:rPr>
              <w:t>H02774545土壤</w:t>
            </w:r>
          </w:p>
          <w:p>
            <w:pPr>
              <w:widowControl/>
              <w:jc w:val="center"/>
              <w:rPr>
                <w:b/>
                <w:bCs/>
                <w:kern w:val="0"/>
              </w:rPr>
            </w:pPr>
            <w:r>
              <w:rPr>
                <w:b/>
                <w:bCs/>
              </w:rPr>
              <w:t>1#合成釜附近0-0.5m土壤理化特性</w:t>
            </w:r>
          </w:p>
        </w:tc>
        <w:tc>
          <w:tcPr>
            <w:tcW w:w="1475" w:type="pct"/>
            <w:vAlign w:val="center"/>
          </w:tcPr>
          <w:p>
            <w:pPr>
              <w:widowControl/>
              <w:jc w:val="center"/>
              <w:rPr>
                <w:b/>
                <w:bCs/>
              </w:rPr>
            </w:pPr>
            <w:r>
              <w:rPr>
                <w:b/>
                <w:bCs/>
              </w:rPr>
              <w:t>H02775545土壤</w:t>
            </w:r>
          </w:p>
          <w:p>
            <w:pPr>
              <w:widowControl/>
              <w:jc w:val="center"/>
              <w:rPr>
                <w:b/>
                <w:bCs/>
                <w:kern w:val="0"/>
              </w:rPr>
            </w:pPr>
            <w:r>
              <w:rPr>
                <w:b/>
                <w:bCs/>
              </w:rPr>
              <w:t>1#合成釜附近0.5-1.5m土壤理化特性</w:t>
            </w:r>
          </w:p>
        </w:tc>
        <w:tc>
          <w:tcPr>
            <w:tcW w:w="1430" w:type="pct"/>
            <w:vAlign w:val="center"/>
          </w:tcPr>
          <w:p>
            <w:pPr>
              <w:widowControl/>
              <w:jc w:val="center"/>
              <w:rPr>
                <w:b/>
                <w:bCs/>
              </w:rPr>
            </w:pPr>
            <w:r>
              <w:rPr>
                <w:b/>
                <w:bCs/>
              </w:rPr>
              <w:t>H02776545土壤</w:t>
            </w:r>
          </w:p>
          <w:p>
            <w:pPr>
              <w:widowControl/>
              <w:jc w:val="center"/>
              <w:rPr>
                <w:b/>
                <w:bCs/>
                <w:kern w:val="0"/>
              </w:rPr>
            </w:pPr>
            <w:r>
              <w:rPr>
                <w:b/>
                <w:bCs/>
              </w:rPr>
              <w:t>1#合成釜附近1.5-3.0m土壤理化特性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Merge w:val="restart"/>
            <w:vAlign w:val="center"/>
          </w:tcPr>
          <w:p>
            <w:pPr>
              <w:jc w:val="center"/>
            </w:pPr>
            <w:r>
              <w:rPr>
                <w:rFonts w:hAnsi="宋体"/>
              </w:rPr>
              <w:t>土体构型</w:t>
            </w:r>
          </w:p>
          <w:p>
            <w:pPr>
              <w:snapToGrid w:val="0"/>
              <w:jc w:val="center"/>
            </w:pPr>
            <w:r>
              <w:rPr>
                <w:rFonts w:hAnsi="宋体"/>
              </w:rPr>
              <w:t>（土壤剖面）</w:t>
            </w:r>
          </w:p>
        </w:tc>
        <w:tc>
          <w:tcPr>
            <w:tcW w:w="1451" w:type="pct"/>
            <w:vAlign w:val="center"/>
          </w:tcPr>
          <w:p>
            <w:pPr>
              <w:snapToGrid w:val="0"/>
              <w:jc w:val="center"/>
            </w:pPr>
            <w:r>
              <w:drawing>
                <wp:inline distT="0" distB="0" distL="114300" distR="114300">
                  <wp:extent cx="1272540" cy="1572895"/>
                  <wp:effectExtent l="0" t="0" r="3810" b="8255"/>
                  <wp:docPr id="6" name="图片 1" descr="C:\Users\chen\Desktop\102706f281645d1c080f37da6fadc83.jpg102706f281645d1c080f37da6fadc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C:\Users\chen\Desktop\102706f281645d1c080f37da6fadc83.jpg102706f281645d1c080f37da6fadc83"/>
                          <pic:cNvPicPr>
                            <a:picLocks noChangeAspect="1"/>
                          </pic:cNvPicPr>
                        </pic:nvPicPr>
                        <pic:blipFill>
                          <a:blip r:embed="rId51"/>
                          <a:stretch>
                            <a:fillRect/>
                          </a:stretch>
                        </pic:blipFill>
                        <pic:spPr>
                          <a:xfrm>
                            <a:off x="0" y="0"/>
                            <a:ext cx="1272540" cy="1572895"/>
                          </a:xfrm>
                          <a:prstGeom prst="rect">
                            <a:avLst/>
                          </a:prstGeom>
                          <a:noFill/>
                          <a:ln>
                            <a:noFill/>
                          </a:ln>
                        </pic:spPr>
                      </pic:pic>
                    </a:graphicData>
                  </a:graphic>
                </wp:inline>
              </w:drawing>
            </w:r>
          </w:p>
        </w:tc>
        <w:tc>
          <w:tcPr>
            <w:tcW w:w="1475" w:type="pct"/>
            <w:vAlign w:val="center"/>
          </w:tcPr>
          <w:p>
            <w:pPr>
              <w:snapToGrid w:val="0"/>
              <w:jc w:val="center"/>
            </w:pPr>
            <w:r>
              <w:drawing>
                <wp:inline distT="0" distB="0" distL="114300" distR="114300">
                  <wp:extent cx="1280795" cy="1572895"/>
                  <wp:effectExtent l="0" t="0" r="14605" b="8255"/>
                  <wp:docPr id="7" name="图片 2" descr="C:\Users\chen\Desktop\c1c7f800018904de443ad19c1023120.jpgc1c7f800018904de443ad19c102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C:\Users\chen\Desktop\c1c7f800018904de443ad19c1023120.jpgc1c7f800018904de443ad19c1023120"/>
                          <pic:cNvPicPr>
                            <a:picLocks noChangeAspect="1"/>
                          </pic:cNvPicPr>
                        </pic:nvPicPr>
                        <pic:blipFill>
                          <a:blip r:embed="rId52"/>
                          <a:stretch>
                            <a:fillRect/>
                          </a:stretch>
                        </pic:blipFill>
                        <pic:spPr>
                          <a:xfrm>
                            <a:off x="0" y="0"/>
                            <a:ext cx="1280795" cy="1572895"/>
                          </a:xfrm>
                          <a:prstGeom prst="rect">
                            <a:avLst/>
                          </a:prstGeom>
                          <a:noFill/>
                          <a:ln>
                            <a:noFill/>
                          </a:ln>
                        </pic:spPr>
                      </pic:pic>
                    </a:graphicData>
                  </a:graphic>
                </wp:inline>
              </w:drawing>
            </w:r>
          </w:p>
        </w:tc>
        <w:tc>
          <w:tcPr>
            <w:tcW w:w="1431" w:type="pct"/>
            <w:vAlign w:val="center"/>
          </w:tcPr>
          <w:p>
            <w:pPr>
              <w:snapToGrid w:val="0"/>
              <w:jc w:val="center"/>
            </w:pPr>
            <w:r>
              <w:drawing>
                <wp:inline distT="0" distB="0" distL="114300" distR="114300">
                  <wp:extent cx="1299210" cy="1572895"/>
                  <wp:effectExtent l="0" t="0" r="15240" b="8255"/>
                  <wp:docPr id="9" name="图片 3" descr="C:\Users\chen\Desktop\102706f281645d1c080f37da6fadc83.jpg102706f281645d1c080f37da6fadc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C:\Users\chen\Desktop\102706f281645d1c080f37da6fadc83.jpg102706f281645d1c080f37da6fadc83"/>
                          <pic:cNvPicPr>
                            <a:picLocks noChangeAspect="1"/>
                          </pic:cNvPicPr>
                        </pic:nvPicPr>
                        <pic:blipFill>
                          <a:blip r:embed="rId51"/>
                          <a:stretch>
                            <a:fillRect/>
                          </a:stretch>
                        </pic:blipFill>
                        <pic:spPr>
                          <a:xfrm>
                            <a:off x="0" y="0"/>
                            <a:ext cx="1299210" cy="1572895"/>
                          </a:xfrm>
                          <a:prstGeom prst="rect">
                            <a:avLst/>
                          </a:prstGeom>
                          <a:noFill/>
                          <a:ln>
                            <a:noFill/>
                          </a:ln>
                        </pic:spPr>
                      </pic:pic>
                    </a:graphicData>
                  </a:graphic>
                </wp:inline>
              </w:drawing>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Merge w:val="continue"/>
            <w:vAlign w:val="center"/>
          </w:tcPr>
          <w:p>
            <w:pPr>
              <w:jc w:val="center"/>
              <w:rPr>
                <w:rFonts w:hAnsi="宋体"/>
              </w:rPr>
            </w:pPr>
          </w:p>
        </w:tc>
        <w:tc>
          <w:tcPr>
            <w:tcW w:w="4358" w:type="pct"/>
            <w:gridSpan w:val="3"/>
            <w:vAlign w:val="center"/>
          </w:tcPr>
          <w:p>
            <w:pPr>
              <w:snapToGrid w:val="0"/>
              <w:jc w:val="center"/>
            </w:pPr>
            <w:r>
              <w:rPr>
                <w:rFonts w:hAnsi="宋体"/>
              </w:rPr>
              <w:t>土壤剖面照片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Merge w:val="continue"/>
            <w:vAlign w:val="center"/>
          </w:tcPr>
          <w:p>
            <w:pPr>
              <w:jc w:val="center"/>
              <w:rPr>
                <w:rFonts w:hAnsi="宋体"/>
              </w:rPr>
            </w:pPr>
          </w:p>
        </w:tc>
        <w:tc>
          <w:tcPr>
            <w:tcW w:w="1451" w:type="pct"/>
            <w:vAlign w:val="center"/>
          </w:tcPr>
          <w:p>
            <w:pPr>
              <w:snapToGrid w:val="0"/>
              <w:jc w:val="center"/>
            </w:pPr>
            <w:r>
              <w:drawing>
                <wp:inline distT="0" distB="0" distL="114300" distR="114300">
                  <wp:extent cx="1179830" cy="1572895"/>
                  <wp:effectExtent l="0" t="0" r="1270" b="8255"/>
                  <wp:docPr id="10" name="图片 4" descr="C:\Users\chen\Desktop\835a2d57c44b042ed4e0447336bb71a.jpg835a2d57c44b042ed4e0447336bb7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C:\Users\chen\Desktop\835a2d57c44b042ed4e0447336bb71a.jpg835a2d57c44b042ed4e0447336bb71a"/>
                          <pic:cNvPicPr>
                            <a:picLocks noChangeAspect="1"/>
                          </pic:cNvPicPr>
                        </pic:nvPicPr>
                        <pic:blipFill>
                          <a:blip r:embed="rId53"/>
                          <a:stretch>
                            <a:fillRect/>
                          </a:stretch>
                        </pic:blipFill>
                        <pic:spPr>
                          <a:xfrm>
                            <a:off x="0" y="0"/>
                            <a:ext cx="1179830" cy="1572895"/>
                          </a:xfrm>
                          <a:prstGeom prst="rect">
                            <a:avLst/>
                          </a:prstGeom>
                          <a:noFill/>
                          <a:ln>
                            <a:noFill/>
                          </a:ln>
                        </pic:spPr>
                      </pic:pic>
                    </a:graphicData>
                  </a:graphic>
                </wp:inline>
              </w:drawing>
            </w:r>
          </w:p>
        </w:tc>
        <w:tc>
          <w:tcPr>
            <w:tcW w:w="1475" w:type="pct"/>
            <w:vAlign w:val="center"/>
          </w:tcPr>
          <w:p>
            <w:pPr>
              <w:snapToGrid w:val="0"/>
              <w:jc w:val="center"/>
            </w:pPr>
            <w:r>
              <w:drawing>
                <wp:inline distT="0" distB="0" distL="114300" distR="114300">
                  <wp:extent cx="1697355" cy="1572895"/>
                  <wp:effectExtent l="0" t="0" r="8255" b="17145"/>
                  <wp:docPr id="11" name="图片 5" descr="C:\Users\chen\Desktop\a57383e689ab63f4ac66ac8c277dd15.jpga57383e689ab63f4ac66ac8c277d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C:\Users\chen\Desktop\a57383e689ab63f4ac66ac8c277dd15.jpga57383e689ab63f4ac66ac8c277dd15"/>
                          <pic:cNvPicPr>
                            <a:picLocks noChangeAspect="1"/>
                          </pic:cNvPicPr>
                        </pic:nvPicPr>
                        <pic:blipFill>
                          <a:blip r:embed="rId54"/>
                          <a:stretch>
                            <a:fillRect/>
                          </a:stretch>
                        </pic:blipFill>
                        <pic:spPr>
                          <a:xfrm rot="-5400000">
                            <a:off x="0" y="0"/>
                            <a:ext cx="1697355" cy="1572895"/>
                          </a:xfrm>
                          <a:prstGeom prst="rect">
                            <a:avLst/>
                          </a:prstGeom>
                          <a:noFill/>
                          <a:ln>
                            <a:noFill/>
                          </a:ln>
                        </pic:spPr>
                      </pic:pic>
                    </a:graphicData>
                  </a:graphic>
                </wp:inline>
              </w:drawing>
            </w:r>
          </w:p>
        </w:tc>
        <w:tc>
          <w:tcPr>
            <w:tcW w:w="1431" w:type="pct"/>
            <w:vAlign w:val="center"/>
          </w:tcPr>
          <w:p>
            <w:pPr>
              <w:snapToGrid w:val="0"/>
              <w:jc w:val="center"/>
            </w:pPr>
            <w:r>
              <w:drawing>
                <wp:inline distT="0" distB="0" distL="114300" distR="114300">
                  <wp:extent cx="1332865" cy="1572895"/>
                  <wp:effectExtent l="0" t="0" r="635" b="8255"/>
                  <wp:docPr id="15" name="图片 6" descr="C:\Users\chen\Desktop\d117d3cd17dfe75a04a414315cdfbec.jpgd117d3cd17dfe75a04a414315cdf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C:\Users\chen\Desktop\d117d3cd17dfe75a04a414315cdfbec.jpgd117d3cd17dfe75a04a414315cdfbec"/>
                          <pic:cNvPicPr>
                            <a:picLocks noChangeAspect="1"/>
                          </pic:cNvPicPr>
                        </pic:nvPicPr>
                        <pic:blipFill>
                          <a:blip r:embed="rId55"/>
                          <a:stretch>
                            <a:fillRect/>
                          </a:stretch>
                        </pic:blipFill>
                        <pic:spPr>
                          <a:xfrm>
                            <a:off x="0" y="0"/>
                            <a:ext cx="1332865" cy="1572895"/>
                          </a:xfrm>
                          <a:prstGeom prst="rect">
                            <a:avLst/>
                          </a:prstGeom>
                          <a:noFill/>
                          <a:ln>
                            <a:noFill/>
                          </a:ln>
                        </pic:spPr>
                      </pic:pic>
                    </a:graphicData>
                  </a:graphic>
                </wp:inline>
              </w:drawing>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Merge w:val="continue"/>
            <w:vAlign w:val="center"/>
          </w:tcPr>
          <w:p>
            <w:pPr>
              <w:snapToGrid w:val="0"/>
              <w:jc w:val="center"/>
            </w:pPr>
          </w:p>
        </w:tc>
        <w:tc>
          <w:tcPr>
            <w:tcW w:w="4358" w:type="pct"/>
            <w:gridSpan w:val="3"/>
            <w:vAlign w:val="center"/>
          </w:tcPr>
          <w:p>
            <w:pPr>
              <w:jc w:val="center"/>
            </w:pPr>
            <w:r>
              <w:rPr>
                <w:rFonts w:hAnsi="宋体"/>
              </w:rPr>
              <w:t>景观照片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widowControl/>
              <w:jc w:val="center"/>
              <w:rPr>
                <w:kern w:val="0"/>
              </w:rPr>
            </w:pPr>
            <w:r>
              <w:t>N</w:t>
            </w:r>
          </w:p>
        </w:tc>
        <w:tc>
          <w:tcPr>
            <w:tcW w:w="1451" w:type="pct"/>
            <w:vAlign w:val="center"/>
          </w:tcPr>
          <w:p>
            <w:pPr>
              <w:jc w:val="center"/>
            </w:pPr>
            <w:r>
              <w:t>35.444792°</w:t>
            </w:r>
          </w:p>
        </w:tc>
        <w:tc>
          <w:tcPr>
            <w:tcW w:w="1475" w:type="pct"/>
            <w:vAlign w:val="center"/>
          </w:tcPr>
          <w:p>
            <w:pPr>
              <w:jc w:val="center"/>
            </w:pPr>
            <w:r>
              <w:t>35.444792°</w:t>
            </w:r>
          </w:p>
        </w:tc>
        <w:tc>
          <w:tcPr>
            <w:tcW w:w="1431" w:type="pct"/>
            <w:vAlign w:val="center"/>
          </w:tcPr>
          <w:p>
            <w:pPr>
              <w:jc w:val="center"/>
            </w:pPr>
            <w:r>
              <w:t>35.444792°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E</w:t>
            </w:r>
          </w:p>
        </w:tc>
        <w:tc>
          <w:tcPr>
            <w:tcW w:w="1451" w:type="pct"/>
            <w:vAlign w:val="center"/>
          </w:tcPr>
          <w:p>
            <w:pPr>
              <w:jc w:val="center"/>
            </w:pPr>
            <w:r>
              <w:t>114.573860°</w:t>
            </w:r>
          </w:p>
        </w:tc>
        <w:tc>
          <w:tcPr>
            <w:tcW w:w="1475" w:type="pct"/>
            <w:vAlign w:val="center"/>
          </w:tcPr>
          <w:p>
            <w:pPr>
              <w:jc w:val="center"/>
            </w:pPr>
            <w:r>
              <w:t>114.573860°</w:t>
            </w:r>
          </w:p>
        </w:tc>
        <w:tc>
          <w:tcPr>
            <w:tcW w:w="1431" w:type="pct"/>
            <w:vAlign w:val="center"/>
          </w:tcPr>
          <w:p>
            <w:pPr>
              <w:jc w:val="center"/>
            </w:pPr>
            <w:r>
              <w:t>114.573860°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颜色</w:t>
            </w:r>
          </w:p>
        </w:tc>
        <w:tc>
          <w:tcPr>
            <w:tcW w:w="1451" w:type="pct"/>
            <w:vAlign w:val="center"/>
          </w:tcPr>
          <w:p>
            <w:pPr>
              <w:jc w:val="center"/>
            </w:pPr>
            <w:r>
              <w:t>棕色</w:t>
            </w:r>
          </w:p>
        </w:tc>
        <w:tc>
          <w:tcPr>
            <w:tcW w:w="1475" w:type="pct"/>
            <w:vAlign w:val="center"/>
          </w:tcPr>
          <w:p>
            <w:pPr>
              <w:jc w:val="center"/>
            </w:pPr>
            <w:r>
              <w:t>棕色</w:t>
            </w:r>
          </w:p>
        </w:tc>
        <w:tc>
          <w:tcPr>
            <w:tcW w:w="1431" w:type="pct"/>
            <w:vAlign w:val="center"/>
          </w:tcPr>
          <w:p>
            <w:pPr>
              <w:jc w:val="center"/>
            </w:pPr>
            <w:r>
              <w:t>棕色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结构</w:t>
            </w:r>
          </w:p>
        </w:tc>
        <w:tc>
          <w:tcPr>
            <w:tcW w:w="1451" w:type="pct"/>
            <w:vAlign w:val="center"/>
          </w:tcPr>
          <w:p>
            <w:pPr>
              <w:jc w:val="center"/>
            </w:pPr>
            <w:r>
              <w:t>块状</w:t>
            </w:r>
          </w:p>
        </w:tc>
        <w:tc>
          <w:tcPr>
            <w:tcW w:w="1475" w:type="pct"/>
            <w:vAlign w:val="center"/>
          </w:tcPr>
          <w:p>
            <w:pPr>
              <w:jc w:val="center"/>
            </w:pPr>
            <w:r>
              <w:t>块状</w:t>
            </w:r>
          </w:p>
        </w:tc>
        <w:tc>
          <w:tcPr>
            <w:tcW w:w="1431" w:type="pct"/>
            <w:vAlign w:val="center"/>
          </w:tcPr>
          <w:p>
            <w:pPr>
              <w:jc w:val="center"/>
            </w:pPr>
            <w:r>
              <w:t>块状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质地</w:t>
            </w:r>
          </w:p>
        </w:tc>
        <w:tc>
          <w:tcPr>
            <w:tcW w:w="1451" w:type="pct"/>
            <w:vAlign w:val="center"/>
          </w:tcPr>
          <w:p>
            <w:pPr>
              <w:jc w:val="center"/>
            </w:pPr>
            <w:r>
              <w:t>沙壤土</w:t>
            </w:r>
          </w:p>
        </w:tc>
        <w:tc>
          <w:tcPr>
            <w:tcW w:w="1475" w:type="pct"/>
            <w:vAlign w:val="center"/>
          </w:tcPr>
          <w:p>
            <w:pPr>
              <w:jc w:val="center"/>
            </w:pPr>
            <w:r>
              <w:t>沙壤土</w:t>
            </w:r>
          </w:p>
        </w:tc>
        <w:tc>
          <w:tcPr>
            <w:tcW w:w="1431" w:type="pct"/>
            <w:vAlign w:val="center"/>
          </w:tcPr>
          <w:p>
            <w:pPr>
              <w:jc w:val="center"/>
            </w:pPr>
            <w:r>
              <w:t>沙壤土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砂砾含量</w:t>
            </w:r>
          </w:p>
        </w:tc>
        <w:tc>
          <w:tcPr>
            <w:tcW w:w="1451" w:type="pct"/>
            <w:vAlign w:val="center"/>
          </w:tcPr>
          <w:p>
            <w:pPr>
              <w:jc w:val="center"/>
            </w:pPr>
            <w:r>
              <w:t>＜5%</w:t>
            </w:r>
          </w:p>
        </w:tc>
        <w:tc>
          <w:tcPr>
            <w:tcW w:w="1475" w:type="pct"/>
            <w:vAlign w:val="center"/>
          </w:tcPr>
          <w:p>
            <w:pPr>
              <w:jc w:val="center"/>
            </w:pPr>
            <w:r>
              <w:t>＜3%</w:t>
            </w:r>
          </w:p>
        </w:tc>
        <w:tc>
          <w:tcPr>
            <w:tcW w:w="1431" w:type="pct"/>
            <w:vAlign w:val="center"/>
          </w:tcPr>
          <w:p>
            <w:pPr>
              <w:jc w:val="center"/>
            </w:pPr>
            <w: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植物根系</w:t>
            </w:r>
          </w:p>
        </w:tc>
        <w:tc>
          <w:tcPr>
            <w:tcW w:w="1451" w:type="pct"/>
            <w:vAlign w:val="center"/>
          </w:tcPr>
          <w:p>
            <w:pPr>
              <w:jc w:val="center"/>
            </w:pPr>
            <w:r>
              <w:t>无</w:t>
            </w:r>
          </w:p>
        </w:tc>
        <w:tc>
          <w:tcPr>
            <w:tcW w:w="1475" w:type="pct"/>
            <w:vAlign w:val="center"/>
          </w:tcPr>
          <w:p>
            <w:pPr>
              <w:jc w:val="center"/>
            </w:pPr>
            <w:r>
              <w:t>无</w:t>
            </w:r>
          </w:p>
        </w:tc>
        <w:tc>
          <w:tcPr>
            <w:tcW w:w="1431" w:type="pct"/>
            <w:vAlign w:val="center"/>
          </w:tcPr>
          <w:p>
            <w:pPr>
              <w:jc w:val="center"/>
            </w:pPr>
            <w:r>
              <w:t>无</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41" w:type="pct"/>
            <w:vAlign w:val="center"/>
          </w:tcPr>
          <w:p>
            <w:pPr>
              <w:jc w:val="center"/>
            </w:pPr>
            <w:r>
              <w:t>其他异物</w:t>
            </w:r>
          </w:p>
        </w:tc>
        <w:tc>
          <w:tcPr>
            <w:tcW w:w="1451" w:type="pct"/>
            <w:vAlign w:val="center"/>
          </w:tcPr>
          <w:p>
            <w:pPr>
              <w:jc w:val="center"/>
            </w:pPr>
            <w:r>
              <w:t>无</w:t>
            </w:r>
          </w:p>
        </w:tc>
        <w:tc>
          <w:tcPr>
            <w:tcW w:w="1475" w:type="pct"/>
            <w:vAlign w:val="center"/>
          </w:tcPr>
          <w:p>
            <w:pPr>
              <w:jc w:val="center"/>
            </w:pPr>
            <w:r>
              <w:t>无</w:t>
            </w:r>
          </w:p>
        </w:tc>
        <w:tc>
          <w:tcPr>
            <w:tcW w:w="1431" w:type="pct"/>
            <w:vAlign w:val="center"/>
          </w:tcPr>
          <w:p>
            <w:pPr>
              <w:jc w:val="center"/>
            </w:pPr>
            <w:r>
              <w:t>无</w:t>
            </w:r>
          </w:p>
        </w:tc>
      </w:tr>
    </w:tbl>
    <w:p>
      <w:pPr>
        <w:pStyle w:val="2"/>
      </w:pPr>
    </w:p>
    <w:p>
      <w:pPr>
        <w:pStyle w:val="27"/>
        <w:ind w:firstLine="560"/>
        <w:sectPr>
          <w:pgSz w:w="11907" w:h="16840"/>
          <w:pgMar w:top="1474" w:right="1474" w:bottom="1474" w:left="1474" w:header="851" w:footer="850" w:gutter="0"/>
          <w:cols w:space="720" w:num="1"/>
          <w:docGrid w:linePitch="312" w:charSpace="0"/>
        </w:sectPr>
      </w:pPr>
    </w:p>
    <w:p>
      <w:pPr>
        <w:pStyle w:val="33"/>
      </w:pPr>
      <w:r>
        <w:t>4.</w:t>
      </w:r>
      <w:r>
        <w:rPr>
          <w:rFonts w:hint="eastAsia"/>
        </w:rPr>
        <w:t>3.4</w:t>
      </w:r>
      <w:r>
        <w:t>.2 现状评价</w:t>
      </w:r>
    </w:p>
    <w:p>
      <w:pPr>
        <w:pStyle w:val="27"/>
        <w:ind w:firstLine="560"/>
      </w:pPr>
      <w:r>
        <w:rPr>
          <w:rFonts w:hint="eastAsia"/>
        </w:rPr>
        <w:t>（1）</w:t>
      </w:r>
      <w:r>
        <w:t>评价因子</w:t>
      </w:r>
    </w:p>
    <w:p>
      <w:pPr>
        <w:tabs>
          <w:tab w:val="left" w:pos="4540"/>
        </w:tabs>
        <w:spacing w:line="520" w:lineRule="exact"/>
        <w:ind w:firstLine="560" w:firstLineChars="200"/>
        <w:rPr>
          <w:sz w:val="28"/>
        </w:rPr>
      </w:pPr>
      <w:r>
        <w:rPr>
          <w:sz w:val="28"/>
        </w:rPr>
        <w:t>本次土壤环境质量现状评价因子为</w:t>
      </w:r>
      <w:r>
        <w:rPr>
          <w:rFonts w:hint="eastAsia"/>
          <w:sz w:val="28"/>
        </w:rPr>
        <w:t>《土壤环境质量 建设用地土壤污染风险管控标准》（试行）45项基本因子，以及氰化物（现有污水处理站区域柱状样）、石油烃等2项其他项目</w:t>
      </w:r>
      <w:r>
        <w:rPr>
          <w:rFonts w:hint="eastAsia"/>
          <w:sz w:val="28"/>
          <w:szCs w:val="28"/>
        </w:rPr>
        <w:t>，与现状监测因子相同</w:t>
      </w:r>
      <w:r>
        <w:rPr>
          <w:sz w:val="28"/>
        </w:rPr>
        <w:t>。</w:t>
      </w:r>
    </w:p>
    <w:p>
      <w:pPr>
        <w:pStyle w:val="27"/>
        <w:ind w:firstLine="560"/>
      </w:pPr>
      <w:r>
        <w:rPr>
          <w:rFonts w:hint="eastAsia"/>
        </w:rPr>
        <w:t>（2）</w:t>
      </w:r>
      <w:r>
        <w:t>评价方法</w:t>
      </w:r>
    </w:p>
    <w:p>
      <w:pPr>
        <w:tabs>
          <w:tab w:val="left" w:pos="4540"/>
        </w:tabs>
        <w:spacing w:line="520" w:lineRule="exact"/>
        <w:ind w:firstLine="560" w:firstLineChars="200"/>
        <w:rPr>
          <w:sz w:val="28"/>
        </w:rPr>
      </w:pPr>
      <w:r>
        <w:rPr>
          <w:rFonts w:hint="eastAsia"/>
          <w:sz w:val="28"/>
          <w:szCs w:val="28"/>
        </w:rPr>
        <w:t>采用将检测结果与标准值直接对比的方法进行评价</w:t>
      </w:r>
      <w:r>
        <w:rPr>
          <w:sz w:val="28"/>
          <w:szCs w:val="28"/>
        </w:rPr>
        <w:t>。</w:t>
      </w:r>
    </w:p>
    <w:p>
      <w:pPr>
        <w:pStyle w:val="27"/>
        <w:ind w:firstLine="560"/>
      </w:pPr>
      <w:r>
        <w:rPr>
          <w:rFonts w:hint="eastAsia"/>
        </w:rPr>
        <w:t>（3）</w:t>
      </w:r>
      <w:r>
        <w:t>评价标准</w:t>
      </w:r>
    </w:p>
    <w:p>
      <w:pPr>
        <w:tabs>
          <w:tab w:val="left" w:pos="4540"/>
        </w:tabs>
        <w:spacing w:line="520" w:lineRule="exact"/>
        <w:ind w:firstLine="560" w:firstLineChars="200"/>
        <w:rPr>
          <w:sz w:val="28"/>
          <w:szCs w:val="28"/>
        </w:rPr>
      </w:pPr>
      <w:r>
        <w:rPr>
          <w:rFonts w:hint="eastAsia"/>
          <w:sz w:val="28"/>
          <w:szCs w:val="28"/>
        </w:rPr>
        <w:t>厂区内土壤</w:t>
      </w:r>
      <w:r>
        <w:rPr>
          <w:sz w:val="28"/>
          <w:szCs w:val="28"/>
        </w:rPr>
        <w:t>环境质量现状评价执行</w:t>
      </w:r>
      <w:r>
        <w:rPr>
          <w:rFonts w:hint="eastAsia"/>
          <w:sz w:val="28"/>
          <w:szCs w:val="28"/>
        </w:rPr>
        <w:t>《土壤环境质量 建设用地土壤污染风险管控标准(试行)》(GB36600-2018) 表1和表2第二类用地的筛选值要求。厂区外</w:t>
      </w:r>
      <w:r>
        <w:rPr>
          <w:sz w:val="28"/>
          <w:szCs w:val="28"/>
        </w:rPr>
        <w:t>张康呼村农用地</w:t>
      </w:r>
      <w:r>
        <w:rPr>
          <w:rFonts w:hint="eastAsia"/>
          <w:sz w:val="28"/>
          <w:szCs w:val="28"/>
        </w:rPr>
        <w:t>土壤执行《土壤环境质量 农用地土壤污染风险管控标准（试行）》（GB 15618-2018）。详见</w:t>
      </w:r>
      <w:r>
        <w:rPr>
          <w:sz w:val="28"/>
          <w:szCs w:val="28"/>
        </w:rPr>
        <w:t>表4</w:t>
      </w:r>
      <w:r>
        <w:rPr>
          <w:rFonts w:hint="eastAsia"/>
          <w:sz w:val="28"/>
          <w:szCs w:val="28"/>
        </w:rPr>
        <w:t>.3</w:t>
      </w:r>
      <w:r>
        <w:rPr>
          <w:sz w:val="28"/>
          <w:szCs w:val="28"/>
        </w:rPr>
        <w:t>-</w:t>
      </w:r>
      <w:r>
        <w:rPr>
          <w:rFonts w:hint="eastAsia"/>
          <w:sz w:val="28"/>
          <w:szCs w:val="28"/>
        </w:rPr>
        <w:t>14</w:t>
      </w:r>
      <w:r>
        <w:rPr>
          <w:sz w:val="28"/>
          <w:szCs w:val="28"/>
        </w:rPr>
        <w:t>。</w:t>
      </w:r>
    </w:p>
    <w:p>
      <w:pPr>
        <w:tabs>
          <w:tab w:val="left" w:pos="1935"/>
        </w:tabs>
        <w:spacing w:line="520" w:lineRule="exact"/>
        <w:ind w:right="210" w:rightChars="100" w:firstLine="482" w:firstLineChars="200"/>
        <w:jc w:val="left"/>
        <w:rPr>
          <w:rFonts w:eastAsia="黑体"/>
          <w:b/>
          <w:kern w:val="0"/>
          <w:sz w:val="24"/>
        </w:rPr>
      </w:pPr>
      <w:r>
        <w:rPr>
          <w:rFonts w:eastAsia="黑体"/>
          <w:b/>
          <w:kern w:val="0"/>
          <w:sz w:val="24"/>
        </w:rPr>
        <w:t>表4</w:t>
      </w:r>
      <w:r>
        <w:rPr>
          <w:rFonts w:hint="eastAsia" w:eastAsia="黑体"/>
          <w:b/>
          <w:kern w:val="0"/>
          <w:sz w:val="24"/>
        </w:rPr>
        <w:t>.3</w:t>
      </w:r>
      <w:r>
        <w:rPr>
          <w:rFonts w:eastAsia="黑体"/>
          <w:b/>
          <w:kern w:val="0"/>
          <w:sz w:val="24"/>
        </w:rPr>
        <w:t>-</w:t>
      </w:r>
      <w:r>
        <w:rPr>
          <w:rFonts w:hint="eastAsia" w:eastAsia="黑体"/>
          <w:b/>
          <w:kern w:val="0"/>
          <w:sz w:val="24"/>
        </w:rPr>
        <w:t xml:space="preserve">14              </w:t>
      </w:r>
      <w:r>
        <w:rPr>
          <w:rFonts w:eastAsia="黑体"/>
          <w:b/>
          <w:kern w:val="0"/>
          <w:sz w:val="24"/>
        </w:rPr>
        <w:t>土壤环境现状评价标准值</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169"/>
        <w:gridCol w:w="2127"/>
        <w:gridCol w:w="1827"/>
        <w:gridCol w:w="25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1491" w:type="dxa"/>
            <w:vAlign w:val="center"/>
          </w:tcPr>
          <w:p>
            <w:pPr>
              <w:pStyle w:val="36"/>
              <w:rPr>
                <w:b/>
                <w:bCs/>
              </w:rPr>
            </w:pPr>
            <w:r>
              <w:rPr>
                <w:rFonts w:hint="eastAsia"/>
                <w:b/>
                <w:bCs/>
              </w:rPr>
              <w:t>名称</w:t>
            </w:r>
          </w:p>
        </w:tc>
        <w:tc>
          <w:tcPr>
            <w:tcW w:w="3296" w:type="dxa"/>
            <w:gridSpan w:val="2"/>
            <w:vAlign w:val="center"/>
          </w:tcPr>
          <w:p>
            <w:pPr>
              <w:pStyle w:val="36"/>
              <w:rPr>
                <w:b/>
                <w:bCs/>
              </w:rPr>
            </w:pPr>
            <w:r>
              <w:rPr>
                <w:rFonts w:hint="eastAsia"/>
                <w:b/>
                <w:bCs/>
              </w:rPr>
              <w:t>检测因子</w:t>
            </w:r>
          </w:p>
        </w:tc>
        <w:tc>
          <w:tcPr>
            <w:tcW w:w="1827" w:type="dxa"/>
            <w:vAlign w:val="center"/>
          </w:tcPr>
          <w:p>
            <w:pPr>
              <w:pStyle w:val="36"/>
              <w:rPr>
                <w:b/>
                <w:bCs/>
              </w:rPr>
            </w:pPr>
            <w:r>
              <w:rPr>
                <w:rFonts w:hint="eastAsia"/>
                <w:b/>
                <w:bCs/>
              </w:rPr>
              <w:t>标准限值mg/kg</w:t>
            </w:r>
          </w:p>
        </w:tc>
        <w:tc>
          <w:tcPr>
            <w:tcW w:w="2560" w:type="dxa"/>
            <w:vAlign w:val="center"/>
          </w:tcPr>
          <w:p>
            <w:pPr>
              <w:pStyle w:val="36"/>
              <w:rPr>
                <w:b/>
                <w:bCs/>
              </w:rPr>
            </w:pPr>
            <w:r>
              <w:rPr>
                <w:rFonts w:hint="eastAsia"/>
                <w:b/>
                <w:b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restart"/>
            <w:vAlign w:val="center"/>
          </w:tcPr>
          <w:p>
            <w:pPr>
              <w:pStyle w:val="36"/>
            </w:pPr>
            <w:r>
              <w:rPr>
                <w:rFonts w:hint="eastAsia"/>
              </w:rPr>
              <w:t>建设用地</w:t>
            </w:r>
          </w:p>
          <w:p>
            <w:pPr>
              <w:pStyle w:val="36"/>
            </w:pPr>
            <w:r>
              <w:rPr>
                <w:rFonts w:hint="eastAsia"/>
              </w:rPr>
              <w:t>（厂内）</w:t>
            </w:r>
          </w:p>
        </w:tc>
        <w:tc>
          <w:tcPr>
            <w:tcW w:w="1169" w:type="dxa"/>
            <w:vMerge w:val="restart"/>
            <w:vAlign w:val="center"/>
          </w:tcPr>
          <w:p>
            <w:pPr>
              <w:pStyle w:val="36"/>
              <w:rPr>
                <w:lang w:eastAsia="en-US"/>
              </w:rPr>
            </w:pPr>
            <w:r>
              <w:rPr>
                <w:rFonts w:hint="eastAsia"/>
              </w:rPr>
              <w:t>重金属和无机物</w:t>
            </w:r>
          </w:p>
        </w:tc>
        <w:tc>
          <w:tcPr>
            <w:tcW w:w="2127" w:type="dxa"/>
            <w:vAlign w:val="center"/>
          </w:tcPr>
          <w:p>
            <w:pPr>
              <w:pStyle w:val="36"/>
              <w:rPr>
                <w:lang w:eastAsia="en-US"/>
              </w:rPr>
            </w:pPr>
            <w:r>
              <w:rPr>
                <w:lang w:eastAsia="en-US"/>
              </w:rPr>
              <w:t>铜</w:t>
            </w:r>
          </w:p>
        </w:tc>
        <w:tc>
          <w:tcPr>
            <w:tcW w:w="1827" w:type="dxa"/>
            <w:vAlign w:val="center"/>
          </w:tcPr>
          <w:p>
            <w:pPr>
              <w:pStyle w:val="36"/>
              <w:rPr>
                <w:lang w:eastAsia="en-US"/>
              </w:rPr>
            </w:pPr>
            <w:r>
              <w:rPr>
                <w:lang w:eastAsia="en-US"/>
              </w:rPr>
              <w:t>18000</w:t>
            </w:r>
          </w:p>
        </w:tc>
        <w:tc>
          <w:tcPr>
            <w:tcW w:w="2560" w:type="dxa"/>
            <w:vMerge w:val="restart"/>
            <w:vAlign w:val="center"/>
          </w:tcPr>
          <w:p>
            <w:pPr>
              <w:pStyle w:val="36"/>
            </w:pPr>
            <w:r>
              <w:rPr>
                <w:rFonts w:hint="eastAsia"/>
              </w:rPr>
              <w:t>《土壤环境质量</w:t>
            </w:r>
            <w:r>
              <w:t xml:space="preserve"> </w:t>
            </w:r>
            <w:r>
              <w:rPr>
                <w:rFonts w:hint="eastAsia"/>
              </w:rPr>
              <w:t>建设用地土壤污染风险管控标准（试行）》（</w:t>
            </w:r>
            <w:r>
              <w:t>GB 36600-2018</w:t>
            </w:r>
            <w:r>
              <w:rPr>
                <w:rFonts w:hint="eastAsia"/>
              </w:rPr>
              <w:t>）：筛选值（第二类用地）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镍</w:t>
            </w:r>
          </w:p>
        </w:tc>
        <w:tc>
          <w:tcPr>
            <w:tcW w:w="1827" w:type="dxa"/>
            <w:vAlign w:val="center"/>
          </w:tcPr>
          <w:p>
            <w:pPr>
              <w:pStyle w:val="36"/>
              <w:rPr>
                <w:lang w:eastAsia="en-US"/>
              </w:rPr>
            </w:pPr>
            <w:r>
              <w:rPr>
                <w:lang w:eastAsia="en-US"/>
              </w:rPr>
              <w:t>900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镉</w:t>
            </w:r>
          </w:p>
        </w:tc>
        <w:tc>
          <w:tcPr>
            <w:tcW w:w="1827" w:type="dxa"/>
            <w:vAlign w:val="center"/>
          </w:tcPr>
          <w:p>
            <w:pPr>
              <w:pStyle w:val="36"/>
              <w:rPr>
                <w:lang w:eastAsia="en-US"/>
              </w:rPr>
            </w:pPr>
            <w:r>
              <w:rPr>
                <w:lang w:eastAsia="en-US"/>
              </w:rPr>
              <w:t>65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rPr>
                <w:lang w:eastAsia="en-US"/>
              </w:rPr>
            </w:pPr>
          </w:p>
        </w:tc>
        <w:tc>
          <w:tcPr>
            <w:tcW w:w="2127" w:type="dxa"/>
            <w:vAlign w:val="center"/>
          </w:tcPr>
          <w:p>
            <w:pPr>
              <w:pStyle w:val="36"/>
              <w:rPr>
                <w:lang w:eastAsia="en-US"/>
              </w:rPr>
            </w:pPr>
            <w:r>
              <w:rPr>
                <w:lang w:eastAsia="en-US"/>
              </w:rPr>
              <w:t>铅</w:t>
            </w:r>
          </w:p>
        </w:tc>
        <w:tc>
          <w:tcPr>
            <w:tcW w:w="1827" w:type="dxa"/>
            <w:vAlign w:val="center"/>
          </w:tcPr>
          <w:p>
            <w:pPr>
              <w:pStyle w:val="36"/>
              <w:rPr>
                <w:lang w:eastAsia="en-US"/>
              </w:rPr>
            </w:pPr>
            <w:r>
              <w:rPr>
                <w:lang w:eastAsia="en-US"/>
              </w:rPr>
              <w:t>800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rPr>
                <w:lang w:eastAsia="en-US"/>
              </w:rPr>
            </w:pPr>
          </w:p>
        </w:tc>
        <w:tc>
          <w:tcPr>
            <w:tcW w:w="2127" w:type="dxa"/>
            <w:vAlign w:val="center"/>
          </w:tcPr>
          <w:p>
            <w:pPr>
              <w:pStyle w:val="36"/>
              <w:rPr>
                <w:lang w:eastAsia="en-US"/>
              </w:rPr>
            </w:pPr>
            <w:r>
              <w:rPr>
                <w:lang w:eastAsia="en-US"/>
              </w:rPr>
              <w:t>汞</w:t>
            </w:r>
          </w:p>
        </w:tc>
        <w:tc>
          <w:tcPr>
            <w:tcW w:w="1827" w:type="dxa"/>
            <w:vAlign w:val="center"/>
          </w:tcPr>
          <w:p>
            <w:pPr>
              <w:pStyle w:val="36"/>
              <w:rPr>
                <w:lang w:eastAsia="en-US"/>
              </w:rPr>
            </w:pPr>
            <w:r>
              <w:rPr>
                <w:lang w:eastAsia="en-US"/>
              </w:rPr>
              <w:t>38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rPr>
                <w:lang w:eastAsia="en-US"/>
              </w:rPr>
            </w:pPr>
          </w:p>
        </w:tc>
        <w:tc>
          <w:tcPr>
            <w:tcW w:w="2127" w:type="dxa"/>
            <w:vAlign w:val="center"/>
          </w:tcPr>
          <w:p>
            <w:pPr>
              <w:pStyle w:val="36"/>
              <w:rPr>
                <w:lang w:eastAsia="en-US"/>
              </w:rPr>
            </w:pPr>
            <w:r>
              <w:rPr>
                <w:lang w:eastAsia="en-US"/>
              </w:rPr>
              <w:t>砷</w:t>
            </w:r>
          </w:p>
        </w:tc>
        <w:tc>
          <w:tcPr>
            <w:tcW w:w="1827" w:type="dxa"/>
            <w:vAlign w:val="center"/>
          </w:tcPr>
          <w:p>
            <w:pPr>
              <w:pStyle w:val="36"/>
              <w:rPr>
                <w:lang w:eastAsia="en-US"/>
              </w:rPr>
            </w:pPr>
            <w:r>
              <w:rPr>
                <w:lang w:eastAsia="en-US"/>
              </w:rPr>
              <w:t>60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rPr>
                <w:lang w:eastAsia="en-US"/>
              </w:rPr>
            </w:pPr>
          </w:p>
        </w:tc>
        <w:tc>
          <w:tcPr>
            <w:tcW w:w="2127" w:type="dxa"/>
            <w:vAlign w:val="center"/>
          </w:tcPr>
          <w:p>
            <w:pPr>
              <w:pStyle w:val="36"/>
              <w:rPr>
                <w:lang w:eastAsia="en-US"/>
              </w:rPr>
            </w:pPr>
            <w:r>
              <w:rPr>
                <w:lang w:eastAsia="en-US"/>
              </w:rPr>
              <w:t>铬（六价）</w:t>
            </w:r>
          </w:p>
        </w:tc>
        <w:tc>
          <w:tcPr>
            <w:tcW w:w="1827" w:type="dxa"/>
            <w:vAlign w:val="center"/>
          </w:tcPr>
          <w:p>
            <w:pPr>
              <w:pStyle w:val="36"/>
              <w:rPr>
                <w:lang w:eastAsia="en-US"/>
              </w:rPr>
            </w:pPr>
            <w:r>
              <w:rPr>
                <w:lang w:eastAsia="en-US"/>
              </w:rPr>
              <w:t>5.7</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Align w:val="center"/>
          </w:tcPr>
          <w:p>
            <w:pPr>
              <w:pStyle w:val="36"/>
            </w:pPr>
            <w:r>
              <w:rPr>
                <w:rFonts w:hint="eastAsia"/>
              </w:rPr>
              <w:t>其他项目</w:t>
            </w:r>
          </w:p>
        </w:tc>
        <w:tc>
          <w:tcPr>
            <w:tcW w:w="2127" w:type="dxa"/>
            <w:vAlign w:val="center"/>
          </w:tcPr>
          <w:p>
            <w:pPr>
              <w:pStyle w:val="36"/>
              <w:rPr>
                <w:lang w:eastAsia="en-US"/>
              </w:rPr>
            </w:pPr>
            <w:r>
              <w:rPr>
                <w:rFonts w:hint="eastAsia"/>
              </w:rPr>
              <w:t>石油烃（C</w:t>
            </w:r>
            <w:r>
              <w:rPr>
                <w:rFonts w:hint="eastAsia"/>
                <w:vertAlign w:val="subscript"/>
              </w:rPr>
              <w:t>10</w:t>
            </w:r>
            <w:r>
              <w:rPr>
                <w:rFonts w:hint="eastAsia"/>
              </w:rPr>
              <w:t>-C</w:t>
            </w:r>
            <w:r>
              <w:rPr>
                <w:rFonts w:hint="eastAsia"/>
                <w:vertAlign w:val="subscript"/>
              </w:rPr>
              <w:t>40</w:t>
            </w:r>
            <w:r>
              <w:rPr>
                <w:rFonts w:hint="eastAsia"/>
              </w:rPr>
              <w:t>）</w:t>
            </w:r>
          </w:p>
        </w:tc>
        <w:tc>
          <w:tcPr>
            <w:tcW w:w="1827" w:type="dxa"/>
            <w:vAlign w:val="center"/>
          </w:tcPr>
          <w:p>
            <w:pPr>
              <w:pStyle w:val="36"/>
              <w:rPr>
                <w:lang w:eastAsia="en-US"/>
              </w:rPr>
            </w:pPr>
            <w:r>
              <w:rPr>
                <w:rFonts w:hint="eastAsia"/>
              </w:rPr>
              <w:t>4500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restart"/>
            <w:vAlign w:val="center"/>
          </w:tcPr>
          <w:p>
            <w:pPr>
              <w:pStyle w:val="36"/>
            </w:pPr>
            <w:r>
              <w:rPr>
                <w:rFonts w:hint="eastAsia"/>
              </w:rPr>
              <w:t>挥发性有机物</w:t>
            </w:r>
          </w:p>
        </w:tc>
        <w:tc>
          <w:tcPr>
            <w:tcW w:w="2127" w:type="dxa"/>
            <w:vAlign w:val="center"/>
          </w:tcPr>
          <w:p>
            <w:pPr>
              <w:pStyle w:val="36"/>
              <w:rPr>
                <w:lang w:eastAsia="en-US"/>
              </w:rPr>
            </w:pPr>
            <w:r>
              <w:rPr>
                <w:lang w:eastAsia="en-US"/>
              </w:rPr>
              <w:t>四氯化碳</w:t>
            </w:r>
          </w:p>
        </w:tc>
        <w:tc>
          <w:tcPr>
            <w:tcW w:w="1827" w:type="dxa"/>
            <w:vAlign w:val="center"/>
          </w:tcPr>
          <w:p>
            <w:pPr>
              <w:pStyle w:val="36"/>
              <w:rPr>
                <w:lang w:eastAsia="en-US"/>
              </w:rPr>
            </w:pPr>
            <w:r>
              <w:rPr>
                <w:lang w:eastAsia="en-US"/>
              </w:rPr>
              <w:t>2.8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氯仿</w:t>
            </w:r>
          </w:p>
        </w:tc>
        <w:tc>
          <w:tcPr>
            <w:tcW w:w="1827" w:type="dxa"/>
            <w:vAlign w:val="center"/>
          </w:tcPr>
          <w:p>
            <w:pPr>
              <w:pStyle w:val="36"/>
              <w:rPr>
                <w:lang w:eastAsia="en-US"/>
              </w:rPr>
            </w:pPr>
            <w:r>
              <w:rPr>
                <w:lang w:eastAsia="en-US"/>
              </w:rPr>
              <w:t>0.9</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氯甲烷</w:t>
            </w:r>
          </w:p>
        </w:tc>
        <w:tc>
          <w:tcPr>
            <w:tcW w:w="1827" w:type="dxa"/>
            <w:vAlign w:val="center"/>
          </w:tcPr>
          <w:p>
            <w:pPr>
              <w:pStyle w:val="36"/>
              <w:rPr>
                <w:lang w:eastAsia="en-US"/>
              </w:rPr>
            </w:pPr>
            <w:r>
              <w:rPr>
                <w:lang w:eastAsia="en-US"/>
              </w:rPr>
              <w:t>37</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1,1-二氯乙烷</w:t>
            </w:r>
          </w:p>
        </w:tc>
        <w:tc>
          <w:tcPr>
            <w:tcW w:w="1827" w:type="dxa"/>
            <w:vAlign w:val="center"/>
          </w:tcPr>
          <w:p>
            <w:pPr>
              <w:pStyle w:val="36"/>
              <w:rPr>
                <w:lang w:eastAsia="en-US"/>
              </w:rPr>
            </w:pPr>
            <w:r>
              <w:rPr>
                <w:lang w:eastAsia="en-US"/>
              </w:rPr>
              <w:t>9</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1,2-二氯乙烷</w:t>
            </w:r>
          </w:p>
        </w:tc>
        <w:tc>
          <w:tcPr>
            <w:tcW w:w="1827" w:type="dxa"/>
            <w:vAlign w:val="center"/>
          </w:tcPr>
          <w:p>
            <w:pPr>
              <w:pStyle w:val="36"/>
              <w:rPr>
                <w:lang w:eastAsia="en-US"/>
              </w:rPr>
            </w:pPr>
            <w:r>
              <w:rPr>
                <w:lang w:eastAsia="en-US"/>
              </w:rPr>
              <w:t>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1,1-二氯乙烯</w:t>
            </w:r>
          </w:p>
        </w:tc>
        <w:tc>
          <w:tcPr>
            <w:tcW w:w="1827" w:type="dxa"/>
            <w:vAlign w:val="center"/>
          </w:tcPr>
          <w:p>
            <w:pPr>
              <w:pStyle w:val="36"/>
              <w:rPr>
                <w:lang w:eastAsia="en-US"/>
              </w:rPr>
            </w:pPr>
            <w:r>
              <w:rPr>
                <w:lang w:eastAsia="en-US"/>
              </w:rPr>
              <w:t>66</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顺-1,2-二氯乙烯</w:t>
            </w:r>
          </w:p>
        </w:tc>
        <w:tc>
          <w:tcPr>
            <w:tcW w:w="1827" w:type="dxa"/>
            <w:vAlign w:val="center"/>
          </w:tcPr>
          <w:p>
            <w:pPr>
              <w:pStyle w:val="36"/>
              <w:rPr>
                <w:lang w:eastAsia="en-US"/>
              </w:rPr>
            </w:pPr>
            <w:r>
              <w:rPr>
                <w:lang w:eastAsia="en-US"/>
              </w:rPr>
              <w:t>596</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反-1,2-二氯乙烯</w:t>
            </w:r>
          </w:p>
        </w:tc>
        <w:tc>
          <w:tcPr>
            <w:tcW w:w="1827" w:type="dxa"/>
            <w:vAlign w:val="center"/>
          </w:tcPr>
          <w:p>
            <w:pPr>
              <w:pStyle w:val="36"/>
              <w:rPr>
                <w:lang w:eastAsia="en-US"/>
              </w:rPr>
            </w:pPr>
            <w:r>
              <w:rPr>
                <w:lang w:eastAsia="en-US"/>
              </w:rPr>
              <w:t>54</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二氯甲烷</w:t>
            </w:r>
          </w:p>
        </w:tc>
        <w:tc>
          <w:tcPr>
            <w:tcW w:w="1827" w:type="dxa"/>
            <w:vAlign w:val="center"/>
          </w:tcPr>
          <w:p>
            <w:pPr>
              <w:pStyle w:val="36"/>
              <w:rPr>
                <w:lang w:eastAsia="en-US"/>
              </w:rPr>
            </w:pPr>
            <w:r>
              <w:rPr>
                <w:lang w:eastAsia="en-US"/>
              </w:rPr>
              <w:t>616</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1,2-二氯丙烷</w:t>
            </w:r>
          </w:p>
        </w:tc>
        <w:tc>
          <w:tcPr>
            <w:tcW w:w="1827" w:type="dxa"/>
            <w:vAlign w:val="center"/>
          </w:tcPr>
          <w:p>
            <w:pPr>
              <w:pStyle w:val="36"/>
              <w:rPr>
                <w:lang w:eastAsia="en-US"/>
              </w:rPr>
            </w:pPr>
            <w:r>
              <w:rPr>
                <w:lang w:eastAsia="en-US"/>
              </w:rPr>
              <w:t>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1,1,1,2-四氯乙烷</w:t>
            </w:r>
          </w:p>
        </w:tc>
        <w:tc>
          <w:tcPr>
            <w:tcW w:w="1827" w:type="dxa"/>
            <w:vAlign w:val="center"/>
          </w:tcPr>
          <w:p>
            <w:pPr>
              <w:pStyle w:val="36"/>
              <w:rPr>
                <w:lang w:eastAsia="en-US"/>
              </w:rPr>
            </w:pPr>
            <w:r>
              <w:rPr>
                <w:lang w:eastAsia="en-US"/>
              </w:rPr>
              <w:t>10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1,1,2,2-四氯乙烷</w:t>
            </w:r>
          </w:p>
        </w:tc>
        <w:tc>
          <w:tcPr>
            <w:tcW w:w="1827" w:type="dxa"/>
            <w:vAlign w:val="center"/>
          </w:tcPr>
          <w:p>
            <w:pPr>
              <w:pStyle w:val="36"/>
              <w:rPr>
                <w:lang w:eastAsia="en-US"/>
              </w:rPr>
            </w:pPr>
            <w:r>
              <w:rPr>
                <w:lang w:eastAsia="en-US"/>
              </w:rPr>
              <w:t>6.8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四氯乙烯</w:t>
            </w:r>
          </w:p>
        </w:tc>
        <w:tc>
          <w:tcPr>
            <w:tcW w:w="1827" w:type="dxa"/>
            <w:vAlign w:val="center"/>
          </w:tcPr>
          <w:p>
            <w:pPr>
              <w:pStyle w:val="36"/>
              <w:rPr>
                <w:lang w:eastAsia="en-US"/>
              </w:rPr>
            </w:pPr>
            <w:r>
              <w:rPr>
                <w:lang w:eastAsia="en-US"/>
              </w:rPr>
              <w:t>53</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1,1,1-三氯乙烷</w:t>
            </w:r>
          </w:p>
        </w:tc>
        <w:tc>
          <w:tcPr>
            <w:tcW w:w="1827" w:type="dxa"/>
            <w:vAlign w:val="center"/>
          </w:tcPr>
          <w:p>
            <w:pPr>
              <w:pStyle w:val="36"/>
              <w:rPr>
                <w:lang w:eastAsia="en-US"/>
              </w:rPr>
            </w:pPr>
            <w:r>
              <w:rPr>
                <w:lang w:eastAsia="en-US"/>
              </w:rPr>
              <w:t>840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1,1,2-三氯乙烷</w:t>
            </w:r>
          </w:p>
        </w:tc>
        <w:tc>
          <w:tcPr>
            <w:tcW w:w="1827" w:type="dxa"/>
            <w:vAlign w:val="center"/>
          </w:tcPr>
          <w:p>
            <w:pPr>
              <w:pStyle w:val="36"/>
              <w:rPr>
                <w:lang w:eastAsia="en-US"/>
              </w:rPr>
            </w:pPr>
            <w:r>
              <w:rPr>
                <w:lang w:eastAsia="en-US"/>
              </w:rPr>
              <w:t>2.8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三氯乙烯</w:t>
            </w:r>
          </w:p>
        </w:tc>
        <w:tc>
          <w:tcPr>
            <w:tcW w:w="1827" w:type="dxa"/>
            <w:vAlign w:val="center"/>
          </w:tcPr>
          <w:p>
            <w:pPr>
              <w:pStyle w:val="36"/>
              <w:rPr>
                <w:lang w:eastAsia="en-US"/>
              </w:rPr>
            </w:pPr>
            <w:r>
              <w:rPr>
                <w:lang w:eastAsia="en-US"/>
              </w:rPr>
              <w:t>2.8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1,2,3-三氯丙烷</w:t>
            </w:r>
          </w:p>
        </w:tc>
        <w:tc>
          <w:tcPr>
            <w:tcW w:w="1827" w:type="dxa"/>
            <w:vAlign w:val="center"/>
          </w:tcPr>
          <w:p>
            <w:pPr>
              <w:pStyle w:val="36"/>
              <w:rPr>
                <w:lang w:eastAsia="en-US"/>
              </w:rPr>
            </w:pPr>
            <w:r>
              <w:rPr>
                <w:lang w:eastAsia="en-US"/>
              </w:rPr>
              <w:t>0.5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氯乙烯</w:t>
            </w:r>
          </w:p>
        </w:tc>
        <w:tc>
          <w:tcPr>
            <w:tcW w:w="1827" w:type="dxa"/>
            <w:vAlign w:val="center"/>
          </w:tcPr>
          <w:p>
            <w:pPr>
              <w:pStyle w:val="36"/>
              <w:rPr>
                <w:lang w:eastAsia="en-US"/>
              </w:rPr>
            </w:pPr>
            <w:r>
              <w:rPr>
                <w:lang w:eastAsia="en-US"/>
              </w:rPr>
              <w:t>0.43</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w:t>
            </w:r>
          </w:p>
        </w:tc>
        <w:tc>
          <w:tcPr>
            <w:tcW w:w="1827" w:type="dxa"/>
            <w:vAlign w:val="center"/>
          </w:tcPr>
          <w:p>
            <w:pPr>
              <w:pStyle w:val="36"/>
              <w:rPr>
                <w:lang w:eastAsia="en-US"/>
              </w:rPr>
            </w:pPr>
            <w:r>
              <w:rPr>
                <w:lang w:eastAsia="en-US"/>
              </w:rPr>
              <w:t>4</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氯苯</w:t>
            </w:r>
          </w:p>
        </w:tc>
        <w:tc>
          <w:tcPr>
            <w:tcW w:w="1827" w:type="dxa"/>
            <w:vAlign w:val="center"/>
          </w:tcPr>
          <w:p>
            <w:pPr>
              <w:pStyle w:val="36"/>
              <w:rPr>
                <w:lang w:eastAsia="en-US"/>
              </w:rPr>
            </w:pPr>
            <w:r>
              <w:rPr>
                <w:lang w:eastAsia="en-US"/>
              </w:rPr>
              <w:t>270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1,2-二氯苯</w:t>
            </w:r>
          </w:p>
        </w:tc>
        <w:tc>
          <w:tcPr>
            <w:tcW w:w="1827" w:type="dxa"/>
            <w:vAlign w:val="center"/>
          </w:tcPr>
          <w:p>
            <w:pPr>
              <w:pStyle w:val="36"/>
              <w:rPr>
                <w:lang w:eastAsia="en-US"/>
              </w:rPr>
            </w:pPr>
            <w:r>
              <w:rPr>
                <w:lang w:eastAsia="en-US"/>
              </w:rPr>
              <w:t>560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1,4-二氯苯</w:t>
            </w:r>
          </w:p>
        </w:tc>
        <w:tc>
          <w:tcPr>
            <w:tcW w:w="1827" w:type="dxa"/>
            <w:vAlign w:val="center"/>
          </w:tcPr>
          <w:p>
            <w:pPr>
              <w:pStyle w:val="36"/>
              <w:rPr>
                <w:lang w:eastAsia="en-US"/>
              </w:rPr>
            </w:pPr>
            <w:r>
              <w:rPr>
                <w:lang w:eastAsia="en-US"/>
              </w:rPr>
              <w:t>20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乙苯</w:t>
            </w:r>
          </w:p>
        </w:tc>
        <w:tc>
          <w:tcPr>
            <w:tcW w:w="1827" w:type="dxa"/>
            <w:vAlign w:val="center"/>
          </w:tcPr>
          <w:p>
            <w:pPr>
              <w:pStyle w:val="36"/>
              <w:rPr>
                <w:lang w:eastAsia="en-US"/>
              </w:rPr>
            </w:pPr>
            <w:r>
              <w:rPr>
                <w:lang w:eastAsia="en-US"/>
              </w:rPr>
              <w:t>28</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苯乙烯</w:t>
            </w:r>
          </w:p>
        </w:tc>
        <w:tc>
          <w:tcPr>
            <w:tcW w:w="1827" w:type="dxa"/>
            <w:vAlign w:val="center"/>
          </w:tcPr>
          <w:p>
            <w:pPr>
              <w:pStyle w:val="36"/>
              <w:rPr>
                <w:lang w:eastAsia="en-US"/>
              </w:rPr>
            </w:pPr>
            <w:r>
              <w:rPr>
                <w:lang w:eastAsia="en-US"/>
              </w:rPr>
              <w:t>1290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甲苯</w:t>
            </w:r>
          </w:p>
        </w:tc>
        <w:tc>
          <w:tcPr>
            <w:tcW w:w="1827" w:type="dxa"/>
            <w:vAlign w:val="center"/>
          </w:tcPr>
          <w:p>
            <w:pPr>
              <w:pStyle w:val="36"/>
              <w:rPr>
                <w:lang w:eastAsia="en-US"/>
              </w:rPr>
            </w:pPr>
            <w:r>
              <w:rPr>
                <w:lang w:eastAsia="en-US"/>
              </w:rPr>
              <w:t>1200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间二甲苯+对二甲苯</w:t>
            </w:r>
          </w:p>
        </w:tc>
        <w:tc>
          <w:tcPr>
            <w:tcW w:w="1827" w:type="dxa"/>
            <w:vAlign w:val="center"/>
          </w:tcPr>
          <w:p>
            <w:pPr>
              <w:pStyle w:val="36"/>
              <w:rPr>
                <w:lang w:eastAsia="en-US"/>
              </w:rPr>
            </w:pPr>
            <w:r>
              <w:rPr>
                <w:lang w:eastAsia="en-US"/>
              </w:rPr>
              <w:t>570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邻二甲苯</w:t>
            </w:r>
          </w:p>
        </w:tc>
        <w:tc>
          <w:tcPr>
            <w:tcW w:w="1827" w:type="dxa"/>
            <w:vAlign w:val="center"/>
          </w:tcPr>
          <w:p>
            <w:pPr>
              <w:pStyle w:val="36"/>
              <w:rPr>
                <w:lang w:eastAsia="en-US"/>
              </w:rPr>
            </w:pPr>
            <w:r>
              <w:rPr>
                <w:lang w:eastAsia="en-US"/>
              </w:rPr>
              <w:t>640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restart"/>
            <w:vAlign w:val="center"/>
          </w:tcPr>
          <w:p>
            <w:pPr>
              <w:pStyle w:val="36"/>
            </w:pPr>
            <w:r>
              <w:rPr>
                <w:rFonts w:hint="eastAsia"/>
              </w:rPr>
              <w:t>半挥发性有机物</w:t>
            </w:r>
          </w:p>
        </w:tc>
        <w:tc>
          <w:tcPr>
            <w:tcW w:w="2127" w:type="dxa"/>
            <w:vAlign w:val="center"/>
          </w:tcPr>
          <w:p>
            <w:pPr>
              <w:pStyle w:val="36"/>
              <w:rPr>
                <w:lang w:eastAsia="en-US"/>
              </w:rPr>
            </w:pPr>
            <w:r>
              <w:rPr>
                <w:lang w:eastAsia="en-US"/>
              </w:rPr>
              <w:t>硝基苯</w:t>
            </w:r>
          </w:p>
        </w:tc>
        <w:tc>
          <w:tcPr>
            <w:tcW w:w="1827" w:type="dxa"/>
            <w:vAlign w:val="center"/>
          </w:tcPr>
          <w:p>
            <w:pPr>
              <w:pStyle w:val="36"/>
              <w:rPr>
                <w:lang w:eastAsia="en-US"/>
              </w:rPr>
            </w:pPr>
            <w:r>
              <w:rPr>
                <w:lang w:eastAsia="en-US"/>
              </w:rPr>
              <w:t>76</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苯胺</w:t>
            </w:r>
          </w:p>
        </w:tc>
        <w:tc>
          <w:tcPr>
            <w:tcW w:w="1827" w:type="dxa"/>
            <w:vAlign w:val="center"/>
          </w:tcPr>
          <w:p>
            <w:pPr>
              <w:pStyle w:val="36"/>
              <w:rPr>
                <w:lang w:eastAsia="en-US"/>
              </w:rPr>
            </w:pPr>
            <w:r>
              <w:rPr>
                <w:lang w:eastAsia="en-US"/>
              </w:rPr>
              <w:t>260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2-氯酚</w:t>
            </w:r>
          </w:p>
        </w:tc>
        <w:tc>
          <w:tcPr>
            <w:tcW w:w="1827" w:type="dxa"/>
            <w:vAlign w:val="center"/>
          </w:tcPr>
          <w:p>
            <w:pPr>
              <w:pStyle w:val="36"/>
              <w:rPr>
                <w:lang w:eastAsia="en-US"/>
              </w:rPr>
            </w:pPr>
            <w:r>
              <w:rPr>
                <w:lang w:eastAsia="en-US"/>
              </w:rPr>
              <w:t>2256</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苯并[a]蒽</w:t>
            </w:r>
          </w:p>
        </w:tc>
        <w:tc>
          <w:tcPr>
            <w:tcW w:w="1827" w:type="dxa"/>
            <w:vAlign w:val="center"/>
          </w:tcPr>
          <w:p>
            <w:pPr>
              <w:pStyle w:val="36"/>
              <w:rPr>
                <w:lang w:eastAsia="en-US"/>
              </w:rPr>
            </w:pPr>
            <w:r>
              <w:rPr>
                <w:lang w:eastAsia="en-US"/>
              </w:rPr>
              <w:t>15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苯并[a]芘</w:t>
            </w:r>
          </w:p>
        </w:tc>
        <w:tc>
          <w:tcPr>
            <w:tcW w:w="1827" w:type="dxa"/>
            <w:vAlign w:val="center"/>
          </w:tcPr>
          <w:p>
            <w:pPr>
              <w:pStyle w:val="36"/>
              <w:rPr>
                <w:lang w:eastAsia="en-US"/>
              </w:rPr>
            </w:pPr>
            <w:r>
              <w:rPr>
                <w:lang w:eastAsia="en-US"/>
              </w:rPr>
              <w:t>1.5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苯并[b]荧蒽</w:t>
            </w:r>
          </w:p>
        </w:tc>
        <w:tc>
          <w:tcPr>
            <w:tcW w:w="1827" w:type="dxa"/>
            <w:vAlign w:val="center"/>
          </w:tcPr>
          <w:p>
            <w:pPr>
              <w:pStyle w:val="36"/>
              <w:rPr>
                <w:lang w:eastAsia="en-US"/>
              </w:rPr>
            </w:pPr>
            <w:r>
              <w:rPr>
                <w:lang w:eastAsia="en-US"/>
              </w:rPr>
              <w:t>15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苯并[k]荧蒽</w:t>
            </w:r>
          </w:p>
        </w:tc>
        <w:tc>
          <w:tcPr>
            <w:tcW w:w="1827" w:type="dxa"/>
            <w:vAlign w:val="center"/>
          </w:tcPr>
          <w:p>
            <w:pPr>
              <w:pStyle w:val="36"/>
              <w:rPr>
                <w:lang w:eastAsia="en-US"/>
              </w:rPr>
            </w:pPr>
            <w:r>
              <w:rPr>
                <w:lang w:eastAsia="en-US"/>
              </w:rPr>
              <w:t>151</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䓛</w:t>
            </w:r>
          </w:p>
        </w:tc>
        <w:tc>
          <w:tcPr>
            <w:tcW w:w="1827" w:type="dxa"/>
            <w:vAlign w:val="center"/>
          </w:tcPr>
          <w:p>
            <w:pPr>
              <w:pStyle w:val="36"/>
              <w:rPr>
                <w:lang w:eastAsia="en-US"/>
              </w:rPr>
            </w:pPr>
            <w:r>
              <w:rPr>
                <w:lang w:eastAsia="en-US"/>
              </w:rPr>
              <w:t>1293</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二苯并[a, h]蒽</w:t>
            </w:r>
          </w:p>
        </w:tc>
        <w:tc>
          <w:tcPr>
            <w:tcW w:w="1827" w:type="dxa"/>
            <w:vAlign w:val="center"/>
          </w:tcPr>
          <w:p>
            <w:pPr>
              <w:pStyle w:val="36"/>
              <w:rPr>
                <w:lang w:eastAsia="en-US"/>
              </w:rPr>
            </w:pPr>
            <w:r>
              <w:rPr>
                <w:lang w:eastAsia="en-US"/>
              </w:rPr>
              <w:t>1.5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茚并[1,2,3-cd]芘</w:t>
            </w:r>
          </w:p>
        </w:tc>
        <w:tc>
          <w:tcPr>
            <w:tcW w:w="1827" w:type="dxa"/>
            <w:vAlign w:val="center"/>
          </w:tcPr>
          <w:p>
            <w:pPr>
              <w:pStyle w:val="36"/>
              <w:rPr>
                <w:lang w:eastAsia="en-US"/>
              </w:rPr>
            </w:pPr>
            <w:r>
              <w:rPr>
                <w:lang w:eastAsia="en-US"/>
              </w:rPr>
              <w:t>15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rPr>
                <w:lang w:eastAsia="en-US"/>
              </w:rPr>
            </w:pPr>
            <w:r>
              <w:rPr>
                <w:lang w:eastAsia="en-US"/>
              </w:rPr>
              <w:t>萘</w:t>
            </w:r>
          </w:p>
        </w:tc>
        <w:tc>
          <w:tcPr>
            <w:tcW w:w="1827" w:type="dxa"/>
            <w:vAlign w:val="center"/>
          </w:tcPr>
          <w:p>
            <w:pPr>
              <w:pStyle w:val="36"/>
              <w:rPr>
                <w:lang w:eastAsia="en-US"/>
              </w:rPr>
            </w:pPr>
            <w:r>
              <w:rPr>
                <w:lang w:eastAsia="en-US"/>
              </w:rPr>
              <w:t>70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6"/>
            </w:pPr>
            <w:r>
              <w:rPr>
                <w:rFonts w:hint="eastAsia"/>
              </w:rPr>
              <w:t>氰化物</w:t>
            </w:r>
          </w:p>
        </w:tc>
        <w:tc>
          <w:tcPr>
            <w:tcW w:w="1827" w:type="dxa"/>
            <w:vAlign w:val="center"/>
          </w:tcPr>
          <w:p>
            <w:pPr>
              <w:pStyle w:val="36"/>
            </w:pPr>
            <w:r>
              <w:rPr>
                <w:rFonts w:hint="eastAsia"/>
              </w:rPr>
              <w:t>135</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restart"/>
            <w:vAlign w:val="center"/>
          </w:tcPr>
          <w:p>
            <w:pPr>
              <w:pStyle w:val="36"/>
            </w:pPr>
            <w:r>
              <w:rPr>
                <w:rFonts w:hint="eastAsia" w:eastAsia="宋体"/>
              </w:rPr>
              <w:t>农</w:t>
            </w:r>
            <w:r>
              <w:rPr>
                <w:rFonts w:hint="eastAsia"/>
              </w:rPr>
              <w:t>用地</w:t>
            </w:r>
          </w:p>
          <w:p>
            <w:pPr>
              <w:pStyle w:val="36"/>
            </w:pPr>
            <w:r>
              <w:rPr>
                <w:rFonts w:hint="eastAsia"/>
              </w:rPr>
              <w:t>（厂外）</w:t>
            </w:r>
          </w:p>
        </w:tc>
        <w:tc>
          <w:tcPr>
            <w:tcW w:w="1169" w:type="dxa"/>
            <w:vMerge w:val="restart"/>
            <w:vAlign w:val="center"/>
          </w:tcPr>
          <w:p>
            <w:pPr>
              <w:pStyle w:val="36"/>
              <w:rPr>
                <w:rFonts w:eastAsia="宋体"/>
              </w:rPr>
            </w:pPr>
            <w:r>
              <w:rPr>
                <w:rFonts w:hint="eastAsia" w:eastAsia="宋体"/>
              </w:rPr>
              <w:t>基本项目</w:t>
            </w:r>
          </w:p>
        </w:tc>
        <w:tc>
          <w:tcPr>
            <w:tcW w:w="2127" w:type="dxa"/>
            <w:vAlign w:val="center"/>
          </w:tcPr>
          <w:p>
            <w:pPr>
              <w:pStyle w:val="35"/>
            </w:pPr>
            <w:r>
              <w:t>铜</w:t>
            </w:r>
          </w:p>
        </w:tc>
        <w:tc>
          <w:tcPr>
            <w:tcW w:w="1827" w:type="dxa"/>
            <w:vAlign w:val="center"/>
          </w:tcPr>
          <w:p>
            <w:pPr>
              <w:pStyle w:val="35"/>
            </w:pPr>
            <w:r>
              <w:rPr>
                <w:rFonts w:hint="eastAsia"/>
              </w:rPr>
              <w:t>100</w:t>
            </w:r>
          </w:p>
        </w:tc>
        <w:tc>
          <w:tcPr>
            <w:tcW w:w="2560" w:type="dxa"/>
            <w:vMerge w:val="restart"/>
            <w:vAlign w:val="center"/>
          </w:tcPr>
          <w:p>
            <w:pPr>
              <w:pStyle w:val="36"/>
              <w:rPr>
                <w:rFonts w:eastAsia="宋体"/>
              </w:rPr>
            </w:pPr>
            <w:r>
              <w:rPr>
                <w:rFonts w:hint="eastAsia"/>
              </w:rPr>
              <w:t xml:space="preserve">《土壤环境质量 </w:t>
            </w:r>
            <w:r>
              <w:rPr>
                <w:rFonts w:hint="eastAsia" w:eastAsia="宋体"/>
              </w:rPr>
              <w:t>农</w:t>
            </w:r>
            <w:r>
              <w:rPr>
                <w:rFonts w:hint="eastAsia"/>
              </w:rPr>
              <w:t xml:space="preserve">用地土壤污染风险管控标准（试行）》（GB </w:t>
            </w:r>
            <w:r>
              <w:rPr>
                <w:rFonts w:hint="eastAsia" w:eastAsia="宋体"/>
              </w:rPr>
              <w:t>15618</w:t>
            </w:r>
            <w:r>
              <w:rPr>
                <w:rFonts w:hint="eastAsia"/>
              </w:rPr>
              <w:t>-2018）</w:t>
            </w:r>
            <w:r>
              <w:rPr>
                <w:rFonts w:hint="eastAsia" w:eastAsia="宋体"/>
              </w:rPr>
              <w:t xml:space="preserve"> 表1 </w:t>
            </w:r>
          </w:p>
          <w:p>
            <w:pPr>
              <w:pStyle w:val="36"/>
              <w:rPr>
                <w:rFonts w:eastAsia="宋体"/>
              </w:rPr>
            </w:pPr>
            <w:r>
              <w:rPr>
                <w:rFonts w:hint="eastAsia" w:eastAsia="宋体"/>
              </w:rPr>
              <w:t>6.5&lt;pH≤7.5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镍</w:t>
            </w:r>
          </w:p>
        </w:tc>
        <w:tc>
          <w:tcPr>
            <w:tcW w:w="1827" w:type="dxa"/>
            <w:vAlign w:val="center"/>
          </w:tcPr>
          <w:p>
            <w:pPr>
              <w:pStyle w:val="35"/>
            </w:pPr>
            <w:r>
              <w:rPr>
                <w:rFonts w:hint="eastAsia"/>
              </w:rPr>
              <w:t>100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镉</w:t>
            </w:r>
          </w:p>
        </w:tc>
        <w:tc>
          <w:tcPr>
            <w:tcW w:w="1827" w:type="dxa"/>
            <w:vAlign w:val="center"/>
          </w:tcPr>
          <w:p>
            <w:pPr>
              <w:pStyle w:val="35"/>
            </w:pPr>
            <w:r>
              <w:rPr>
                <w:rFonts w:hint="eastAsia"/>
              </w:rPr>
              <w:t>0.3</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铅</w:t>
            </w:r>
          </w:p>
        </w:tc>
        <w:tc>
          <w:tcPr>
            <w:tcW w:w="1827" w:type="dxa"/>
            <w:vAlign w:val="center"/>
          </w:tcPr>
          <w:p>
            <w:pPr>
              <w:pStyle w:val="35"/>
            </w:pPr>
            <w:r>
              <w:rPr>
                <w:rFonts w:hint="eastAsia"/>
              </w:rPr>
              <w:t>120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汞</w:t>
            </w:r>
          </w:p>
        </w:tc>
        <w:tc>
          <w:tcPr>
            <w:tcW w:w="1827" w:type="dxa"/>
            <w:vAlign w:val="center"/>
          </w:tcPr>
          <w:p>
            <w:pPr>
              <w:pStyle w:val="35"/>
            </w:pPr>
            <w:r>
              <w:rPr>
                <w:rFonts w:hint="eastAsia"/>
              </w:rPr>
              <w:t>2.4</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砷</w:t>
            </w:r>
          </w:p>
        </w:tc>
        <w:tc>
          <w:tcPr>
            <w:tcW w:w="1827" w:type="dxa"/>
            <w:vAlign w:val="center"/>
          </w:tcPr>
          <w:p>
            <w:pPr>
              <w:pStyle w:val="35"/>
            </w:pPr>
            <w:r>
              <w:rPr>
                <w:rFonts w:hint="eastAsia"/>
              </w:rPr>
              <w:t>30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铬</w:t>
            </w:r>
          </w:p>
        </w:tc>
        <w:tc>
          <w:tcPr>
            <w:tcW w:w="1827" w:type="dxa"/>
            <w:vAlign w:val="center"/>
          </w:tcPr>
          <w:p>
            <w:pPr>
              <w:pStyle w:val="35"/>
            </w:pPr>
            <w:r>
              <w:rPr>
                <w:rFonts w:hint="eastAsia"/>
              </w:rPr>
              <w:t>200</w:t>
            </w:r>
          </w:p>
        </w:tc>
        <w:tc>
          <w:tcPr>
            <w:tcW w:w="2560" w:type="dxa"/>
            <w:vMerge w:val="continue"/>
            <w:vAlign w:val="center"/>
          </w:tcPr>
          <w:p>
            <w:pPr>
              <w:pStyle w:val="36"/>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91" w:type="dxa"/>
            <w:vMerge w:val="continue"/>
            <w:vAlign w:val="center"/>
          </w:tcPr>
          <w:p>
            <w:pPr>
              <w:pStyle w:val="36"/>
            </w:pPr>
          </w:p>
        </w:tc>
        <w:tc>
          <w:tcPr>
            <w:tcW w:w="1169" w:type="dxa"/>
            <w:vMerge w:val="continue"/>
            <w:vAlign w:val="center"/>
          </w:tcPr>
          <w:p>
            <w:pPr>
              <w:pStyle w:val="36"/>
            </w:pPr>
          </w:p>
        </w:tc>
        <w:tc>
          <w:tcPr>
            <w:tcW w:w="2127" w:type="dxa"/>
            <w:vAlign w:val="center"/>
          </w:tcPr>
          <w:p>
            <w:pPr>
              <w:pStyle w:val="35"/>
            </w:pPr>
            <w:r>
              <w:t>锌</w:t>
            </w:r>
          </w:p>
        </w:tc>
        <w:tc>
          <w:tcPr>
            <w:tcW w:w="1827" w:type="dxa"/>
            <w:vAlign w:val="center"/>
          </w:tcPr>
          <w:p>
            <w:pPr>
              <w:pStyle w:val="35"/>
            </w:pPr>
            <w:r>
              <w:rPr>
                <w:rFonts w:hint="eastAsia"/>
              </w:rPr>
              <w:t>250</w:t>
            </w:r>
          </w:p>
        </w:tc>
        <w:tc>
          <w:tcPr>
            <w:tcW w:w="2560" w:type="dxa"/>
            <w:vMerge w:val="continue"/>
            <w:vAlign w:val="center"/>
          </w:tcPr>
          <w:p>
            <w:pPr>
              <w:pStyle w:val="36"/>
            </w:pPr>
          </w:p>
        </w:tc>
      </w:tr>
    </w:tbl>
    <w:p>
      <w:pPr>
        <w:pStyle w:val="27"/>
        <w:ind w:firstLine="560"/>
      </w:pPr>
      <w:r>
        <w:rPr>
          <w:rFonts w:hint="eastAsia"/>
        </w:rPr>
        <w:t>（4）</w:t>
      </w:r>
      <w:r>
        <w:t>评价结果</w:t>
      </w:r>
    </w:p>
    <w:p>
      <w:pPr>
        <w:pStyle w:val="27"/>
        <w:ind w:firstLine="560"/>
      </w:pPr>
      <w:r>
        <w:rPr>
          <w:rFonts w:hint="eastAsia"/>
        </w:rPr>
        <w:t>土壤环境质量现状评价结果见表4.3-15。</w:t>
      </w:r>
    </w:p>
    <w:p>
      <w:pPr>
        <w:pStyle w:val="20"/>
        <w:ind w:firstLine="560"/>
        <w:rPr>
          <w:sz w:val="28"/>
          <w:szCs w:val="22"/>
        </w:rPr>
      </w:pPr>
    </w:p>
    <w:p>
      <w:pPr>
        <w:pStyle w:val="20"/>
        <w:ind w:firstLine="560"/>
        <w:rPr>
          <w:sz w:val="28"/>
          <w:szCs w:val="22"/>
        </w:rPr>
      </w:pPr>
    </w:p>
    <w:p>
      <w:pPr>
        <w:pStyle w:val="20"/>
        <w:ind w:firstLine="560"/>
        <w:rPr>
          <w:sz w:val="28"/>
          <w:szCs w:val="22"/>
        </w:rPr>
        <w:sectPr>
          <w:footerReference r:id="rId13" w:type="first"/>
          <w:footerReference r:id="rId12" w:type="even"/>
          <w:pgSz w:w="11906" w:h="16838"/>
          <w:pgMar w:top="1474" w:right="1474" w:bottom="1474" w:left="1474" w:header="851" w:footer="851" w:gutter="0"/>
          <w:cols w:space="720" w:num="1"/>
          <w:docGrid w:type="lines" w:linePitch="312" w:charSpace="0"/>
        </w:sectPr>
      </w:pPr>
    </w:p>
    <w:p>
      <w:pPr>
        <w:pStyle w:val="32"/>
        <w:tabs>
          <w:tab w:val="left" w:pos="4540"/>
          <w:tab w:val="clear" w:pos="900"/>
        </w:tabs>
      </w:pPr>
      <w:r>
        <w:t>表4.3-</w:t>
      </w:r>
      <w:r>
        <w:rPr>
          <w:rFonts w:hint="eastAsia"/>
        </w:rPr>
        <w:t>15（1）         土壤环境质量现状评价结果</w:t>
      </w:r>
    </w:p>
    <w:tbl>
      <w:tblPr>
        <w:tblStyle w:val="21"/>
        <w:tblW w:w="4997" w:type="pct"/>
        <w:tblInd w:w="0" w:type="dxa"/>
        <w:tblBorders>
          <w:top w:val="single" w:color="auto" w:sz="8" w:space="0"/>
          <w:left w:val="none" w:color="auto" w:sz="0" w:space="0"/>
          <w:bottom w:val="single" w:color="auto" w:sz="8"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804"/>
        <w:gridCol w:w="727"/>
        <w:gridCol w:w="727"/>
        <w:gridCol w:w="885"/>
        <w:gridCol w:w="885"/>
        <w:gridCol w:w="885"/>
        <w:gridCol w:w="658"/>
        <w:gridCol w:w="658"/>
        <w:gridCol w:w="658"/>
        <w:gridCol w:w="658"/>
      </w:tblGrid>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570" w:hRule="atLeast"/>
          <w:tblHeader/>
        </w:trPr>
        <w:tc>
          <w:tcPr>
            <w:tcW w:w="598" w:type="pct"/>
            <w:tcBorders>
              <w:bottom w:val="single" w:color="000000" w:sz="4" w:space="0"/>
              <w:right w:val="single" w:color="000000" w:sz="4" w:space="0"/>
            </w:tcBorders>
            <w:shd w:val="clear" w:color="auto" w:fill="auto"/>
            <w:vAlign w:val="center"/>
          </w:tcPr>
          <w:p>
            <w:pPr>
              <w:pStyle w:val="35"/>
              <w:rPr>
                <w:b/>
                <w:bCs/>
              </w:rPr>
            </w:pPr>
            <w:r>
              <w:rPr>
                <w:rFonts w:hint="eastAsia"/>
                <w:b/>
                <w:bCs/>
              </w:rPr>
              <w:t>监测项目</w:t>
            </w:r>
          </w:p>
        </w:tc>
        <w:tc>
          <w:tcPr>
            <w:tcW w:w="476"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检出限</w:t>
            </w:r>
          </w:p>
          <w:p>
            <w:pPr>
              <w:pStyle w:val="35"/>
              <w:rPr>
                <w:b/>
                <w:bCs/>
              </w:rPr>
            </w:pPr>
            <w:r>
              <w:rPr>
                <w:rFonts w:hint="eastAsia"/>
                <w:b/>
                <w:bCs/>
              </w:rPr>
              <w:t>(</w:t>
            </w:r>
            <w:r>
              <w:rPr>
                <w:b/>
                <w:bCs/>
              </w:rPr>
              <w:t>mg/kg</w:t>
            </w:r>
            <w:r>
              <w:rPr>
                <w:rFonts w:hint="eastAsia"/>
                <w:b/>
                <w:bCs/>
              </w:rPr>
              <w:t>)</w:t>
            </w:r>
          </w:p>
        </w:tc>
        <w:tc>
          <w:tcPr>
            <w:tcW w:w="476"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样本数量(个)</w:t>
            </w:r>
          </w:p>
        </w:tc>
        <w:tc>
          <w:tcPr>
            <w:tcW w:w="568"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最大值</w:t>
            </w:r>
          </w:p>
          <w:p>
            <w:pPr>
              <w:pStyle w:val="35"/>
              <w:rPr>
                <w:b/>
                <w:bCs/>
              </w:rPr>
            </w:pPr>
            <w:r>
              <w:rPr>
                <w:rFonts w:hint="eastAsia"/>
                <w:b/>
                <w:bCs/>
              </w:rPr>
              <w:t>(</w:t>
            </w:r>
            <w:r>
              <w:rPr>
                <w:b/>
                <w:bCs/>
              </w:rPr>
              <w:t>mg/kg</w:t>
            </w:r>
            <w:r>
              <w:rPr>
                <w:rFonts w:hint="eastAsia"/>
                <w:b/>
                <w:bCs/>
              </w:rPr>
              <w:t>)</w:t>
            </w:r>
          </w:p>
        </w:tc>
        <w:tc>
          <w:tcPr>
            <w:tcW w:w="568"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最小值</w:t>
            </w:r>
          </w:p>
          <w:p>
            <w:pPr>
              <w:pStyle w:val="35"/>
              <w:rPr>
                <w:b/>
                <w:bCs/>
              </w:rPr>
            </w:pPr>
            <w:r>
              <w:rPr>
                <w:rFonts w:hint="eastAsia"/>
                <w:b/>
                <w:bCs/>
              </w:rPr>
              <w:t>(</w:t>
            </w:r>
            <w:r>
              <w:rPr>
                <w:b/>
                <w:bCs/>
              </w:rPr>
              <w:t>mg/kg</w:t>
            </w:r>
            <w:r>
              <w:rPr>
                <w:rFonts w:hint="eastAsia"/>
                <w:b/>
                <w:bCs/>
              </w:rPr>
              <w:t>)</w:t>
            </w:r>
          </w:p>
        </w:tc>
        <w:tc>
          <w:tcPr>
            <w:tcW w:w="568"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均值</w:t>
            </w:r>
          </w:p>
          <w:p>
            <w:pPr>
              <w:pStyle w:val="35"/>
              <w:rPr>
                <w:b/>
                <w:bCs/>
              </w:rPr>
            </w:pPr>
            <w:r>
              <w:rPr>
                <w:rFonts w:hint="eastAsia"/>
                <w:b/>
                <w:bCs/>
              </w:rPr>
              <w:t>(</w:t>
            </w:r>
            <w:r>
              <w:rPr>
                <w:b/>
                <w:bCs/>
              </w:rPr>
              <w:t>mg/kg</w:t>
            </w:r>
            <w:r>
              <w:rPr>
                <w:rFonts w:hint="eastAsia"/>
                <w:b/>
                <w:bCs/>
              </w:rPr>
              <w:t>)</w:t>
            </w:r>
          </w:p>
        </w:tc>
        <w:tc>
          <w:tcPr>
            <w:tcW w:w="43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标准差</w:t>
            </w:r>
          </w:p>
        </w:tc>
        <w:tc>
          <w:tcPr>
            <w:tcW w:w="43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检出率%</w:t>
            </w:r>
          </w:p>
        </w:tc>
        <w:tc>
          <w:tcPr>
            <w:tcW w:w="43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超标率%</w:t>
            </w:r>
          </w:p>
        </w:tc>
        <w:tc>
          <w:tcPr>
            <w:tcW w:w="435" w:type="pct"/>
            <w:tcBorders>
              <w:left w:val="single" w:color="000000" w:sz="4" w:space="0"/>
              <w:bottom w:val="single" w:color="000000" w:sz="4" w:space="0"/>
            </w:tcBorders>
            <w:shd w:val="clear" w:color="auto" w:fill="auto"/>
            <w:vAlign w:val="center"/>
          </w:tcPr>
          <w:p>
            <w:pPr>
              <w:pStyle w:val="35"/>
              <w:rPr>
                <w:b/>
                <w:bCs/>
              </w:rPr>
            </w:pPr>
            <w:r>
              <w:rPr>
                <w:rFonts w:hint="eastAsia"/>
                <w:b/>
                <w:bCs/>
              </w:rPr>
              <w:t>最大超标倍数</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0.01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7.92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3.58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5.92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0.85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镉</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0.01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0.13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0.08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0.03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铬（六价）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0.5</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3.2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0.3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1.68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0.86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85%</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铜</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12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4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9.90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2.07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铅</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19.1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13.7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15.64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1.69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汞</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0.002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0.058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0.02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0.02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镍</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rPr>
                <w:rFonts w:hint="eastAsia"/>
              </w:rPr>
              <w:t>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24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14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17.50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1.96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四氯化碳</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氯仿</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氯甲烷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w:t>
            </w:r>
            <w:r>
              <w:rPr>
                <w:rFonts w:hint="eastAsia"/>
              </w:rPr>
              <w:t>二氯乙烷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1,2-</w:t>
            </w:r>
            <w:r>
              <w:rPr>
                <w:rFonts w:hint="eastAsia"/>
              </w:rPr>
              <w:t>二氯乙烷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w:t>
            </w:r>
            <w:r>
              <w:rPr>
                <w:rFonts w:hint="eastAsia"/>
              </w:rPr>
              <w:t>二氯乙烯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顺</w:t>
            </w:r>
            <w:r>
              <w:t>-1,2-</w:t>
            </w:r>
            <w:r>
              <w:rPr>
                <w:rFonts w:hint="eastAsia"/>
              </w:rPr>
              <w:t>二氯乙烯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反</w:t>
            </w:r>
            <w:r>
              <w:t>-1,2-</w:t>
            </w:r>
            <w:r>
              <w:rPr>
                <w:rFonts w:hint="eastAsia"/>
              </w:rPr>
              <w:t>二氯乙烯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0.0014</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二氯甲烷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0.0015</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1,2-</w:t>
            </w:r>
            <w:r>
              <w:rPr>
                <w:rFonts w:hint="eastAsia"/>
              </w:rPr>
              <w:t>二氯丙烷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1,1,1,2-</w:t>
            </w:r>
            <w:r>
              <w:rPr>
                <w:rFonts w:hint="eastAsia"/>
              </w:rPr>
              <w:t>四氯乙烷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1,1,2,2-</w:t>
            </w:r>
            <w:r>
              <w:rPr>
                <w:rFonts w:hint="eastAsia"/>
              </w:rPr>
              <w:t>四氯乙烷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四氯乙烯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0.0014</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1,1,1-</w:t>
            </w:r>
            <w:r>
              <w:rPr>
                <w:rFonts w:hint="eastAsia"/>
              </w:rPr>
              <w:t>三氯乙烷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1,1,2-</w:t>
            </w:r>
            <w:r>
              <w:rPr>
                <w:rFonts w:hint="eastAsia"/>
              </w:rPr>
              <w:t>三氯乙烷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三氯乙烯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1,2,3-</w:t>
            </w:r>
            <w:r>
              <w:rPr>
                <w:rFonts w:hint="eastAsia"/>
              </w:rPr>
              <w:t>三氯丙烷</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0.0019</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9.50E-04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9.50E-04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9.50E-04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氯苯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1,2-</w:t>
            </w:r>
            <w:r>
              <w:rPr>
                <w:rFonts w:hint="eastAsia"/>
              </w:rPr>
              <w:t>二氯苯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0.0015</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1,4-</w:t>
            </w:r>
            <w:r>
              <w:rPr>
                <w:rFonts w:hint="eastAsia"/>
              </w:rPr>
              <w:t>二氯苯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0.0015</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7.50E-04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乙苯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苯乙烯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5.50E-04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甲苯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0.0013</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3.20E-03</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2.40E-03</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2.89E-03</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间二甲苯</w:t>
            </w:r>
            <w:r>
              <w:t>+</w:t>
            </w:r>
            <w:r>
              <w:rPr>
                <w:rFonts w:hint="eastAsia"/>
              </w:rPr>
              <w:t>对二甲苯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邻二甲苯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0.0012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6.00E-04</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硝基苯</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0.09</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0.045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0.045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0.0450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苯胺</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t>2-</w:t>
            </w:r>
            <w:r>
              <w:rPr>
                <w:rFonts w:hint="eastAsia"/>
              </w:rPr>
              <w:t>氯酚</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0.06</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0.03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0.03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0.0300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苯并</w:t>
            </w:r>
            <w:r>
              <w:t>[a]</w:t>
            </w:r>
            <w:r>
              <w:rPr>
                <w:rFonts w:hint="eastAsia"/>
              </w:rPr>
              <w:t>蒽</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苯并</w:t>
            </w:r>
            <w:r>
              <w:t>[a]</w:t>
            </w:r>
            <w:r>
              <w:rPr>
                <w:rFonts w:hint="eastAsia"/>
              </w:rPr>
              <w:t>芘</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苯并</w:t>
            </w:r>
            <w:r>
              <w:t>[b]</w:t>
            </w:r>
            <w:r>
              <w:rPr>
                <w:rFonts w:hint="eastAsia"/>
              </w:rPr>
              <w:t>荧蒽</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0.2</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苯并</w:t>
            </w:r>
            <w:r>
              <w:t>[k]</w:t>
            </w:r>
            <w:r>
              <w:rPr>
                <w:rFonts w:hint="eastAsia"/>
              </w:rPr>
              <w:t>荧蒽</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䓛</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二苯并</w:t>
            </w:r>
            <w:r>
              <w:t>[a, h]</w:t>
            </w:r>
            <w:r>
              <w:rPr>
                <w:rFonts w:hint="eastAsia"/>
              </w:rPr>
              <w:t>蒽</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茚并</w:t>
            </w:r>
            <w:r>
              <w:t>[1,2,3-cd]</w:t>
            </w:r>
            <w:r>
              <w:rPr>
                <w:rFonts w:hint="eastAsia"/>
              </w:rPr>
              <w:t>芘</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0.1</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萘</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0.09</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0.05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0.0450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氰化物</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0.04</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3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0.02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0.02 </w:t>
            </w:r>
          </w:p>
        </w:tc>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0.0200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bottom w:val="single" w:color="000000" w:sz="4" w:space="0"/>
            </w:tcBorders>
            <w:shd w:val="clear" w:color="auto" w:fill="auto"/>
            <w:noWrap/>
            <w:vAlign w:val="bottom"/>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598" w:type="pct"/>
            <w:tcBorders>
              <w:top w:val="single" w:color="000000" w:sz="4" w:space="0"/>
              <w:right w:val="single" w:color="000000" w:sz="4" w:space="0"/>
            </w:tcBorders>
            <w:shd w:val="clear" w:color="auto" w:fill="auto"/>
            <w:noWrap/>
            <w:vAlign w:val="center"/>
          </w:tcPr>
          <w:p>
            <w:pPr>
              <w:pStyle w:val="35"/>
            </w:pPr>
            <w:r>
              <w:t>石油烃</w:t>
            </w:r>
          </w:p>
        </w:tc>
        <w:tc>
          <w:tcPr>
            <w:tcW w:w="476"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6.00 </w:t>
            </w:r>
          </w:p>
        </w:tc>
        <w:tc>
          <w:tcPr>
            <w:tcW w:w="476"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20 </w:t>
            </w:r>
          </w:p>
        </w:tc>
        <w:tc>
          <w:tcPr>
            <w:tcW w:w="568"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111 </w:t>
            </w:r>
          </w:p>
        </w:tc>
        <w:tc>
          <w:tcPr>
            <w:tcW w:w="568"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8 </w:t>
            </w:r>
          </w:p>
        </w:tc>
        <w:tc>
          <w:tcPr>
            <w:tcW w:w="568"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33.2 </w:t>
            </w:r>
          </w:p>
        </w:tc>
        <w:tc>
          <w:tcPr>
            <w:tcW w:w="435" w:type="pct"/>
            <w:tcBorders>
              <w:top w:val="single" w:color="000000" w:sz="4" w:space="0"/>
              <w:left w:val="single" w:color="000000" w:sz="4" w:space="0"/>
              <w:right w:val="single" w:color="000000" w:sz="4" w:space="0"/>
            </w:tcBorders>
            <w:shd w:val="clear" w:color="auto" w:fill="auto"/>
            <w:noWrap/>
            <w:vAlign w:val="center"/>
          </w:tcPr>
          <w:p>
            <w:pPr>
              <w:pStyle w:val="35"/>
            </w:pPr>
            <w:r>
              <w:t xml:space="preserve">23.99 </w:t>
            </w:r>
          </w:p>
        </w:tc>
        <w:tc>
          <w:tcPr>
            <w:tcW w:w="435" w:type="pct"/>
            <w:tcBorders>
              <w:top w:val="single" w:color="000000" w:sz="4" w:space="0"/>
              <w:left w:val="single" w:color="000000" w:sz="4" w:space="0"/>
              <w:right w:val="single" w:color="000000" w:sz="4" w:space="0"/>
            </w:tcBorders>
            <w:shd w:val="clear" w:color="auto" w:fill="auto"/>
            <w:noWrap/>
            <w:vAlign w:val="center"/>
          </w:tcPr>
          <w:p>
            <w:pPr>
              <w:pStyle w:val="35"/>
            </w:pPr>
            <w:r>
              <w:t>100%</w:t>
            </w:r>
          </w:p>
        </w:tc>
        <w:tc>
          <w:tcPr>
            <w:tcW w:w="435" w:type="pct"/>
            <w:tcBorders>
              <w:top w:val="single" w:color="000000" w:sz="4" w:space="0"/>
              <w:left w:val="single" w:color="000000" w:sz="4" w:space="0"/>
              <w:right w:val="single" w:color="000000" w:sz="4" w:space="0"/>
            </w:tcBorders>
            <w:shd w:val="clear" w:color="auto" w:fill="auto"/>
            <w:noWrap/>
            <w:vAlign w:val="center"/>
          </w:tcPr>
          <w:p>
            <w:pPr>
              <w:pStyle w:val="35"/>
            </w:pPr>
            <w:r>
              <w:t>0.00%</w:t>
            </w:r>
          </w:p>
        </w:tc>
        <w:tc>
          <w:tcPr>
            <w:tcW w:w="435" w:type="pct"/>
            <w:tcBorders>
              <w:top w:val="single" w:color="000000" w:sz="4" w:space="0"/>
              <w:left w:val="single" w:color="000000" w:sz="4" w:space="0"/>
            </w:tcBorders>
            <w:shd w:val="clear" w:color="auto" w:fill="auto"/>
            <w:noWrap/>
            <w:vAlign w:val="bottom"/>
          </w:tcPr>
          <w:p>
            <w:pPr>
              <w:pStyle w:val="35"/>
            </w:pPr>
            <w:r>
              <w:t xml:space="preserve">0.00 </w:t>
            </w:r>
          </w:p>
        </w:tc>
      </w:tr>
    </w:tbl>
    <w:p>
      <w:pPr>
        <w:pStyle w:val="32"/>
        <w:tabs>
          <w:tab w:val="left" w:pos="4540"/>
          <w:tab w:val="clear" w:pos="900"/>
        </w:tabs>
      </w:pPr>
      <w:r>
        <w:t>表4.3-</w:t>
      </w:r>
      <w:r>
        <w:rPr>
          <w:rFonts w:hint="eastAsia"/>
        </w:rPr>
        <w:t>15（2）        土壤环境质量现状评价结果</w:t>
      </w:r>
    </w:p>
    <w:tbl>
      <w:tblPr>
        <w:tblStyle w:val="21"/>
        <w:tblW w:w="4995" w:type="pct"/>
        <w:tblInd w:w="0" w:type="dxa"/>
        <w:tblBorders>
          <w:top w:val="single" w:color="auto" w:sz="8" w:space="0"/>
          <w:left w:val="none" w:color="auto" w:sz="0" w:space="0"/>
          <w:bottom w:val="single" w:color="auto" w:sz="8"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48"/>
        <w:gridCol w:w="948"/>
        <w:gridCol w:w="949"/>
        <w:gridCol w:w="949"/>
        <w:gridCol w:w="949"/>
        <w:gridCol w:w="949"/>
        <w:gridCol w:w="949"/>
        <w:gridCol w:w="949"/>
        <w:gridCol w:w="951"/>
      </w:tblGrid>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bottom w:val="single" w:color="000000" w:sz="4" w:space="0"/>
              <w:right w:val="single" w:color="000000" w:sz="4" w:space="0"/>
            </w:tcBorders>
            <w:shd w:val="clear" w:color="auto" w:fill="auto"/>
            <w:vAlign w:val="center"/>
          </w:tcPr>
          <w:p>
            <w:pPr>
              <w:pStyle w:val="35"/>
              <w:rPr>
                <w:b/>
                <w:bCs/>
              </w:rPr>
            </w:pPr>
            <w:r>
              <w:rPr>
                <w:rFonts w:hint="eastAsia"/>
                <w:b/>
                <w:bCs/>
              </w:rPr>
              <w:t>评价因子</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样本数量</w:t>
            </w:r>
          </w:p>
          <w:p>
            <w:pPr>
              <w:pStyle w:val="35"/>
              <w:rPr>
                <w:b/>
                <w:bCs/>
              </w:rPr>
            </w:pPr>
            <w:r>
              <w:rPr>
                <w:rFonts w:hint="eastAsia"/>
                <w:b/>
                <w:bCs/>
              </w:rPr>
              <w:t>(个)</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最大值</w:t>
            </w:r>
          </w:p>
          <w:p>
            <w:pPr>
              <w:pStyle w:val="35"/>
              <w:rPr>
                <w:b/>
                <w:bCs/>
              </w:rPr>
            </w:pPr>
            <w:r>
              <w:rPr>
                <w:rFonts w:hint="eastAsia"/>
                <w:b/>
                <w:bCs/>
              </w:rPr>
              <w:t>(</w:t>
            </w:r>
            <w:r>
              <w:rPr>
                <w:b/>
                <w:bCs/>
              </w:rPr>
              <w:t>mg/kg</w:t>
            </w:r>
            <w:r>
              <w:rPr>
                <w:rFonts w:hint="eastAsia"/>
                <w:b/>
                <w:bCs/>
              </w:rPr>
              <w:t>)</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最小值</w:t>
            </w:r>
          </w:p>
          <w:p>
            <w:pPr>
              <w:pStyle w:val="35"/>
              <w:rPr>
                <w:b/>
                <w:bCs/>
              </w:rPr>
            </w:pPr>
            <w:r>
              <w:rPr>
                <w:rFonts w:hint="eastAsia"/>
                <w:b/>
                <w:bCs/>
              </w:rPr>
              <w:t>(</w:t>
            </w:r>
            <w:r>
              <w:rPr>
                <w:b/>
                <w:bCs/>
              </w:rPr>
              <w:t>mg/kg</w:t>
            </w:r>
            <w:r>
              <w:rPr>
                <w:rFonts w:hint="eastAsia"/>
                <w:b/>
                <w:bCs/>
              </w:rPr>
              <w:t>)</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均值</w:t>
            </w:r>
          </w:p>
          <w:p>
            <w:pPr>
              <w:pStyle w:val="35"/>
              <w:rPr>
                <w:b/>
                <w:bCs/>
              </w:rPr>
            </w:pPr>
            <w:r>
              <w:rPr>
                <w:rFonts w:hint="eastAsia"/>
                <w:b/>
                <w:bCs/>
              </w:rPr>
              <w:t>(</w:t>
            </w:r>
            <w:r>
              <w:rPr>
                <w:b/>
                <w:bCs/>
              </w:rPr>
              <w:t>mg/kg</w:t>
            </w:r>
            <w:r>
              <w:rPr>
                <w:rFonts w:hint="eastAsia"/>
                <w:b/>
                <w:bCs/>
              </w:rPr>
              <w:t>)</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标准差</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检出率%</w:t>
            </w:r>
          </w:p>
        </w:tc>
        <w:tc>
          <w:tcPr>
            <w:tcW w:w="555" w:type="pct"/>
            <w:tcBorders>
              <w:left w:val="single" w:color="000000" w:sz="4" w:space="0"/>
              <w:bottom w:val="single" w:color="000000" w:sz="4" w:space="0"/>
              <w:right w:val="single" w:color="000000" w:sz="4" w:space="0"/>
            </w:tcBorders>
            <w:shd w:val="clear" w:color="auto" w:fill="auto"/>
            <w:vAlign w:val="center"/>
          </w:tcPr>
          <w:p>
            <w:pPr>
              <w:pStyle w:val="35"/>
              <w:rPr>
                <w:b/>
                <w:bCs/>
              </w:rPr>
            </w:pPr>
            <w:r>
              <w:rPr>
                <w:rFonts w:hint="eastAsia"/>
                <w:b/>
                <w:bCs/>
              </w:rPr>
              <w:t>超标率%</w:t>
            </w:r>
          </w:p>
        </w:tc>
        <w:tc>
          <w:tcPr>
            <w:tcW w:w="556" w:type="pct"/>
            <w:tcBorders>
              <w:left w:val="single" w:color="000000" w:sz="4" w:space="0"/>
              <w:bottom w:val="single" w:color="000000" w:sz="4" w:space="0"/>
            </w:tcBorders>
            <w:shd w:val="clear" w:color="auto" w:fill="auto"/>
            <w:vAlign w:val="center"/>
          </w:tcPr>
          <w:p>
            <w:pPr>
              <w:pStyle w:val="35"/>
              <w:rPr>
                <w:b/>
                <w:bCs/>
              </w:rPr>
            </w:pPr>
            <w:r>
              <w:rPr>
                <w:rFonts w:hint="eastAsia"/>
                <w:b/>
                <w:bCs/>
              </w:rPr>
              <w:t>最大超标倍数</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砷</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5.93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5.93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5.93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镉</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0.13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铜</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8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8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8.00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铅</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17.5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17.5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17.50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汞</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0.016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0.016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0.016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镍</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14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14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14.00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bottom w:val="single" w:color="000000" w:sz="4" w:space="0"/>
              <w:right w:val="single" w:color="000000" w:sz="4" w:space="0"/>
            </w:tcBorders>
            <w:shd w:val="clear" w:color="auto" w:fill="auto"/>
            <w:noWrap/>
            <w:vAlign w:val="center"/>
          </w:tcPr>
          <w:p>
            <w:pPr>
              <w:pStyle w:val="35"/>
            </w:pPr>
            <w:r>
              <w:rPr>
                <w:rFonts w:hint="eastAsia"/>
              </w:rPr>
              <w:t>锌</w:t>
            </w:r>
          </w:p>
        </w:tc>
        <w:tc>
          <w:tcPr>
            <w:tcW w:w="9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45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45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45.00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bottom w:val="single" w:color="000000" w:sz="4" w:space="0"/>
            </w:tcBorders>
            <w:shd w:val="clear" w:color="auto" w:fill="auto"/>
            <w:noWrap/>
            <w:vAlign w:val="center"/>
          </w:tcPr>
          <w:p>
            <w:pPr>
              <w:pStyle w:val="35"/>
            </w:pPr>
            <w:r>
              <w:t xml:space="preserve">0.00 </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555" w:type="pct"/>
            <w:tcBorders>
              <w:top w:val="single" w:color="000000" w:sz="4" w:space="0"/>
              <w:right w:val="single" w:color="000000" w:sz="4" w:space="0"/>
            </w:tcBorders>
            <w:shd w:val="clear" w:color="auto" w:fill="auto"/>
            <w:noWrap/>
            <w:vAlign w:val="center"/>
          </w:tcPr>
          <w:p>
            <w:pPr>
              <w:pStyle w:val="35"/>
            </w:pPr>
            <w:r>
              <w:rPr>
                <w:rFonts w:hint="eastAsia"/>
              </w:rPr>
              <w:t>铬</w:t>
            </w:r>
          </w:p>
        </w:tc>
        <w:tc>
          <w:tcPr>
            <w:tcW w:w="948" w:type="dxa"/>
            <w:tcBorders>
              <w:top w:val="single" w:color="000000" w:sz="4" w:space="0"/>
              <w:left w:val="single" w:color="000000" w:sz="4" w:space="0"/>
              <w:right w:val="single" w:color="000000" w:sz="4" w:space="0"/>
            </w:tcBorders>
            <w:shd w:val="clear" w:color="auto" w:fill="auto"/>
            <w:noWrap/>
            <w:vAlign w:val="center"/>
          </w:tcPr>
          <w:p>
            <w:pPr>
              <w:pStyle w:val="35"/>
            </w:pPr>
            <w:r>
              <w:t xml:space="preserve">1.00 </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 xml:space="preserve">38 </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 xml:space="preserve">38 </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 xml:space="preserve">38.00 </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 xml:space="preserve">0.00 </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100%</w:t>
            </w:r>
          </w:p>
        </w:tc>
        <w:tc>
          <w:tcPr>
            <w:tcW w:w="949" w:type="dxa"/>
            <w:tcBorders>
              <w:top w:val="single" w:color="000000" w:sz="4" w:space="0"/>
              <w:left w:val="single" w:color="000000" w:sz="4" w:space="0"/>
              <w:right w:val="single" w:color="000000" w:sz="4" w:space="0"/>
            </w:tcBorders>
            <w:shd w:val="clear" w:color="auto" w:fill="auto"/>
            <w:noWrap/>
            <w:vAlign w:val="center"/>
          </w:tcPr>
          <w:p>
            <w:pPr>
              <w:pStyle w:val="35"/>
            </w:pPr>
            <w:r>
              <w:t>0.00%</w:t>
            </w:r>
          </w:p>
        </w:tc>
        <w:tc>
          <w:tcPr>
            <w:tcW w:w="951" w:type="dxa"/>
            <w:tcBorders>
              <w:top w:val="single" w:color="000000" w:sz="4" w:space="0"/>
              <w:left w:val="single" w:color="000000" w:sz="4" w:space="0"/>
            </w:tcBorders>
            <w:shd w:val="clear" w:color="auto" w:fill="auto"/>
            <w:noWrap/>
            <w:vAlign w:val="center"/>
          </w:tcPr>
          <w:p>
            <w:pPr>
              <w:pStyle w:val="35"/>
            </w:pPr>
            <w:r>
              <w:t xml:space="preserve">0.00 </w:t>
            </w:r>
          </w:p>
        </w:tc>
      </w:tr>
    </w:tbl>
    <w:p>
      <w:pPr>
        <w:pStyle w:val="27"/>
        <w:ind w:firstLine="560"/>
      </w:pPr>
      <w:r>
        <w:rPr>
          <w:rFonts w:hint="eastAsia"/>
        </w:rPr>
        <w:t>由表4.3-15可知：</w:t>
      </w:r>
    </w:p>
    <w:p>
      <w:pPr>
        <w:pStyle w:val="27"/>
        <w:ind w:firstLine="560"/>
      </w:pPr>
      <w:r>
        <w:rPr>
          <w:rFonts w:hint="eastAsia"/>
        </w:rPr>
        <w:t>建设用地各监测点位的45个基本因子以及其他项目氰化物（现有污水处理站区域柱状样）、石油烃的检测结果均低于《土壤环境质量 建设用地土壤污染风险管控标准(试行)》(GB36600-2018)表1和表2筛选值。根据《土壤环境质量 建设用地土壤污染风险管控标准(试行)》(GB36600-2018)，土壤中污染物的含量对人体健康的风险可以忽略，不需要再开展详细调查。</w:t>
      </w:r>
    </w:p>
    <w:p>
      <w:pPr>
        <w:pStyle w:val="27"/>
        <w:ind w:firstLine="560"/>
      </w:pPr>
      <w:r>
        <w:rPr>
          <w:rFonts w:hint="eastAsia"/>
        </w:rPr>
        <w:t>农用地监测点位的8个基本项目的检测结果均低于《土壤环境质量 农用地土壤污染风险管控标准（试行）》（GB 15618-2018）表1筛选值</w:t>
      </w:r>
      <w:r>
        <w:t>。</w:t>
      </w:r>
      <w:r>
        <w:rPr>
          <w:rFonts w:hint="eastAsia"/>
        </w:rPr>
        <w:t>根据《土壤环境质量 农用地土壤污染风险管控标准（试行）》（GB 15618-2018），农用地土壤中的污染物含量对农产品质量安全、农作物生长或土壤生态环境的风险低，一般情况下可忽略。</w:t>
      </w:r>
    </w:p>
    <w:p>
      <w:pPr>
        <w:pStyle w:val="27"/>
        <w:ind w:firstLine="560"/>
      </w:pPr>
    </w:p>
    <w:p>
      <w:pPr>
        <w:pStyle w:val="31"/>
      </w:pPr>
      <w:bookmarkStart w:id="103" w:name="_Toc28160008"/>
      <w:bookmarkStart w:id="104" w:name="_Toc67855442"/>
      <w:r>
        <w:rPr>
          <w:rFonts w:hint="eastAsia"/>
        </w:rPr>
        <w:t>4.3.5  包气带环境质量现状调查与评价</w:t>
      </w:r>
      <w:bookmarkEnd w:id="103"/>
      <w:bookmarkEnd w:id="104"/>
    </w:p>
    <w:p>
      <w:pPr>
        <w:pStyle w:val="33"/>
      </w:pPr>
      <w:bookmarkStart w:id="105" w:name="_Toc28160009"/>
      <w:bookmarkStart w:id="106" w:name="_Toc67855443"/>
      <w:r>
        <w:rPr>
          <w:rFonts w:hint="eastAsia"/>
        </w:rPr>
        <w:t>4.3.5.1 包气带土壤检测内容</w:t>
      </w:r>
      <w:bookmarkEnd w:id="105"/>
      <w:bookmarkEnd w:id="106"/>
    </w:p>
    <w:p>
      <w:pPr>
        <w:pStyle w:val="27"/>
        <w:ind w:firstLine="560"/>
      </w:pPr>
      <w:r>
        <w:rPr>
          <w:rFonts w:hint="eastAsia"/>
        </w:rPr>
        <w:t>按照地下水环评导则要求，对于一级改扩建项目，应对可能地下水污染的主要装置或设施附近开展包气带污染现状调查。本次工作于</w:t>
      </w:r>
      <w:r>
        <w:t>2020</w:t>
      </w:r>
      <w:r>
        <w:rPr>
          <w:rFonts w:hint="eastAsia"/>
        </w:rPr>
        <w:t>年</w:t>
      </w:r>
      <w:r>
        <w:t>3</w:t>
      </w:r>
      <w:r>
        <w:rPr>
          <w:rFonts w:hint="eastAsia"/>
        </w:rPr>
        <w:t>月对厂区进行了包气带土壤采样，并委托河南正捷检测技术有限公司对样品进行测试分析。</w:t>
      </w:r>
    </w:p>
    <w:p>
      <w:pPr>
        <w:pStyle w:val="27"/>
        <w:ind w:firstLine="560"/>
      </w:pPr>
      <w:r>
        <w:rPr>
          <w:rFonts w:hint="eastAsia"/>
        </w:rPr>
        <w:t>结合平面布置，本次土壤取样点为老厂区现有MMA装置区（罐区附近），取样深度为0～20cm表层土。包气带监测点的位置</w:t>
      </w:r>
      <w:r>
        <w:t>见</w:t>
      </w:r>
      <w:r>
        <w:rPr>
          <w:rFonts w:hint="eastAsia"/>
        </w:rPr>
        <w:t>图4.4-1，基本情况见表4.3-15。</w:t>
      </w:r>
    </w:p>
    <w:p>
      <w:pPr>
        <w:pStyle w:val="27"/>
        <w:ind w:firstLine="560"/>
      </w:pPr>
      <w:r>
        <w:rPr>
          <w:rFonts w:hint="eastAsia"/>
        </w:rPr>
        <w:t>根据建设项目可能产生的污染物，本次包气带现状监测因子为：pH、氨氮、硝酸盐、亚硝酸盐、挥发性酚类、氰化物、砷、汞、镉、铬（六价）、铜、铅、耗氧量、氟化物、硫化物、甲苯、石油类，共计</w:t>
      </w:r>
      <w:r>
        <w:t>17</w:t>
      </w:r>
      <w:r>
        <w:rPr>
          <w:rFonts w:hint="eastAsia"/>
        </w:rPr>
        <w:t>项。</w:t>
      </w:r>
    </w:p>
    <w:p>
      <w:pPr>
        <w:adjustRightInd w:val="0"/>
        <w:snapToGrid w:val="0"/>
        <w:spacing w:line="240" w:lineRule="atLeast"/>
        <w:jc w:val="center"/>
      </w:pPr>
      <w:r>
        <w:drawing>
          <wp:inline distT="0" distB="0" distL="0" distR="0">
            <wp:extent cx="5141595" cy="3787140"/>
            <wp:effectExtent l="0" t="0" r="1905"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141595" cy="3787140"/>
                    </a:xfrm>
                    <a:prstGeom prst="rect">
                      <a:avLst/>
                    </a:prstGeom>
                    <a:noFill/>
                    <a:ln>
                      <a:noFill/>
                    </a:ln>
                  </pic:spPr>
                </pic:pic>
              </a:graphicData>
            </a:graphic>
          </wp:inline>
        </w:drawing>
      </w:r>
    </w:p>
    <w:p>
      <w:pPr>
        <w:pStyle w:val="58"/>
        <w:spacing w:line="240" w:lineRule="atLeast"/>
      </w:pPr>
      <w:bookmarkStart w:id="107" w:name="_Ref41934987"/>
      <w:r>
        <w:rPr>
          <w:rFonts w:hint="eastAsia"/>
        </w:rPr>
        <w:t>图4.3</w:t>
      </w:r>
      <w:r>
        <w:noBreakHyphen/>
      </w:r>
      <w:bookmarkEnd w:id="107"/>
      <w:r>
        <w:rPr>
          <w:rFonts w:hint="eastAsia"/>
        </w:rPr>
        <w:t>1    包气带土样采集点</w:t>
      </w:r>
      <w:r>
        <w:t>分布图</w:t>
      </w:r>
    </w:p>
    <w:p/>
    <w:p>
      <w:pPr>
        <w:pStyle w:val="2"/>
      </w:pPr>
    </w:p>
    <w:p>
      <w:pPr>
        <w:pStyle w:val="2"/>
      </w:pPr>
    </w:p>
    <w:p>
      <w:pPr>
        <w:pStyle w:val="32"/>
      </w:pPr>
      <w:bookmarkStart w:id="108" w:name="_Ref25946217"/>
      <w:r>
        <w:rPr>
          <w:rFonts w:hint="eastAsia"/>
        </w:rPr>
        <w:t>表</w:t>
      </w:r>
      <w:bookmarkEnd w:id="108"/>
      <w:r>
        <w:rPr>
          <w:rFonts w:hint="eastAsia"/>
        </w:rPr>
        <w:t>4.3-16         包气带现状监测点情况一览表</w:t>
      </w:r>
    </w:p>
    <w:tbl>
      <w:tblPr>
        <w:tblStyle w:val="22"/>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702"/>
        <w:gridCol w:w="1434"/>
        <w:gridCol w:w="1324"/>
        <w:gridCol w:w="1881"/>
        <w:gridCol w:w="113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1" w:type="pct"/>
            <w:vAlign w:val="center"/>
          </w:tcPr>
          <w:p>
            <w:pPr>
              <w:pStyle w:val="35"/>
              <w:rPr>
                <w:b/>
                <w:bCs/>
              </w:rPr>
            </w:pPr>
            <w:r>
              <w:rPr>
                <w:rFonts w:hint="eastAsia"/>
                <w:b/>
                <w:bCs/>
              </w:rPr>
              <w:t>土样名称</w:t>
            </w:r>
          </w:p>
        </w:tc>
        <w:tc>
          <w:tcPr>
            <w:tcW w:w="971" w:type="pct"/>
            <w:vAlign w:val="center"/>
          </w:tcPr>
          <w:p>
            <w:pPr>
              <w:pStyle w:val="35"/>
              <w:rPr>
                <w:b/>
                <w:bCs/>
              </w:rPr>
            </w:pPr>
            <w:r>
              <w:rPr>
                <w:rFonts w:hint="eastAsia"/>
                <w:b/>
                <w:bCs/>
              </w:rPr>
              <w:t>经度</w:t>
            </w:r>
          </w:p>
        </w:tc>
        <w:tc>
          <w:tcPr>
            <w:tcW w:w="818" w:type="pct"/>
            <w:vAlign w:val="center"/>
          </w:tcPr>
          <w:p>
            <w:pPr>
              <w:pStyle w:val="35"/>
              <w:rPr>
                <w:b/>
                <w:bCs/>
              </w:rPr>
            </w:pPr>
            <w:r>
              <w:rPr>
                <w:rFonts w:hint="eastAsia"/>
                <w:b/>
                <w:bCs/>
              </w:rPr>
              <w:t>纬度</w:t>
            </w:r>
          </w:p>
        </w:tc>
        <w:tc>
          <w:tcPr>
            <w:tcW w:w="755" w:type="pct"/>
            <w:vAlign w:val="center"/>
          </w:tcPr>
          <w:p>
            <w:pPr>
              <w:pStyle w:val="35"/>
              <w:rPr>
                <w:b/>
                <w:bCs/>
              </w:rPr>
            </w:pPr>
            <w:r>
              <w:rPr>
                <w:rFonts w:hint="eastAsia"/>
                <w:b/>
                <w:bCs/>
              </w:rPr>
              <w:t>位置</w:t>
            </w:r>
          </w:p>
        </w:tc>
        <w:tc>
          <w:tcPr>
            <w:tcW w:w="1073" w:type="pct"/>
            <w:vAlign w:val="center"/>
          </w:tcPr>
          <w:p>
            <w:pPr>
              <w:pStyle w:val="35"/>
              <w:rPr>
                <w:b/>
                <w:bCs/>
              </w:rPr>
            </w:pPr>
            <w:r>
              <w:rPr>
                <w:rFonts w:hint="eastAsia"/>
                <w:b/>
                <w:bCs/>
              </w:rPr>
              <w:t>监测</w:t>
            </w:r>
            <w:r>
              <w:rPr>
                <w:b/>
                <w:bCs/>
              </w:rPr>
              <w:t>因子</w:t>
            </w:r>
          </w:p>
        </w:tc>
        <w:tc>
          <w:tcPr>
            <w:tcW w:w="650" w:type="pct"/>
            <w:vAlign w:val="center"/>
          </w:tcPr>
          <w:p>
            <w:pPr>
              <w:pStyle w:val="35"/>
              <w:rPr>
                <w:b/>
                <w:bCs/>
              </w:rPr>
            </w:pPr>
            <w:r>
              <w:rPr>
                <w:rFonts w:hint="eastAsia"/>
                <w:b/>
                <w:bCs/>
              </w:rPr>
              <w:t>取样深度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2" w:hRule="atLeast"/>
        </w:trPr>
        <w:tc>
          <w:tcPr>
            <w:tcW w:w="731" w:type="pct"/>
            <w:vAlign w:val="center"/>
          </w:tcPr>
          <w:p>
            <w:pPr>
              <w:pStyle w:val="35"/>
            </w:pPr>
            <w:r>
              <w:rPr>
                <w:rFonts w:hint="eastAsia"/>
              </w:rPr>
              <w:t>B1</w:t>
            </w:r>
          </w:p>
        </w:tc>
        <w:tc>
          <w:tcPr>
            <w:tcW w:w="971" w:type="pct"/>
            <w:vAlign w:val="center"/>
          </w:tcPr>
          <w:p>
            <w:pPr>
              <w:pStyle w:val="35"/>
            </w:pPr>
            <w:r>
              <w:t>114.967556</w:t>
            </w:r>
          </w:p>
        </w:tc>
        <w:tc>
          <w:tcPr>
            <w:tcW w:w="818" w:type="pct"/>
            <w:vAlign w:val="center"/>
          </w:tcPr>
          <w:p>
            <w:pPr>
              <w:pStyle w:val="35"/>
            </w:pPr>
            <w:r>
              <w:t>35.747408</w:t>
            </w:r>
          </w:p>
        </w:tc>
        <w:tc>
          <w:tcPr>
            <w:tcW w:w="755" w:type="pct"/>
            <w:vAlign w:val="center"/>
          </w:tcPr>
          <w:p>
            <w:pPr>
              <w:pStyle w:val="35"/>
            </w:pPr>
            <w:r>
              <w:rPr>
                <w:rFonts w:hint="eastAsia"/>
              </w:rPr>
              <w:t>罐区附近</w:t>
            </w:r>
          </w:p>
        </w:tc>
        <w:tc>
          <w:tcPr>
            <w:tcW w:w="1073" w:type="pct"/>
            <w:vAlign w:val="center"/>
          </w:tcPr>
          <w:p>
            <w:pPr>
              <w:pStyle w:val="35"/>
              <w:jc w:val="both"/>
            </w:pPr>
            <w:r>
              <w:rPr>
                <w:rFonts w:hint="eastAsia"/>
              </w:rPr>
              <w:t>pH、氨氮、硝酸盐、亚硝酸盐、挥发性酚类、氰化物、砷、汞、镉、铬（六价）、铜、铅、耗氧量、氟化物、硫化物、甲苯、石油类</w:t>
            </w:r>
          </w:p>
        </w:tc>
        <w:tc>
          <w:tcPr>
            <w:tcW w:w="650" w:type="pct"/>
            <w:vAlign w:val="center"/>
          </w:tcPr>
          <w:p>
            <w:pPr>
              <w:pStyle w:val="35"/>
            </w:pPr>
            <w:r>
              <w:rPr>
                <w:rFonts w:hint="eastAsia"/>
              </w:rPr>
              <w:t>0～20cm</w:t>
            </w:r>
          </w:p>
        </w:tc>
      </w:tr>
    </w:tbl>
    <w:p>
      <w:pPr>
        <w:pStyle w:val="33"/>
      </w:pPr>
      <w:bookmarkStart w:id="109" w:name="_Toc67855444"/>
      <w:bookmarkStart w:id="110" w:name="_Toc28160010"/>
      <w:r>
        <w:rPr>
          <w:rFonts w:hint="eastAsia"/>
        </w:rPr>
        <w:t>4.3.5.2 监测方法及方法来源</w:t>
      </w:r>
      <w:bookmarkEnd w:id="109"/>
      <w:bookmarkEnd w:id="110"/>
    </w:p>
    <w:p>
      <w:pPr>
        <w:pStyle w:val="27"/>
        <w:ind w:firstLine="560"/>
      </w:pPr>
      <w:r>
        <w:rPr>
          <w:rFonts w:hint="eastAsia"/>
        </w:rPr>
        <w:t>检测方法及方法来源见表4..3-17。</w:t>
      </w:r>
    </w:p>
    <w:p>
      <w:pPr>
        <w:pStyle w:val="32"/>
      </w:pPr>
      <w:r>
        <w:rPr>
          <w:rFonts w:hint="eastAsia"/>
        </w:rPr>
        <w:t>表4.3-17      包气带浸溶试验各因子检测方法及检出限</w:t>
      </w:r>
    </w:p>
    <w:tbl>
      <w:tblPr>
        <w:tblStyle w:val="61"/>
        <w:tblW w:w="5005"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437"/>
        <w:gridCol w:w="3944"/>
        <w:gridCol w:w="2041"/>
        <w:gridCol w:w="11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839"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检测项目</w:t>
            </w:r>
          </w:p>
        </w:tc>
        <w:tc>
          <w:tcPr>
            <w:tcW w:w="2303"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分析方法及标准号</w:t>
            </w:r>
          </w:p>
        </w:tc>
        <w:tc>
          <w:tcPr>
            <w:tcW w:w="1192"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仪器名称/型号/编号</w:t>
            </w:r>
          </w:p>
        </w:tc>
        <w:tc>
          <w:tcPr>
            <w:tcW w:w="664"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检出限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镉</w:t>
            </w:r>
          </w:p>
        </w:tc>
        <w:tc>
          <w:tcPr>
            <w:tcW w:w="2303"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水质65 种元素的测定 电感耦合等离 子体质谱法 HJ 700-2014</w:t>
            </w:r>
          </w:p>
        </w:tc>
        <w:tc>
          <w:tcPr>
            <w:tcW w:w="1192"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电感耦合等离子体质谱 仪/ICAP-RQ/Z1-001</w:t>
            </w: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0.05μg/L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铅</w:t>
            </w:r>
          </w:p>
        </w:tc>
        <w:tc>
          <w:tcPr>
            <w:tcW w:w="2303" w:type="pct"/>
            <w:vMerge w:val="continue"/>
            <w:vAlign w:val="center"/>
          </w:tcPr>
          <w:p>
            <w:pPr>
              <w:pStyle w:val="35"/>
              <w:rPr>
                <w:rFonts w:asciiTheme="minorHAnsi" w:hAnsiTheme="minorHAnsi" w:eastAsiaTheme="minorEastAsia"/>
                <w:lang w:eastAsia="en-US"/>
              </w:rPr>
            </w:pPr>
          </w:p>
        </w:tc>
        <w:tc>
          <w:tcPr>
            <w:tcW w:w="1192" w:type="pct"/>
            <w:vMerge w:val="continue"/>
            <w:vAlign w:val="center"/>
          </w:tcPr>
          <w:p>
            <w:pPr>
              <w:pStyle w:val="35"/>
              <w:rPr>
                <w:rFonts w:asciiTheme="minorHAnsi" w:hAnsiTheme="minorHAnsi" w:eastAsiaTheme="minorEastAsia"/>
                <w:lang w:eastAsia="en-US"/>
              </w:rPr>
            </w:pP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0.09μg/L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砷</w:t>
            </w:r>
          </w:p>
        </w:tc>
        <w:tc>
          <w:tcPr>
            <w:tcW w:w="2303"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汞、砷、硒、铋和锑的测定 原 子荧光法 HJ 694-2014</w:t>
            </w:r>
          </w:p>
        </w:tc>
        <w:tc>
          <w:tcPr>
            <w:tcW w:w="1192"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原子荧光分光光度计</w:t>
            </w:r>
          </w:p>
          <w:p>
            <w:pPr>
              <w:pStyle w:val="35"/>
              <w:rPr>
                <w:rFonts w:asciiTheme="minorHAnsi" w:hAnsiTheme="minorHAnsi" w:eastAsiaTheme="minorEastAsia"/>
                <w:lang w:eastAsia="en-US"/>
              </w:rPr>
            </w:pPr>
            <w:r>
              <w:rPr>
                <w:rFonts w:asciiTheme="minorHAnsi" w:hAnsiTheme="minorHAnsi" w:eastAsiaTheme="minorEastAsia"/>
                <w:lang w:eastAsia="en-US"/>
              </w:rPr>
              <w:t>/AFS-2202E/ Z1-003</w:t>
            </w: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0.3μg/L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汞</w:t>
            </w:r>
          </w:p>
        </w:tc>
        <w:tc>
          <w:tcPr>
            <w:tcW w:w="2303" w:type="pct"/>
            <w:vMerge w:val="continue"/>
            <w:vAlign w:val="center"/>
          </w:tcPr>
          <w:p>
            <w:pPr>
              <w:pStyle w:val="35"/>
              <w:rPr>
                <w:rFonts w:asciiTheme="minorHAnsi" w:hAnsiTheme="minorHAnsi" w:eastAsiaTheme="minorEastAsia"/>
                <w:lang w:eastAsia="en-US"/>
              </w:rPr>
            </w:pPr>
          </w:p>
        </w:tc>
        <w:tc>
          <w:tcPr>
            <w:tcW w:w="1192" w:type="pct"/>
            <w:vMerge w:val="continue"/>
            <w:vAlign w:val="center"/>
          </w:tcPr>
          <w:p>
            <w:pPr>
              <w:pStyle w:val="35"/>
              <w:rPr>
                <w:rFonts w:asciiTheme="minorHAnsi" w:hAnsiTheme="minorHAnsi" w:eastAsiaTheme="minorEastAsia"/>
                <w:lang w:eastAsia="en-US"/>
              </w:rPr>
            </w:pP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0.04μg/L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六价铬</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六价铬的测定 二苯碳酰二肼分 光光度法 GB/T 7467-1987</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0.004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硫酸根</w:t>
            </w:r>
          </w:p>
        </w:tc>
        <w:tc>
          <w:tcPr>
            <w:tcW w:w="2303"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无机阴离子（F</w:t>
            </w:r>
            <w:r>
              <w:rPr>
                <w:rFonts w:asciiTheme="minorHAnsi" w:hAnsiTheme="minorHAnsi" w:eastAsiaTheme="minorEastAsia"/>
                <w:vertAlign w:val="superscript"/>
                <w:lang w:eastAsia="en-US"/>
              </w:rPr>
              <w:t>-</w:t>
            </w:r>
            <w:r>
              <w:rPr>
                <w:rFonts w:asciiTheme="minorHAnsi" w:hAnsiTheme="minorHAnsi" w:eastAsiaTheme="minorEastAsia"/>
                <w:lang w:eastAsia="en-US"/>
              </w:rPr>
              <w:t>、Cl</w:t>
            </w:r>
            <w:r>
              <w:rPr>
                <w:rFonts w:asciiTheme="minorHAnsi" w:hAnsiTheme="minorHAnsi" w:eastAsiaTheme="minorEastAsia"/>
                <w:vertAlign w:val="superscript"/>
                <w:lang w:eastAsia="en-US"/>
              </w:rPr>
              <w:t>-</w:t>
            </w:r>
            <w:r>
              <w:rPr>
                <w:rFonts w:asciiTheme="minorHAnsi" w:hAnsiTheme="minorHAnsi" w:eastAsiaTheme="minorEastAsia"/>
                <w:lang w:eastAsia="en-US"/>
              </w:rPr>
              <w:t>、NO</w:t>
            </w:r>
            <w:r>
              <w:rPr>
                <w:rFonts w:asciiTheme="minorHAnsi" w:hAnsiTheme="minorHAnsi" w:eastAsiaTheme="minorEastAsia"/>
                <w:vertAlign w:val="subscript"/>
                <w:lang w:eastAsia="en-US"/>
              </w:rPr>
              <w:t>2</w:t>
            </w:r>
            <w:r>
              <w:rPr>
                <w:rFonts w:asciiTheme="minorHAnsi" w:hAnsiTheme="minorHAnsi" w:eastAsiaTheme="minorEastAsia"/>
                <w:vertAlign w:val="superscript"/>
                <w:lang w:eastAsia="en-US"/>
              </w:rPr>
              <w:t>-</w:t>
            </w:r>
            <w:r>
              <w:rPr>
                <w:rFonts w:asciiTheme="minorHAnsi" w:hAnsiTheme="minorHAnsi" w:eastAsiaTheme="minorEastAsia"/>
                <w:lang w:eastAsia="en-US"/>
              </w:rPr>
              <w:t>、Br</w:t>
            </w:r>
            <w:r>
              <w:rPr>
                <w:rFonts w:asciiTheme="minorHAnsi" w:hAnsiTheme="minorHAnsi" w:eastAsiaTheme="minorEastAsia"/>
                <w:vertAlign w:val="superscript"/>
                <w:lang w:eastAsia="en-US"/>
              </w:rPr>
              <w:t>-</w:t>
            </w:r>
            <w:r>
              <w:rPr>
                <w:rFonts w:asciiTheme="minorHAnsi" w:hAnsiTheme="minorHAnsi" w:eastAsiaTheme="minorEastAsia"/>
                <w:lang w:eastAsia="en-US"/>
              </w:rPr>
              <w:t>、NO</w:t>
            </w:r>
            <w:r>
              <w:rPr>
                <w:rFonts w:asciiTheme="minorHAnsi" w:hAnsiTheme="minorHAnsi" w:eastAsiaTheme="minorEastAsia"/>
                <w:vertAlign w:val="subscript"/>
                <w:lang w:eastAsia="en-US"/>
              </w:rPr>
              <w:t>3</w:t>
            </w:r>
            <w:r>
              <w:rPr>
                <w:rFonts w:asciiTheme="minorHAnsi" w:hAnsiTheme="minorHAnsi" w:eastAsiaTheme="minorEastAsia"/>
                <w:vertAlign w:val="superscript"/>
                <w:lang w:eastAsia="en-US"/>
              </w:rPr>
              <w:t>-</w:t>
            </w:r>
            <w:r>
              <w:rPr>
                <w:rFonts w:asciiTheme="minorHAnsi" w:hAnsiTheme="minorHAnsi" w:eastAsiaTheme="minorEastAsia"/>
                <w:lang w:eastAsia="en-US"/>
              </w:rPr>
              <w:t>、PO</w:t>
            </w:r>
            <w:r>
              <w:rPr>
                <w:rFonts w:asciiTheme="minorHAnsi" w:hAnsiTheme="minorHAnsi" w:eastAsiaTheme="minorEastAsia"/>
                <w:vertAlign w:val="subscript"/>
                <w:lang w:eastAsia="en-US"/>
              </w:rPr>
              <w:t>4</w:t>
            </w:r>
            <w:r>
              <w:rPr>
                <w:rFonts w:asciiTheme="minorHAnsi" w:hAnsiTheme="minorHAnsi" w:eastAsiaTheme="minorEastAsia"/>
                <w:vertAlign w:val="superscript"/>
                <w:lang w:eastAsia="en-US"/>
              </w:rPr>
              <w:t>3-</w:t>
            </w:r>
            <w:r>
              <w:rPr>
                <w:rFonts w:asciiTheme="minorHAnsi" w:hAnsiTheme="minorHAnsi" w:eastAsiaTheme="minorEastAsia"/>
                <w:lang w:eastAsia="en-US"/>
              </w:rPr>
              <w:t>、SO</w:t>
            </w:r>
            <w:r>
              <w:rPr>
                <w:rFonts w:asciiTheme="minorHAnsi" w:hAnsiTheme="minorHAnsi" w:eastAsiaTheme="minorEastAsia"/>
                <w:vertAlign w:val="subscript"/>
                <w:lang w:eastAsia="en-US"/>
              </w:rPr>
              <w:t>3</w:t>
            </w:r>
            <w:r>
              <w:rPr>
                <w:rFonts w:asciiTheme="minorHAnsi" w:hAnsiTheme="minorHAnsi" w:eastAsiaTheme="minorEastAsia"/>
                <w:vertAlign w:val="superscript"/>
                <w:lang w:eastAsia="en-US"/>
              </w:rPr>
              <w:t>2-</w:t>
            </w:r>
            <w:r>
              <w:rPr>
                <w:rFonts w:asciiTheme="minorHAnsi" w:hAnsiTheme="minorHAnsi" w:eastAsiaTheme="minorEastAsia"/>
                <w:lang w:eastAsia="en-US"/>
              </w:rPr>
              <w:t>、SO</w:t>
            </w:r>
            <w:r>
              <w:rPr>
                <w:rFonts w:asciiTheme="minorHAnsi" w:hAnsiTheme="minorHAnsi" w:eastAsiaTheme="minorEastAsia"/>
                <w:vertAlign w:val="subscript"/>
                <w:lang w:eastAsia="en-US"/>
              </w:rPr>
              <w:t>4</w:t>
            </w:r>
            <w:r>
              <w:rPr>
                <w:rFonts w:asciiTheme="minorHAnsi" w:hAnsiTheme="minorHAnsi" w:eastAsiaTheme="minorEastAsia"/>
                <w:vertAlign w:val="superscript"/>
                <w:lang w:eastAsia="en-US"/>
              </w:rPr>
              <w:t>2-</w:t>
            </w:r>
            <w:r>
              <w:rPr>
                <w:rFonts w:asciiTheme="minorHAnsi" w:hAnsiTheme="minorHAnsi" w:eastAsiaTheme="minorEastAsia"/>
                <w:lang w:eastAsia="en-US"/>
              </w:rPr>
              <w:t>）的测定  离子色谱法 HJ 84-2016</w:t>
            </w:r>
          </w:p>
        </w:tc>
        <w:tc>
          <w:tcPr>
            <w:tcW w:w="1192"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离子色谱仪/ HIC-20ASP/Z1-008</w:t>
            </w: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0.018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硝酸盐（以 N 计）</w:t>
            </w:r>
          </w:p>
        </w:tc>
        <w:tc>
          <w:tcPr>
            <w:tcW w:w="2303" w:type="pct"/>
            <w:vMerge w:val="continue"/>
            <w:vAlign w:val="center"/>
          </w:tcPr>
          <w:p>
            <w:pPr>
              <w:pStyle w:val="35"/>
              <w:rPr>
                <w:rFonts w:asciiTheme="minorHAnsi" w:hAnsiTheme="minorHAnsi" w:eastAsiaTheme="minorEastAsia"/>
                <w:lang w:eastAsia="en-US"/>
              </w:rPr>
            </w:pPr>
          </w:p>
        </w:tc>
        <w:tc>
          <w:tcPr>
            <w:tcW w:w="1192" w:type="pct"/>
            <w:vMerge w:val="continue"/>
            <w:vAlign w:val="center"/>
          </w:tcPr>
          <w:p>
            <w:pPr>
              <w:pStyle w:val="35"/>
              <w:rPr>
                <w:rFonts w:asciiTheme="minorHAnsi" w:hAnsiTheme="minorHAnsi" w:eastAsiaTheme="minorEastAsia"/>
                <w:lang w:eastAsia="en-US"/>
              </w:rPr>
            </w:pP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亚硝酸盐（以 N 计）</w:t>
            </w:r>
          </w:p>
        </w:tc>
        <w:tc>
          <w:tcPr>
            <w:tcW w:w="2303" w:type="pct"/>
            <w:vMerge w:val="continue"/>
            <w:vAlign w:val="center"/>
          </w:tcPr>
          <w:p>
            <w:pPr>
              <w:pStyle w:val="35"/>
              <w:rPr>
                <w:rFonts w:asciiTheme="minorHAnsi" w:hAnsiTheme="minorHAnsi" w:eastAsiaTheme="minorEastAsia"/>
                <w:lang w:eastAsia="en-US"/>
              </w:rPr>
            </w:pPr>
          </w:p>
        </w:tc>
        <w:tc>
          <w:tcPr>
            <w:tcW w:w="1192" w:type="pct"/>
            <w:vMerge w:val="continue"/>
            <w:vAlign w:val="center"/>
          </w:tcPr>
          <w:p>
            <w:pPr>
              <w:pStyle w:val="35"/>
              <w:rPr>
                <w:rFonts w:asciiTheme="minorHAnsi" w:hAnsiTheme="minorHAnsi" w:eastAsiaTheme="minorEastAsia"/>
                <w:lang w:eastAsia="en-US"/>
              </w:rPr>
            </w:pP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氟化物</w:t>
            </w:r>
          </w:p>
        </w:tc>
        <w:tc>
          <w:tcPr>
            <w:tcW w:w="2303" w:type="pct"/>
            <w:vMerge w:val="continue"/>
            <w:vAlign w:val="center"/>
          </w:tcPr>
          <w:p>
            <w:pPr>
              <w:pStyle w:val="35"/>
              <w:rPr>
                <w:rFonts w:asciiTheme="minorHAnsi" w:hAnsiTheme="minorHAnsi" w:eastAsiaTheme="minorEastAsia"/>
                <w:lang w:eastAsia="en-US"/>
              </w:rPr>
            </w:pPr>
          </w:p>
        </w:tc>
        <w:tc>
          <w:tcPr>
            <w:tcW w:w="1192" w:type="pct"/>
            <w:vMerge w:val="continue"/>
            <w:vAlign w:val="center"/>
          </w:tcPr>
          <w:p>
            <w:pPr>
              <w:pStyle w:val="35"/>
              <w:rPr>
                <w:rFonts w:asciiTheme="minorHAnsi" w:hAnsiTheme="minorHAnsi" w:eastAsiaTheme="minorEastAsia"/>
                <w:lang w:eastAsia="en-US"/>
              </w:rPr>
            </w:pP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pH 值</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水质pH 值的测定玻璃电极法</w:t>
            </w:r>
          </w:p>
          <w:p>
            <w:pPr>
              <w:pStyle w:val="35"/>
              <w:rPr>
                <w:rFonts w:asciiTheme="minorHAnsi" w:hAnsiTheme="minorHAnsi" w:eastAsiaTheme="minorEastAsia"/>
                <w:lang w:eastAsia="en-US"/>
              </w:rPr>
            </w:pPr>
            <w:r>
              <w:rPr>
                <w:rFonts w:asciiTheme="minorHAnsi" w:hAnsiTheme="minorHAnsi" w:eastAsiaTheme="minorEastAsia"/>
                <w:lang w:eastAsia="en-US"/>
              </w:rPr>
              <w:t>GB/T 6920-1986</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台式 PH 计/RPB1000 型/Z2-019</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氨氮</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氨氮的测定 纳氏试剂分光光度 法 HJ 535-2009</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0.025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挥发酚</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挥发酚的测定 4-氨基安替比林 分光光度法 HJ 503-2009</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0.0003mg/L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氰化物</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生活饮用水标准检验方法无机非金属 指标（4.1 氰化物异烟酸-吡唑酮分光 光度法）GB/T 5750.5-2006</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6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0.002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高锰酸盐指数</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高锰酸盐指数的测定</w:t>
            </w:r>
          </w:p>
          <w:p>
            <w:pPr>
              <w:pStyle w:val="35"/>
              <w:rPr>
                <w:rFonts w:asciiTheme="minorHAnsi" w:hAnsiTheme="minorHAnsi" w:eastAsiaTheme="minorEastAsia"/>
                <w:lang w:eastAsia="en-US"/>
              </w:rPr>
            </w:pPr>
            <w:r>
              <w:rPr>
                <w:rFonts w:asciiTheme="minorHAnsi" w:hAnsiTheme="minorHAnsi" w:eastAsiaTheme="minorEastAsia"/>
                <w:lang w:eastAsia="en-US"/>
              </w:rPr>
              <w:t>GB/T 11892-1989</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酸式滴定管</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0.5mg/L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甲苯</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挥发性有机物的测定吹扫捕集/ 气相色谱-质谱法 HJ 639-2012</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气相色谱-质谱联用仪/ GCMS-QP2020/Z1-004</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0.3μg/L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石油类</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石油类的测定 紫外分光光度法</w:t>
            </w:r>
          </w:p>
          <w:p>
            <w:pPr>
              <w:pStyle w:val="35"/>
              <w:rPr>
                <w:rFonts w:asciiTheme="minorHAnsi" w:hAnsiTheme="minorHAnsi" w:eastAsiaTheme="minorEastAsia"/>
                <w:lang w:eastAsia="en-US"/>
              </w:rPr>
            </w:pPr>
            <w:r>
              <w:rPr>
                <w:rFonts w:asciiTheme="minorHAnsi" w:hAnsiTheme="minorHAnsi" w:eastAsiaTheme="minorEastAsia"/>
                <w:lang w:eastAsia="en-US"/>
              </w:rPr>
              <w:t>（试行）HJ 970-2018</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新世纪/Z2-014</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0.01mg/L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839"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硫化物</w:t>
            </w:r>
          </w:p>
        </w:tc>
        <w:tc>
          <w:tcPr>
            <w:tcW w:w="2303"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硫化物的测定 亚甲基蓝分光光 度法 GB/T 16489-1996</w:t>
            </w:r>
          </w:p>
        </w:tc>
        <w:tc>
          <w:tcPr>
            <w:tcW w:w="119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64" w:type="pct"/>
            <w:vAlign w:val="center"/>
          </w:tcPr>
          <w:p>
            <w:pPr>
              <w:pStyle w:val="35"/>
              <w:rPr>
                <w:rFonts w:asciiTheme="minorHAnsi" w:hAnsiTheme="minorHAnsi" w:eastAsiaTheme="minorEastAsia"/>
                <w:lang w:eastAsia="en-US"/>
              </w:rPr>
            </w:pPr>
          </w:p>
          <w:p>
            <w:pPr>
              <w:pStyle w:val="35"/>
              <w:rPr>
                <w:rFonts w:asciiTheme="minorHAnsi" w:hAnsiTheme="minorHAnsi" w:eastAsiaTheme="minorEastAsia"/>
                <w:lang w:eastAsia="en-US"/>
              </w:rPr>
            </w:pPr>
            <w:r>
              <w:rPr>
                <w:rFonts w:asciiTheme="minorHAnsi" w:hAnsiTheme="minorHAnsi" w:eastAsiaTheme="minorEastAsia"/>
                <w:lang w:eastAsia="en-US"/>
              </w:rPr>
              <w:t>0.005 mg/L</w:t>
            </w:r>
          </w:p>
        </w:tc>
      </w:tr>
    </w:tbl>
    <w:p>
      <w:pPr>
        <w:pStyle w:val="33"/>
      </w:pPr>
      <w:bookmarkStart w:id="111" w:name="_Toc28160011"/>
      <w:bookmarkStart w:id="112" w:name="_Toc67855445"/>
      <w:r>
        <w:rPr>
          <w:rFonts w:hint="eastAsia"/>
        </w:rPr>
        <w:t>4.3.5.3 监测结果统计</w:t>
      </w:r>
      <w:bookmarkEnd w:id="111"/>
      <w:bookmarkEnd w:id="112"/>
    </w:p>
    <w:p>
      <w:pPr>
        <w:pStyle w:val="27"/>
        <w:ind w:firstLine="560"/>
      </w:pPr>
      <w:r>
        <w:rPr>
          <w:rFonts w:hint="eastAsia"/>
        </w:rPr>
        <w:t>本次</w:t>
      </w:r>
      <w:r>
        <w:t>土壤样品分析结果见</w:t>
      </w:r>
      <w:r>
        <w:rPr>
          <w:rFonts w:hint="eastAsia"/>
        </w:rPr>
        <w:t>表4.3-18。</w:t>
      </w:r>
    </w:p>
    <w:p>
      <w:pPr>
        <w:pStyle w:val="32"/>
      </w:pPr>
      <w:r>
        <w:rPr>
          <w:rFonts w:hint="eastAsia"/>
        </w:rPr>
        <w:t>表4.3-18             包气带样品监测结果表</w:t>
      </w:r>
    </w:p>
    <w:tbl>
      <w:tblPr>
        <w:tblStyle w:val="6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31"/>
        <w:gridCol w:w="43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7" w:hRule="atLeast"/>
          <w:tblHeader/>
        </w:trPr>
        <w:tc>
          <w:tcPr>
            <w:tcW w:w="2474" w:type="pct"/>
            <w:vMerge w:val="restar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检测因子</w:t>
            </w:r>
          </w:p>
        </w:tc>
        <w:tc>
          <w:tcPr>
            <w:tcW w:w="2526"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样品位置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trPr>
        <w:tc>
          <w:tcPr>
            <w:tcW w:w="2474" w:type="pct"/>
            <w:vMerge w:val="continue"/>
            <w:vAlign w:val="center"/>
          </w:tcPr>
          <w:p>
            <w:pPr>
              <w:pStyle w:val="35"/>
              <w:rPr>
                <w:rFonts w:asciiTheme="minorHAnsi" w:hAnsiTheme="minorHAnsi" w:eastAsiaTheme="minorEastAsia"/>
                <w:b/>
                <w:bCs/>
                <w:lang w:eastAsia="en-US"/>
              </w:rPr>
            </w:pPr>
          </w:p>
        </w:tc>
        <w:tc>
          <w:tcPr>
            <w:tcW w:w="2526"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B1（罐区附近）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pH 值</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7.72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氨氮（mg/L）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硝酸盐（以 N 计）（mg/L）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0.236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亚硝酸盐（以 N 计）（mg/L）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挥发酚（mg/L）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氰化物（mg/L）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砷（μg/L）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汞（μg/L）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镉（μg/L）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六价铬（mg/L）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铜（μg/L）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0.33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铅（μg/L）</w:t>
            </w:r>
          </w:p>
        </w:tc>
        <w:tc>
          <w:tcPr>
            <w:tcW w:w="252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tcPr>
          <w:p>
            <w:pPr>
              <w:pStyle w:val="35"/>
              <w:rPr>
                <w:rFonts w:asciiTheme="minorHAnsi" w:hAnsiTheme="minorHAnsi" w:eastAsiaTheme="minorEastAsia"/>
                <w:lang w:eastAsia="en-US"/>
              </w:rPr>
            </w:pPr>
            <w:r>
              <w:rPr>
                <w:rFonts w:asciiTheme="minorHAnsi" w:hAnsiTheme="minorHAnsi" w:eastAsiaTheme="minorEastAsia"/>
                <w:lang w:eastAsia="en-US"/>
              </w:rPr>
              <w:t>高锰酸盐指数（mg/L）</w:t>
            </w:r>
          </w:p>
        </w:tc>
        <w:tc>
          <w:tcPr>
            <w:tcW w:w="2526" w:type="pct"/>
          </w:tcPr>
          <w:p>
            <w:pPr>
              <w:pStyle w:val="35"/>
              <w:rPr>
                <w:rFonts w:asciiTheme="minorHAnsi" w:hAnsiTheme="minorHAnsi" w:eastAsiaTheme="minorEastAsia"/>
                <w:lang w:eastAsia="en-US"/>
              </w:rPr>
            </w:pPr>
            <w:r>
              <w:rPr>
                <w:rFonts w:asciiTheme="minorHAnsi" w:hAnsiTheme="minorHAnsi" w:eastAsiaTheme="minorEastAsia"/>
                <w:lang w:eastAsia="en-US"/>
              </w:rP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tcPr>
          <w:p>
            <w:pPr>
              <w:pStyle w:val="35"/>
              <w:rPr>
                <w:rFonts w:asciiTheme="minorHAnsi" w:hAnsiTheme="minorHAnsi" w:eastAsiaTheme="minorEastAsia"/>
                <w:lang w:eastAsia="en-US"/>
              </w:rPr>
            </w:pPr>
            <w:r>
              <w:rPr>
                <w:rFonts w:asciiTheme="minorHAnsi" w:hAnsiTheme="minorHAnsi" w:eastAsiaTheme="minorEastAsia"/>
                <w:lang w:eastAsia="en-US"/>
              </w:rPr>
              <w:t>氟化物（mg/L）</w:t>
            </w:r>
          </w:p>
        </w:tc>
        <w:tc>
          <w:tcPr>
            <w:tcW w:w="2526" w:type="pct"/>
          </w:tcPr>
          <w:p>
            <w:pPr>
              <w:pStyle w:val="35"/>
              <w:rPr>
                <w:rFonts w:asciiTheme="minorHAnsi" w:hAnsiTheme="minorHAnsi" w:eastAsiaTheme="minorEastAsia"/>
                <w:lang w:eastAsia="en-US"/>
              </w:rPr>
            </w:pPr>
            <w:r>
              <w:rPr>
                <w:rFonts w:asciiTheme="minorHAnsi" w:hAnsiTheme="minorHAnsi" w:eastAsiaTheme="minorEastAsia"/>
                <w:lang w:eastAsia="en-US"/>
              </w:rPr>
              <w:t>0.123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tcPr>
          <w:p>
            <w:pPr>
              <w:pStyle w:val="35"/>
              <w:rPr>
                <w:rFonts w:asciiTheme="minorHAnsi" w:hAnsiTheme="minorHAnsi" w:eastAsiaTheme="minorEastAsia"/>
                <w:lang w:eastAsia="en-US"/>
              </w:rPr>
            </w:pPr>
            <w:r>
              <w:rPr>
                <w:rFonts w:asciiTheme="minorHAnsi" w:hAnsiTheme="minorHAnsi" w:eastAsiaTheme="minorEastAsia"/>
                <w:lang w:eastAsia="en-US"/>
              </w:rPr>
              <w:t>硫化物（mg/L）</w:t>
            </w:r>
          </w:p>
        </w:tc>
        <w:tc>
          <w:tcPr>
            <w:tcW w:w="2526" w:type="pct"/>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tcPr>
          <w:p>
            <w:pPr>
              <w:pStyle w:val="35"/>
              <w:rPr>
                <w:rFonts w:asciiTheme="minorHAnsi" w:hAnsiTheme="minorHAnsi" w:eastAsiaTheme="minorEastAsia"/>
                <w:lang w:eastAsia="en-US"/>
              </w:rPr>
            </w:pPr>
            <w:r>
              <w:rPr>
                <w:rFonts w:asciiTheme="minorHAnsi" w:hAnsiTheme="minorHAnsi" w:eastAsiaTheme="minorEastAsia"/>
                <w:lang w:eastAsia="en-US"/>
              </w:rPr>
              <w:t>甲苯（μg/L）</w:t>
            </w:r>
          </w:p>
        </w:tc>
        <w:tc>
          <w:tcPr>
            <w:tcW w:w="2526" w:type="pct"/>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474" w:type="pct"/>
          </w:tcPr>
          <w:p>
            <w:pPr>
              <w:pStyle w:val="35"/>
              <w:rPr>
                <w:rFonts w:asciiTheme="minorHAnsi" w:hAnsiTheme="minorHAnsi" w:eastAsiaTheme="minorEastAsia"/>
                <w:lang w:eastAsia="en-US"/>
              </w:rPr>
            </w:pPr>
            <w:r>
              <w:rPr>
                <w:rFonts w:asciiTheme="minorHAnsi" w:hAnsiTheme="minorHAnsi" w:eastAsiaTheme="minorEastAsia"/>
                <w:lang w:eastAsia="en-US"/>
              </w:rPr>
              <w:t>石油类（mg/L）</w:t>
            </w:r>
          </w:p>
        </w:tc>
        <w:tc>
          <w:tcPr>
            <w:tcW w:w="2526" w:type="pct"/>
          </w:tcPr>
          <w:p>
            <w:pPr>
              <w:pStyle w:val="35"/>
              <w:rPr>
                <w:rFonts w:asciiTheme="minorHAnsi" w:hAnsiTheme="minorHAnsi" w:eastAsiaTheme="minorEastAsia"/>
                <w:lang w:eastAsia="en-US"/>
              </w:rPr>
            </w:pPr>
            <w:r>
              <w:rPr>
                <w:rFonts w:asciiTheme="minorHAnsi" w:hAnsiTheme="minorHAnsi" w:eastAsiaTheme="minorEastAsia"/>
                <w:lang w:eastAsia="en-US"/>
              </w:rPr>
              <w:t>未检出</w:t>
            </w:r>
          </w:p>
        </w:tc>
      </w:tr>
    </w:tbl>
    <w:p>
      <w:pPr>
        <w:pStyle w:val="33"/>
      </w:pPr>
      <w:bookmarkStart w:id="113" w:name="_Toc28160012"/>
      <w:bookmarkStart w:id="114" w:name="_Toc67855446"/>
      <w:r>
        <w:rPr>
          <w:rFonts w:hint="eastAsia"/>
        </w:rPr>
        <w:t>4.3.5.4 包气带环境质量现状评价</w:t>
      </w:r>
      <w:bookmarkEnd w:id="113"/>
      <w:bookmarkEnd w:id="114"/>
    </w:p>
    <w:p>
      <w:pPr>
        <w:pStyle w:val="27"/>
        <w:ind w:firstLine="560"/>
      </w:pPr>
      <w:r>
        <w:rPr>
          <w:rFonts w:hint="eastAsia"/>
        </w:rPr>
        <w:t>（1）评价标准</w:t>
      </w:r>
    </w:p>
    <w:p>
      <w:pPr>
        <w:pStyle w:val="27"/>
        <w:ind w:firstLine="560"/>
      </w:pPr>
      <w:r>
        <w:rPr>
          <w:rFonts w:hint="eastAsia"/>
        </w:rPr>
        <w:t>因包气带浸溶液无评价标准，本次包气带浸溶液各因子评价参照《地下水环境质量标准》（GB/T</w:t>
      </w:r>
      <w:r>
        <w:t xml:space="preserve"> </w:t>
      </w:r>
      <w:r>
        <w:rPr>
          <w:rFonts w:hint="eastAsia"/>
        </w:rPr>
        <w:t>14848-2017）Ⅲ类标准进行评价，铜、石油类参照《生活饮用水卫生标准》（GB/T</w:t>
      </w:r>
      <w:r>
        <w:t xml:space="preserve"> 5749</w:t>
      </w:r>
      <w:r>
        <w:rPr>
          <w:rFonts w:hint="eastAsia"/>
        </w:rPr>
        <w:t>-20</w:t>
      </w:r>
      <w:r>
        <w:t>06</w:t>
      </w:r>
      <w:r>
        <w:rPr>
          <w:rFonts w:hint="eastAsia"/>
        </w:rPr>
        <w:t>）进行评价。</w:t>
      </w:r>
    </w:p>
    <w:p>
      <w:pPr>
        <w:pStyle w:val="27"/>
        <w:ind w:firstLine="560"/>
      </w:pPr>
      <w:r>
        <w:rPr>
          <w:rFonts w:hint="eastAsia"/>
        </w:rPr>
        <w:t>各因子标准值见表4.3-20。</w:t>
      </w:r>
    </w:p>
    <w:p>
      <w:pPr>
        <w:pStyle w:val="32"/>
        <w:tabs>
          <w:tab w:val="left" w:pos="4540"/>
        </w:tabs>
      </w:pPr>
      <w:r>
        <w:rPr>
          <w:rFonts w:hint="eastAsia"/>
        </w:rPr>
        <w:t>表4.3-20              包气带浸溶液评价标准</w:t>
      </w:r>
    </w:p>
    <w:tbl>
      <w:tblPr>
        <w:tblStyle w:val="21"/>
        <w:tblW w:w="4998" w:type="pct"/>
        <w:tblInd w:w="0" w:type="dxa"/>
        <w:tblBorders>
          <w:top w:val="single" w:color="auto" w:sz="8" w:space="0"/>
          <w:left w:val="none" w:color="auto" w:sz="0" w:space="0"/>
          <w:bottom w:val="single" w:color="auto" w:sz="8"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84"/>
        <w:gridCol w:w="2758"/>
        <w:gridCol w:w="1527"/>
        <w:gridCol w:w="3178"/>
      </w:tblGrid>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blHeader/>
        </w:trPr>
        <w:tc>
          <w:tcPr>
            <w:tcW w:w="634" w:type="pct"/>
            <w:tcBorders>
              <w:bottom w:val="single" w:color="000000" w:sz="4" w:space="0"/>
              <w:right w:val="single" w:color="000000" w:sz="4" w:space="0"/>
            </w:tcBorders>
            <w:vAlign w:val="center"/>
          </w:tcPr>
          <w:p>
            <w:pPr>
              <w:pStyle w:val="35"/>
              <w:rPr>
                <w:b/>
                <w:bCs/>
              </w:rPr>
            </w:pPr>
            <w:r>
              <w:rPr>
                <w:rFonts w:hint="eastAsia"/>
                <w:b/>
                <w:bCs/>
              </w:rPr>
              <w:t>序号</w:t>
            </w:r>
          </w:p>
        </w:tc>
        <w:tc>
          <w:tcPr>
            <w:tcW w:w="1613"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评价因子</w:t>
            </w:r>
          </w:p>
        </w:tc>
        <w:tc>
          <w:tcPr>
            <w:tcW w:w="893"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单位</w:t>
            </w:r>
          </w:p>
        </w:tc>
        <w:tc>
          <w:tcPr>
            <w:tcW w:w="1858" w:type="pct"/>
            <w:tcBorders>
              <w:left w:val="single" w:color="000000" w:sz="4" w:space="0"/>
              <w:bottom w:val="single" w:color="000000" w:sz="4" w:space="0"/>
            </w:tcBorders>
            <w:vAlign w:val="center"/>
          </w:tcPr>
          <w:p>
            <w:pPr>
              <w:pStyle w:val="35"/>
              <w:rPr>
                <w:b/>
                <w:bCs/>
              </w:rPr>
            </w:pPr>
            <w:r>
              <w:rPr>
                <w:rFonts w:hint="eastAsia"/>
                <w:b/>
                <w:bCs/>
              </w:rPr>
              <w:t>参照标准值</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1</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pH 值</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w:t>
            </w:r>
          </w:p>
        </w:tc>
        <w:tc>
          <w:tcPr>
            <w:tcW w:w="1858" w:type="pct"/>
            <w:tcBorders>
              <w:top w:val="single" w:color="000000" w:sz="4" w:space="0"/>
              <w:left w:val="single" w:color="000000" w:sz="4" w:space="0"/>
              <w:bottom w:val="single" w:color="000000" w:sz="4" w:space="0"/>
            </w:tcBorders>
            <w:vAlign w:val="center"/>
          </w:tcPr>
          <w:p>
            <w:pPr>
              <w:pStyle w:val="35"/>
            </w:pPr>
            <w:r>
              <w:t>6.5≤pH≤8.5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2</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氨氮</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3</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硝酸盐（以 N 计）</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≤20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4</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亚硝酸盐（以 N 计）</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≤1.00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5</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挥发酚</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≤0.002</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6</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氰化物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7</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砷</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t>8</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汞</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9</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镉</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0</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六价铬</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1</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铜</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2</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铅</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3</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高锰酸盐指数</w:t>
            </w:r>
            <w:r>
              <w:rPr>
                <w:rFonts w:hint="eastAsia"/>
              </w:rPr>
              <w:t>（C</w:t>
            </w:r>
            <w:r>
              <w:t>OD</w:t>
            </w:r>
            <w:r>
              <w:rPr>
                <w:vertAlign w:val="subscript"/>
              </w:rPr>
              <w:t>M</w:t>
            </w:r>
            <w:r>
              <w:rPr>
                <w:rFonts w:hint="eastAsia"/>
                <w:vertAlign w:val="subscript"/>
              </w:rPr>
              <w:t>n</w:t>
            </w:r>
            <w:r>
              <w:rPr>
                <w:rFonts w:hint="eastAsia"/>
              </w:rPr>
              <w:t>）</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≤3</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4</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氟化物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5</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硫化物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≤0.02</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1</w:t>
            </w:r>
            <w:r>
              <w:t>6</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甲苯</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μg/L</w:t>
            </w:r>
          </w:p>
        </w:tc>
        <w:tc>
          <w:tcPr>
            <w:tcW w:w="1858" w:type="pct"/>
            <w:tcBorders>
              <w:top w:val="single" w:color="000000" w:sz="4" w:space="0"/>
              <w:left w:val="single" w:color="000000" w:sz="4" w:space="0"/>
              <w:bottom w:val="single" w:color="000000" w:sz="4" w:space="0"/>
            </w:tcBorders>
            <w:vAlign w:val="center"/>
          </w:tcPr>
          <w:p>
            <w:pPr>
              <w:pStyle w:val="35"/>
            </w:pPr>
            <w:r>
              <w:t>≤700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634" w:type="pct"/>
            <w:tcBorders>
              <w:top w:val="single" w:color="000000" w:sz="4" w:space="0"/>
              <w:right w:val="single" w:color="000000" w:sz="4" w:space="0"/>
            </w:tcBorders>
            <w:vAlign w:val="center"/>
          </w:tcPr>
          <w:p>
            <w:pPr>
              <w:pStyle w:val="35"/>
            </w:pPr>
            <w:r>
              <w:rPr>
                <w:rFonts w:hint="eastAsia"/>
              </w:rPr>
              <w:t>1</w:t>
            </w:r>
            <w:r>
              <w:t>7</w:t>
            </w:r>
          </w:p>
        </w:tc>
        <w:tc>
          <w:tcPr>
            <w:tcW w:w="1613" w:type="pct"/>
            <w:tcBorders>
              <w:top w:val="single" w:color="000000" w:sz="4" w:space="0"/>
              <w:left w:val="single" w:color="000000" w:sz="4" w:space="0"/>
              <w:right w:val="single" w:color="000000" w:sz="4" w:space="0"/>
            </w:tcBorders>
            <w:vAlign w:val="center"/>
          </w:tcPr>
          <w:p>
            <w:pPr>
              <w:pStyle w:val="35"/>
            </w:pPr>
            <w:r>
              <w:t>石油类</w:t>
            </w:r>
          </w:p>
        </w:tc>
        <w:tc>
          <w:tcPr>
            <w:tcW w:w="893" w:type="pct"/>
            <w:tcBorders>
              <w:top w:val="single" w:color="000000" w:sz="4" w:space="0"/>
              <w:left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tcBorders>
            <w:vAlign w:val="center"/>
          </w:tcPr>
          <w:p>
            <w:pPr>
              <w:pStyle w:val="35"/>
            </w:pPr>
            <w:r>
              <w:t>≤0.3</w:t>
            </w:r>
          </w:p>
        </w:tc>
      </w:tr>
    </w:tbl>
    <w:p>
      <w:pPr>
        <w:pStyle w:val="27"/>
        <w:ind w:firstLine="560"/>
      </w:pPr>
      <w:r>
        <w:rPr>
          <w:rFonts w:hint="eastAsia"/>
        </w:rPr>
        <w:t>（2）评价方法</w:t>
      </w:r>
    </w:p>
    <w:p>
      <w:pPr>
        <w:pStyle w:val="27"/>
        <w:ind w:firstLine="560"/>
      </w:pPr>
      <w:r>
        <w:rPr>
          <w:rFonts w:hint="eastAsia"/>
        </w:rPr>
        <w:t>采用单因子</w:t>
      </w:r>
      <w:r>
        <w:t>标准指数法</w:t>
      </w:r>
      <w:r>
        <w:rPr>
          <w:rFonts w:hint="eastAsia"/>
        </w:rPr>
        <w:t>对各评价因子进行评价。标准指数公式如下：</w:t>
      </w:r>
    </w:p>
    <w:p>
      <w:pPr>
        <w:pStyle w:val="27"/>
        <w:ind w:firstLine="560"/>
      </w:pPr>
      <m:oMathPara>
        <m:oMath>
          <m:sSub>
            <m:sSubPr>
              <m:ctrlPr>
                <w:rPr>
                  <w:rFonts w:ascii="Cambria Math" w:hAnsi="Cambria Math"/>
                </w:rPr>
              </m:ctrlPr>
            </m:sSubPr>
            <m:e>
              <m:r>
                <m:rPr>
                  <m:sty m:val="p"/>
                </m:rPr>
                <w:rPr>
                  <w:rFonts w:ascii="Cambria Math" w:hAnsi="Cambria Math"/>
                </w:rPr>
                <m:t>P</m:t>
              </m:r>
              <m:ctrlPr>
                <w:rPr>
                  <w:rFonts w:ascii="Cambria Math" w:hAnsi="Cambria Math"/>
                </w:rPr>
              </m:ctrlPr>
            </m:e>
            <m:sub>
              <m:r>
                <m:rPr>
                  <m:sty m:val="p"/>
                </m:rPr>
                <w:rPr>
                  <w:rFonts w:ascii="Cambria Math" w:hAnsi="Cambria Math"/>
                </w:rPr>
                <m:t>i</m:t>
              </m:r>
              <m:ctrlPr>
                <w:rPr>
                  <w:rFonts w:ascii="Cambria Math" w:hAnsi="Cambria Math"/>
                </w:rPr>
              </m:ctrlP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C</m:t>
                  </m:r>
                  <m:ctrlPr>
                    <w:rPr>
                      <w:rFonts w:ascii="Cambria Math" w:hAnsi="Cambria Math"/>
                    </w:rPr>
                  </m:ctrlPr>
                </m:e>
                <m:sub>
                  <m:r>
                    <m:rPr>
                      <m:sty m:val="p"/>
                    </m:rPr>
                    <w:rPr>
                      <w:rFonts w:ascii="Cambria Math" w:hAnsi="Cambria Math"/>
                    </w:rPr>
                    <m:t>i</m:t>
                  </m:r>
                  <m:ctrlPr>
                    <w:rPr>
                      <w:rFonts w:ascii="Cambria Math" w:hAnsi="Cambria Math"/>
                    </w:rPr>
                  </m:ctrlPr>
                </m:sub>
              </m:sSub>
              <m:ctrlPr>
                <w:rPr>
                  <w:rFonts w:ascii="Cambria Math" w:hAnsi="Cambria Math"/>
                </w:rPr>
              </m:ctrlPr>
            </m:num>
            <m:den>
              <m:sSub>
                <m:sSubPr>
                  <m:ctrlPr>
                    <w:rPr>
                      <w:rFonts w:ascii="Cambria Math" w:hAnsi="Cambria Math"/>
                    </w:rPr>
                  </m:ctrlPr>
                </m:sSubPr>
                <m:e>
                  <m:r>
                    <m:rPr>
                      <m:sty m:val="p"/>
                    </m:rPr>
                    <w:rPr>
                      <w:rFonts w:ascii="Cambria Math" w:hAnsi="Cambria Math"/>
                    </w:rPr>
                    <m:t>C</m:t>
                  </m:r>
                  <m:ctrlPr>
                    <w:rPr>
                      <w:rFonts w:ascii="Cambria Math" w:hAnsi="Cambria Math"/>
                    </w:rPr>
                  </m:ctrlPr>
                </m:e>
                <m:sub>
                  <m:r>
                    <m:rPr>
                      <m:sty m:val="p"/>
                    </m:rPr>
                    <w:rPr>
                      <w:rFonts w:ascii="Cambria Math" w:hAnsi="Cambria Math"/>
                    </w:rPr>
                    <m:t>si</m:t>
                  </m:r>
                  <m:ctrlPr>
                    <w:rPr>
                      <w:rFonts w:ascii="Cambria Math" w:hAnsi="Cambria Math"/>
                    </w:rPr>
                  </m:ctrlPr>
                </m:sub>
              </m:sSub>
              <m:ctrlPr>
                <w:rPr>
                  <w:rFonts w:ascii="Cambria Math" w:hAnsi="Cambria Math"/>
                </w:rPr>
              </m:ctrlPr>
            </m:den>
          </m:f>
        </m:oMath>
      </m:oMathPara>
    </w:p>
    <w:p>
      <w:pPr>
        <w:pStyle w:val="27"/>
        <w:ind w:firstLine="560"/>
      </w:pPr>
      <w:r>
        <w:t>式中：P</w:t>
      </w:r>
      <w:r>
        <w:rPr>
          <w:vertAlign w:val="subscript"/>
        </w:rPr>
        <w:t>i</w:t>
      </w:r>
      <w:r>
        <w:rPr>
          <w:rFonts w:hint="eastAsia"/>
        </w:rPr>
        <w:t xml:space="preserve"> </w:t>
      </w:r>
      <w:r>
        <w:t>—第i</w:t>
      </w:r>
      <w:r>
        <w:rPr>
          <w:rFonts w:hint="eastAsia"/>
        </w:rPr>
        <w:t>种污染物</w:t>
      </w:r>
      <w:r>
        <w:t>的标准指数</w:t>
      </w:r>
      <w:r>
        <w:rPr>
          <w:rFonts w:hint="eastAsia"/>
        </w:rPr>
        <w:t>，</w:t>
      </w:r>
      <w:r>
        <w:t>无量纲；</w:t>
      </w:r>
    </w:p>
    <w:p>
      <w:pPr>
        <w:pStyle w:val="27"/>
        <w:ind w:firstLine="1400" w:firstLineChars="500"/>
      </w:pPr>
      <w:r>
        <w:t>C</w:t>
      </w:r>
      <w:r>
        <w:rPr>
          <w:vertAlign w:val="subscript"/>
        </w:rPr>
        <w:t>i</w:t>
      </w:r>
      <w:r>
        <w:t xml:space="preserve"> —第i</w:t>
      </w:r>
      <w:r>
        <w:rPr>
          <w:rFonts w:hint="eastAsia"/>
        </w:rPr>
        <w:t>种污染物</w:t>
      </w:r>
      <w:r>
        <w:t>的</w:t>
      </w:r>
      <w:r>
        <w:rPr>
          <w:rFonts w:hint="eastAsia"/>
        </w:rPr>
        <w:t>监测</w:t>
      </w:r>
      <w:r>
        <w:t>浓度值（mg/L）；</w:t>
      </w:r>
    </w:p>
    <w:p>
      <w:pPr>
        <w:pStyle w:val="27"/>
        <w:ind w:firstLine="1400" w:firstLineChars="500"/>
      </w:pPr>
      <w:r>
        <w:t>C</w:t>
      </w:r>
      <w:r>
        <w:rPr>
          <w:vertAlign w:val="subscript"/>
        </w:rPr>
        <w:t>si</w:t>
      </w:r>
      <w:r>
        <w:t xml:space="preserve"> —第i</w:t>
      </w:r>
      <w:r>
        <w:rPr>
          <w:rFonts w:hint="eastAsia"/>
        </w:rPr>
        <w:t>种污染物</w:t>
      </w:r>
      <w:r>
        <w:t>的</w:t>
      </w:r>
      <w:r>
        <w:rPr>
          <w:rFonts w:hint="eastAsia"/>
        </w:rPr>
        <w:t>标准</w:t>
      </w:r>
      <w:r>
        <w:t>浓度值（mg/L）。</w:t>
      </w:r>
    </w:p>
    <w:p>
      <w:pPr>
        <w:pStyle w:val="27"/>
        <w:ind w:firstLine="560"/>
      </w:pPr>
      <w:r>
        <w:t>pH标准指数计算公式为：</w:t>
      </w:r>
    </w:p>
    <w:p>
      <w:pPr>
        <w:pStyle w:val="27"/>
        <w:spacing w:line="480" w:lineRule="auto"/>
        <w:ind w:firstLine="1120" w:firstLineChars="400"/>
        <w:jc w:val="right"/>
      </w:pPr>
      <m:oMath>
        <m:sSub>
          <m:sSubPr>
            <m:ctrlPr>
              <w:rPr>
                <w:rFonts w:ascii="Cambria Math" w:hAnsi="Cambria Math"/>
              </w:rPr>
            </m:ctrlPr>
          </m:sSubPr>
          <m:e>
            <m:r>
              <m:rPr>
                <m:sty m:val="p"/>
              </m:rPr>
              <w:rPr>
                <w:rFonts w:ascii="Cambria Math" w:hAnsi="Cambria Math"/>
              </w:rPr>
              <m:t>P</m:t>
            </m:r>
            <m:ctrlPr>
              <w:rPr>
                <w:rFonts w:ascii="Cambria Math" w:hAnsi="Cambria Math"/>
              </w:rPr>
            </m:ctrlPr>
          </m:e>
          <m:sub>
            <m:r>
              <m:rPr>
                <m:sty m:val="p"/>
              </m:rPr>
              <w:rPr>
                <w:rFonts w:ascii="Cambria Math" w:hAnsi="Cambria Math"/>
              </w:rPr>
              <m:t>pH</m:t>
            </m:r>
            <m:ctrlPr>
              <w:rPr>
                <w:rFonts w:ascii="Cambria Math" w:hAnsi="Cambria Math"/>
              </w:rPr>
            </m:ctrlPr>
          </m:sub>
        </m:sSub>
        <m:r>
          <m:rPr>
            <m:sty m:val="p"/>
          </m:rPr>
          <w:rPr>
            <w:rFonts w:ascii="Cambria Math" w:hAnsi="Cambria Math"/>
          </w:rPr>
          <m:t>=</m:t>
        </m:r>
        <m:f>
          <m:fPr>
            <m:ctrlPr>
              <w:rPr>
                <w:rFonts w:ascii="Cambria Math" w:hAnsi="Cambria Math"/>
              </w:rPr>
            </m:ctrlPr>
          </m:fPr>
          <m:num>
            <m:r>
              <m:rPr>
                <m:sty m:val="p"/>
              </m:rPr>
              <w:rPr>
                <w:rFonts w:ascii="Cambria Math" w:hAnsi="Cambria Math"/>
              </w:rPr>
              <m:t>7.0−pH</m:t>
            </m:r>
            <m:ctrlPr>
              <w:rPr>
                <w:rFonts w:ascii="Cambria Math" w:hAnsi="Cambria Math"/>
              </w:rPr>
            </m:ctrlPr>
          </m:num>
          <m:den>
            <m:r>
              <m:rPr>
                <m:sty m:val="p"/>
              </m:rPr>
              <w:rPr>
                <w:rFonts w:ascii="Cambria Math" w:hAnsi="Cambria Math"/>
              </w:rPr>
              <m:t>7.0−</m:t>
            </m:r>
            <m:sSub>
              <m:sSubPr>
                <m:ctrlPr>
                  <w:rPr>
                    <w:rFonts w:ascii="Cambria Math" w:hAnsi="Cambria Math"/>
                  </w:rPr>
                </m:ctrlPr>
              </m:sSubPr>
              <m:e>
                <m:r>
                  <m:rPr>
                    <m:sty m:val="p"/>
                  </m:rPr>
                  <w:rPr>
                    <w:rFonts w:ascii="Cambria Math" w:hAnsi="Cambria Math"/>
                  </w:rPr>
                  <m:t>pH</m:t>
                </m:r>
                <m:ctrlPr>
                  <w:rPr>
                    <w:rFonts w:ascii="Cambria Math" w:hAnsi="Cambria Math"/>
                  </w:rPr>
                </m:ctrlPr>
              </m:e>
              <m:sub>
                <m:r>
                  <m:rPr>
                    <m:sty m:val="p"/>
                  </m:rPr>
                  <w:rPr>
                    <w:rFonts w:ascii="Cambria Math" w:hAnsi="Cambria Math"/>
                  </w:rPr>
                  <m:t>sd</m:t>
                </m:r>
                <m:ctrlPr>
                  <w:rPr>
                    <w:rFonts w:ascii="Cambria Math" w:hAnsi="Cambria Math"/>
                  </w:rPr>
                </m:ctrlPr>
              </m:sub>
            </m:sSub>
            <m:ctrlPr>
              <w:rPr>
                <w:rFonts w:ascii="Cambria Math" w:hAnsi="Cambria Math"/>
              </w:rPr>
            </m:ctrlPr>
          </m:den>
        </m:f>
      </m:oMath>
      <w:r>
        <w:t xml:space="preserve">        </w:t>
      </w:r>
      <w:r>
        <w:rPr>
          <w:rFonts w:hint="eastAsia"/>
        </w:rPr>
        <w:t xml:space="preserve">  </w:t>
      </w:r>
      <w:r>
        <w:t xml:space="preserve">  </w:t>
      </w:r>
      <w:r>
        <w:rPr>
          <w:rFonts w:hint="eastAsia"/>
        </w:rPr>
        <w:t xml:space="preserve"> </w:t>
      </w:r>
      <w:r>
        <w:t xml:space="preserve">    PH≤7.0</w:t>
      </w:r>
      <w:r>
        <w:rPr>
          <w:rFonts w:hint="eastAsia"/>
        </w:rPr>
        <w:t>时</w:t>
      </w:r>
    </w:p>
    <w:p>
      <w:pPr>
        <w:pStyle w:val="27"/>
        <w:wordWrap w:val="0"/>
        <w:spacing w:line="480" w:lineRule="auto"/>
        <w:ind w:firstLine="1120" w:firstLineChars="400"/>
        <w:jc w:val="right"/>
      </w:pPr>
      <m:oMath>
        <m:sSub>
          <m:sSubPr>
            <m:ctrlPr>
              <w:rPr>
                <w:rFonts w:ascii="Cambria Math" w:hAnsi="Cambria Math"/>
              </w:rPr>
            </m:ctrlPr>
          </m:sSubPr>
          <m:e>
            <m:r>
              <m:rPr>
                <m:sty m:val="p"/>
              </m:rPr>
              <w:rPr>
                <w:rFonts w:ascii="Cambria Math" w:hAnsi="Cambria Math"/>
              </w:rPr>
              <m:t>P</m:t>
            </m:r>
            <m:ctrlPr>
              <w:rPr>
                <w:rFonts w:ascii="Cambria Math" w:hAnsi="Cambria Math"/>
              </w:rPr>
            </m:ctrlPr>
          </m:e>
          <m:sub>
            <m:r>
              <m:rPr>
                <m:sty m:val="p"/>
              </m:rPr>
              <w:rPr>
                <w:rFonts w:ascii="Cambria Math" w:hAnsi="Cambria Math"/>
              </w:rPr>
              <m:t>pH</m:t>
            </m:r>
            <m:ctrlPr>
              <w:rPr>
                <w:rFonts w:ascii="Cambria Math" w:hAnsi="Cambria Math"/>
              </w:rPr>
            </m:ctrlPr>
          </m:sub>
        </m:sSub>
        <m:r>
          <m:rPr>
            <m:sty m:val="p"/>
          </m:rPr>
          <w:rPr>
            <w:rFonts w:ascii="Cambria Math" w:hAnsi="Cambria Math"/>
          </w:rPr>
          <m:t>=</m:t>
        </m:r>
        <m:f>
          <m:fPr>
            <m:ctrlPr>
              <w:rPr>
                <w:rFonts w:ascii="Cambria Math" w:hAnsi="Cambria Math"/>
              </w:rPr>
            </m:ctrlPr>
          </m:fPr>
          <m:num>
            <m:r>
              <m:rPr>
                <m:sty m:val="p"/>
              </m:rPr>
              <w:rPr>
                <w:rFonts w:ascii="Cambria Math" w:hAnsi="Cambria Math"/>
              </w:rPr>
              <m:t>pH−7.0</m:t>
            </m:r>
            <m:ctrlPr>
              <w:rPr>
                <w:rFonts w:ascii="Cambria Math" w:hAnsi="Cambria Math"/>
              </w:rPr>
            </m:ctrlPr>
          </m:num>
          <m:den>
            <m:sSub>
              <m:sSubPr>
                <m:ctrlPr>
                  <w:rPr>
                    <w:rFonts w:ascii="Cambria Math" w:hAnsi="Cambria Math"/>
                  </w:rPr>
                </m:ctrlPr>
              </m:sSubPr>
              <m:e>
                <m:r>
                  <m:rPr>
                    <m:sty m:val="p"/>
                  </m:rPr>
                  <w:rPr>
                    <w:rFonts w:ascii="Cambria Math" w:hAnsi="Cambria Math"/>
                  </w:rPr>
                  <m:t>pH</m:t>
                </m:r>
                <m:ctrlPr>
                  <w:rPr>
                    <w:rFonts w:ascii="Cambria Math" w:hAnsi="Cambria Math"/>
                  </w:rPr>
                </m:ctrlPr>
              </m:e>
              <m:sub>
                <m:r>
                  <m:rPr>
                    <m:sty m:val="p"/>
                  </m:rPr>
                  <w:rPr>
                    <w:rFonts w:ascii="Cambria Math" w:hAnsi="Cambria Math"/>
                  </w:rPr>
                  <m:t>su</m:t>
                </m:r>
                <m:ctrlPr>
                  <w:rPr>
                    <w:rFonts w:ascii="Cambria Math" w:hAnsi="Cambria Math"/>
                  </w:rPr>
                </m:ctrlPr>
              </m:sub>
            </m:sSub>
            <m:r>
              <m:rPr>
                <m:sty m:val="p"/>
              </m:rPr>
              <w:rPr>
                <w:rFonts w:ascii="Cambria Math" w:hAnsi="Cambria Math"/>
              </w:rPr>
              <m:t>−7.0</m:t>
            </m:r>
            <m:ctrlPr>
              <w:rPr>
                <w:rFonts w:ascii="Cambria Math" w:hAnsi="Cambria Math"/>
              </w:rPr>
            </m:ctrlPr>
          </m:den>
        </m:f>
      </m:oMath>
      <w:r>
        <w:t xml:space="preserve">               PH﹥7.0</w:t>
      </w:r>
      <w:r>
        <w:rPr>
          <w:rFonts w:hint="eastAsia"/>
        </w:rPr>
        <w:t xml:space="preserve">时 </w:t>
      </w:r>
    </w:p>
    <w:p>
      <w:pPr>
        <w:pStyle w:val="27"/>
        <w:ind w:firstLine="560"/>
      </w:pPr>
      <w:r>
        <w:t>式中：</w:t>
      </w:r>
      <w:r>
        <w:rPr>
          <w:rFonts w:hint="eastAsia"/>
        </w:rPr>
        <w:t>P</w:t>
      </w:r>
      <w:r>
        <w:rPr>
          <w:vertAlign w:val="subscript"/>
        </w:rPr>
        <w:t>pH</w:t>
      </w:r>
      <w:r>
        <w:t xml:space="preserve"> —</w:t>
      </w:r>
      <w:r>
        <w:rPr>
          <w:rFonts w:hint="eastAsia"/>
        </w:rPr>
        <w:t>p</w:t>
      </w:r>
      <w:r>
        <w:t>H</w:t>
      </w:r>
      <w:r>
        <w:rPr>
          <w:rFonts w:hint="eastAsia"/>
        </w:rPr>
        <w:t>的</w:t>
      </w:r>
      <w:r>
        <w:t>标准指数</w:t>
      </w:r>
      <w:r>
        <w:rPr>
          <w:rFonts w:hint="eastAsia"/>
        </w:rPr>
        <w:t>，</w:t>
      </w:r>
      <w:r>
        <w:t>无量纲；</w:t>
      </w:r>
    </w:p>
    <w:p>
      <w:pPr>
        <w:pStyle w:val="27"/>
        <w:ind w:firstLine="1400" w:firstLineChars="500"/>
      </w:pPr>
      <w:r>
        <w:rPr>
          <w:rFonts w:hint="eastAsia"/>
        </w:rPr>
        <w:t>p</w:t>
      </w:r>
      <w:r>
        <w:t>H —</w:t>
      </w:r>
      <w:r>
        <w:rPr>
          <w:rFonts w:hint="eastAsia"/>
        </w:rPr>
        <w:t>p</w:t>
      </w:r>
      <w:r>
        <w:t>H</w:t>
      </w:r>
      <w:r>
        <w:rPr>
          <w:rFonts w:hint="eastAsia"/>
        </w:rPr>
        <w:t>的检测值；</w:t>
      </w:r>
    </w:p>
    <w:p>
      <w:pPr>
        <w:pStyle w:val="27"/>
        <w:ind w:firstLine="1400" w:firstLineChars="500"/>
      </w:pPr>
      <w:r>
        <w:t>pH</w:t>
      </w:r>
      <w:r>
        <w:rPr>
          <w:vertAlign w:val="subscript"/>
        </w:rPr>
        <w:t>sd</w:t>
      </w:r>
      <w:r>
        <w:t xml:space="preserve"> —标准</w:t>
      </w:r>
      <w:r>
        <w:rPr>
          <w:rFonts w:hint="eastAsia"/>
        </w:rPr>
        <w:t>中</w:t>
      </w:r>
      <w:r>
        <w:t>pH的下限值</w:t>
      </w:r>
      <w:r>
        <w:rPr>
          <w:rFonts w:hint="eastAsia"/>
        </w:rPr>
        <w:t>；</w:t>
      </w:r>
    </w:p>
    <w:p>
      <w:pPr>
        <w:pStyle w:val="27"/>
        <w:ind w:firstLine="1400" w:firstLineChars="500"/>
      </w:pPr>
      <w:r>
        <w:t>pH</w:t>
      </w:r>
      <w:r>
        <w:rPr>
          <w:vertAlign w:val="subscript"/>
        </w:rPr>
        <w:t>su</w:t>
      </w:r>
      <w:r>
        <w:t xml:space="preserve"> —标准</w:t>
      </w:r>
      <w:r>
        <w:rPr>
          <w:rFonts w:hint="eastAsia"/>
        </w:rPr>
        <w:t>中</w:t>
      </w:r>
      <w:r>
        <w:t>pH的上限值。</w:t>
      </w:r>
    </w:p>
    <w:p>
      <w:pPr>
        <w:pStyle w:val="27"/>
        <w:ind w:firstLine="560"/>
      </w:pPr>
      <w:r>
        <w:rPr>
          <w:rFonts w:hint="eastAsia"/>
        </w:rPr>
        <w:t>标准指数大于1时，表明浸溶液中该因子超过了规定的水质标准，包气带浸溶液存在污染地下水的风险。</w:t>
      </w:r>
    </w:p>
    <w:p>
      <w:pPr>
        <w:pStyle w:val="27"/>
        <w:ind w:firstLine="560"/>
      </w:pPr>
      <w:r>
        <w:rPr>
          <w:rFonts w:hint="eastAsia"/>
        </w:rPr>
        <w:t>（3）评价结果</w:t>
      </w:r>
    </w:p>
    <w:p>
      <w:pPr>
        <w:pStyle w:val="27"/>
        <w:ind w:firstLine="560"/>
      </w:pPr>
      <w:r>
        <w:rPr>
          <w:rFonts w:hint="eastAsia"/>
        </w:rPr>
        <w:t>根据表4.3-21可知，建设项目场地内，包气带浸溶液中pH、高锰酸盐指数、硝酸盐、铜、氟化物有检出，但其标准指数均小于1，其他因子均为未检出，表明现有厂区包气带环境质量现状情况较好。</w:t>
      </w:r>
    </w:p>
    <w:p>
      <w:pPr>
        <w:pStyle w:val="32"/>
        <w:tabs>
          <w:tab w:val="left" w:pos="4540"/>
        </w:tabs>
      </w:pPr>
      <w:r>
        <w:rPr>
          <w:rFonts w:hint="eastAsia"/>
        </w:rPr>
        <w:t>表4.3-21            包气带现状评价结果统计表</w:t>
      </w:r>
    </w:p>
    <w:tbl>
      <w:tblPr>
        <w:tblStyle w:val="6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792"/>
        <w:gridCol w:w="475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Merge w:val="restar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检测因子</w:t>
            </w:r>
          </w:p>
        </w:tc>
        <w:tc>
          <w:tcPr>
            <w:tcW w:w="2781"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样品位置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Merge w:val="continue"/>
            <w:vAlign w:val="center"/>
          </w:tcPr>
          <w:p>
            <w:pPr>
              <w:pStyle w:val="35"/>
              <w:rPr>
                <w:rFonts w:asciiTheme="minorHAnsi" w:hAnsiTheme="minorHAnsi" w:eastAsiaTheme="minorEastAsia"/>
                <w:b/>
                <w:bCs/>
                <w:lang w:eastAsia="en-US"/>
              </w:rPr>
            </w:pPr>
          </w:p>
        </w:tc>
        <w:tc>
          <w:tcPr>
            <w:tcW w:w="2781"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B1（罐区附近）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pH 值</w:t>
            </w:r>
          </w:p>
        </w:tc>
        <w:tc>
          <w:tcPr>
            <w:tcW w:w="2781" w:type="pct"/>
            <w:vAlign w:val="center"/>
          </w:tcPr>
          <w:p>
            <w:pPr>
              <w:pStyle w:val="35"/>
              <w:rPr>
                <w:rFonts w:asciiTheme="minorHAnsi" w:hAnsiTheme="minorHAnsi" w:eastAsiaTheme="minorEastAsia"/>
                <w:lang w:eastAsia="en-US"/>
              </w:rPr>
            </w:pPr>
            <w:r>
              <w:rPr>
                <w:rFonts w:hint="eastAsia" w:asciiTheme="minorHAnsi" w:hAnsiTheme="minorHAnsi" w:eastAsiaTheme="minorEastAsia"/>
                <w:lang w:eastAsia="en-US"/>
              </w:rPr>
              <w:t>0</w:t>
            </w:r>
            <w:r>
              <w:rPr>
                <w:rFonts w:asciiTheme="minorHAnsi" w:hAnsiTheme="minorHAnsi" w:eastAsiaTheme="minorEastAsia"/>
                <w:lang w:eastAsia="en-US"/>
              </w:rPr>
              <w:t>.48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氨氮</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硝酸盐（以 N 计）</w:t>
            </w:r>
          </w:p>
        </w:tc>
        <w:tc>
          <w:tcPr>
            <w:tcW w:w="2781" w:type="pct"/>
            <w:vAlign w:val="center"/>
          </w:tcPr>
          <w:p>
            <w:pPr>
              <w:pStyle w:val="35"/>
              <w:rPr>
                <w:rFonts w:asciiTheme="minorHAnsi" w:hAnsiTheme="minorHAnsi" w:eastAsiaTheme="minorEastAsia"/>
                <w:lang w:eastAsia="en-US"/>
              </w:rPr>
            </w:pPr>
            <w:r>
              <w:rPr>
                <w:rFonts w:hint="eastAsia" w:asciiTheme="minorHAnsi" w:hAnsiTheme="minorHAnsi" w:eastAsiaTheme="minorEastAsia"/>
                <w:lang w:eastAsia="en-US"/>
              </w:rPr>
              <w:t>0</w:t>
            </w:r>
            <w:r>
              <w:rPr>
                <w:rFonts w:asciiTheme="minorHAnsi" w:hAnsiTheme="minorHAnsi" w:eastAsiaTheme="minorEastAsia"/>
                <w:lang w:eastAsia="en-US"/>
              </w:rPr>
              <w:t>.01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亚硝酸盐（以 N 计）</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挥发酚</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氰化物</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砷</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汞</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镉</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六价铬</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铜</w:t>
            </w:r>
          </w:p>
        </w:tc>
        <w:tc>
          <w:tcPr>
            <w:tcW w:w="2781" w:type="pct"/>
            <w:vAlign w:val="center"/>
          </w:tcPr>
          <w:p>
            <w:pPr>
              <w:pStyle w:val="35"/>
              <w:rPr>
                <w:rFonts w:asciiTheme="minorHAnsi" w:hAnsiTheme="minorHAnsi" w:eastAsiaTheme="minorEastAsia"/>
                <w:lang w:eastAsia="en-US"/>
              </w:rPr>
            </w:pPr>
            <w:r>
              <w:rPr>
                <w:rFonts w:hint="eastAsia" w:asciiTheme="minorHAnsi" w:hAnsiTheme="minorHAnsi" w:eastAsiaTheme="minorEastAsia"/>
                <w:lang w:eastAsia="en-US"/>
              </w:rPr>
              <w:t>0</w:t>
            </w:r>
            <w:r>
              <w:rPr>
                <w:rFonts w:asciiTheme="minorHAnsi" w:hAnsiTheme="minorHAnsi" w:eastAsiaTheme="minorEastAsia"/>
                <w:lang w:eastAsia="en-US"/>
              </w:rPr>
              <w:t>.33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铅</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tcPr>
          <w:p>
            <w:pPr>
              <w:pStyle w:val="35"/>
              <w:rPr>
                <w:rFonts w:asciiTheme="minorHAnsi" w:hAnsiTheme="minorHAnsi" w:eastAsiaTheme="minorEastAsia"/>
                <w:lang w:eastAsia="en-US"/>
              </w:rPr>
            </w:pPr>
            <w:r>
              <w:rPr>
                <w:rFonts w:asciiTheme="minorHAnsi" w:hAnsiTheme="minorHAnsi" w:eastAsiaTheme="minorEastAsia"/>
                <w:lang w:eastAsia="en-US"/>
              </w:rPr>
              <w:t>高锰酸盐指数（COD</w:t>
            </w:r>
            <w:r>
              <w:rPr>
                <w:rFonts w:asciiTheme="minorHAnsi" w:hAnsiTheme="minorHAnsi" w:eastAsiaTheme="minorEastAsia"/>
                <w:vertAlign w:val="subscript"/>
                <w:lang w:eastAsia="en-US"/>
              </w:rPr>
              <w:t>Mn</w:t>
            </w:r>
            <w:r>
              <w:rPr>
                <w:rFonts w:asciiTheme="minorHAnsi" w:hAnsiTheme="minorHAnsi" w:eastAsiaTheme="minorEastAsia"/>
                <w:lang w:eastAsia="en-US"/>
              </w:rPr>
              <w:t>）</w:t>
            </w:r>
          </w:p>
        </w:tc>
        <w:tc>
          <w:tcPr>
            <w:tcW w:w="2781" w:type="pct"/>
            <w:vAlign w:val="center"/>
          </w:tcPr>
          <w:p>
            <w:pPr>
              <w:pStyle w:val="35"/>
              <w:rPr>
                <w:rFonts w:asciiTheme="minorHAnsi" w:hAnsiTheme="minorHAnsi" w:eastAsiaTheme="minorEastAsia"/>
                <w:lang w:eastAsia="en-US"/>
              </w:rPr>
            </w:pPr>
            <w:r>
              <w:rPr>
                <w:rFonts w:hint="eastAsia" w:asciiTheme="minorHAnsi" w:hAnsiTheme="minorHAnsi" w:eastAsiaTheme="minorEastAsia"/>
                <w:lang w:eastAsia="en-US"/>
              </w:rPr>
              <w:t>0</w:t>
            </w:r>
            <w:r>
              <w:rPr>
                <w:rFonts w:asciiTheme="minorHAnsi" w:hAnsiTheme="minorHAnsi" w:eastAsiaTheme="minorEastAsia"/>
                <w:lang w:eastAsia="en-US"/>
              </w:rPr>
              <w:t>.53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tcPr>
          <w:p>
            <w:pPr>
              <w:pStyle w:val="35"/>
              <w:rPr>
                <w:rFonts w:asciiTheme="minorHAnsi" w:hAnsiTheme="minorHAnsi" w:eastAsiaTheme="minorEastAsia"/>
                <w:lang w:eastAsia="en-US"/>
              </w:rPr>
            </w:pPr>
            <w:r>
              <w:rPr>
                <w:rFonts w:asciiTheme="minorHAnsi" w:hAnsiTheme="minorHAnsi" w:eastAsiaTheme="minorEastAsia"/>
                <w:lang w:eastAsia="en-US"/>
              </w:rPr>
              <w:t>氟化物</w:t>
            </w:r>
          </w:p>
        </w:tc>
        <w:tc>
          <w:tcPr>
            <w:tcW w:w="2781" w:type="pct"/>
            <w:vAlign w:val="center"/>
          </w:tcPr>
          <w:p>
            <w:pPr>
              <w:pStyle w:val="35"/>
              <w:rPr>
                <w:rFonts w:asciiTheme="minorHAnsi" w:hAnsiTheme="minorHAnsi" w:eastAsiaTheme="minorEastAsia"/>
                <w:lang w:eastAsia="en-US"/>
              </w:rPr>
            </w:pPr>
            <w:r>
              <w:rPr>
                <w:rFonts w:hint="eastAsia" w:asciiTheme="minorHAnsi" w:hAnsiTheme="minorHAnsi" w:eastAsiaTheme="minorEastAsia"/>
                <w:lang w:eastAsia="en-US"/>
              </w:rPr>
              <w:t>0</w:t>
            </w:r>
            <w:r>
              <w:rPr>
                <w:rFonts w:asciiTheme="minorHAnsi" w:hAnsiTheme="minorHAnsi" w:eastAsiaTheme="minorEastAsia"/>
                <w:lang w:eastAsia="en-US"/>
              </w:rPr>
              <w:t>.123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tcPr>
          <w:p>
            <w:pPr>
              <w:pStyle w:val="35"/>
              <w:rPr>
                <w:rFonts w:asciiTheme="minorHAnsi" w:hAnsiTheme="minorHAnsi" w:eastAsiaTheme="minorEastAsia"/>
                <w:lang w:eastAsia="en-US"/>
              </w:rPr>
            </w:pPr>
            <w:r>
              <w:rPr>
                <w:rFonts w:asciiTheme="minorHAnsi" w:hAnsiTheme="minorHAnsi" w:eastAsiaTheme="minorEastAsia"/>
                <w:lang w:eastAsia="en-US"/>
              </w:rPr>
              <w:t>硫化物</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tcPr>
          <w:p>
            <w:pPr>
              <w:pStyle w:val="35"/>
              <w:rPr>
                <w:rFonts w:asciiTheme="minorHAnsi" w:hAnsiTheme="minorHAnsi" w:eastAsiaTheme="minorEastAsia"/>
                <w:lang w:eastAsia="en-US"/>
              </w:rPr>
            </w:pPr>
            <w:r>
              <w:rPr>
                <w:rFonts w:asciiTheme="minorHAnsi" w:hAnsiTheme="minorHAnsi" w:eastAsiaTheme="minorEastAsia"/>
                <w:lang w:eastAsia="en-US"/>
              </w:rPr>
              <w:t>甲苯</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18" w:type="pct"/>
          </w:tcPr>
          <w:p>
            <w:pPr>
              <w:pStyle w:val="35"/>
              <w:rPr>
                <w:rFonts w:asciiTheme="minorHAnsi" w:hAnsiTheme="minorHAnsi" w:eastAsiaTheme="minorEastAsia"/>
                <w:lang w:eastAsia="en-US"/>
              </w:rPr>
            </w:pPr>
            <w:r>
              <w:rPr>
                <w:rFonts w:asciiTheme="minorHAnsi" w:hAnsiTheme="minorHAnsi" w:eastAsiaTheme="minorEastAsia"/>
                <w:lang w:eastAsia="en-US"/>
              </w:rPr>
              <w:t>石油类</w:t>
            </w:r>
          </w:p>
        </w:tc>
        <w:tc>
          <w:tcPr>
            <w:tcW w:w="2781"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bl>
    <w:p>
      <w:pPr>
        <w:pStyle w:val="59"/>
        <w:ind w:firstLine="420" w:firstLineChars="200"/>
      </w:pPr>
      <w:r>
        <w:rPr>
          <w:rFonts w:hint="eastAsia"/>
        </w:rPr>
        <w:t>注：-</w:t>
      </w:r>
      <w:r>
        <w:t>-</w:t>
      </w:r>
      <w:r>
        <w:rPr>
          <w:rFonts w:hint="eastAsia"/>
        </w:rPr>
        <w:t>为未检出</w:t>
      </w:r>
    </w:p>
    <w:p>
      <w:pPr>
        <w:pStyle w:val="5"/>
        <w:adjustRightInd w:val="0"/>
        <w:snapToGrid w:val="0"/>
        <w:spacing w:before="0" w:after="0" w:line="520" w:lineRule="exact"/>
        <w:rPr>
          <w:rFonts w:eastAsia="楷体_GB2312"/>
          <w:sz w:val="28"/>
          <w:szCs w:val="22"/>
        </w:rPr>
      </w:pPr>
      <w:r>
        <w:rPr>
          <w:rFonts w:eastAsia="楷体_GB2312"/>
          <w:sz w:val="28"/>
          <w:szCs w:val="22"/>
        </w:rPr>
        <w:t>4.</w:t>
      </w:r>
      <w:r>
        <w:rPr>
          <w:rFonts w:hint="eastAsia" w:eastAsia="楷体_GB2312"/>
          <w:sz w:val="28"/>
          <w:szCs w:val="22"/>
        </w:rPr>
        <w:t>3.6</w:t>
      </w:r>
      <w:r>
        <w:rPr>
          <w:rFonts w:eastAsia="楷体_GB2312"/>
          <w:sz w:val="28"/>
          <w:szCs w:val="22"/>
        </w:rPr>
        <w:t xml:space="preserve"> 地下水环境质量现状监测与评价</w:t>
      </w:r>
    </w:p>
    <w:p>
      <w:pPr>
        <w:pStyle w:val="27"/>
        <w:ind w:firstLine="560"/>
      </w:pPr>
      <w:r>
        <w:rPr>
          <w:rFonts w:hint="eastAsia"/>
        </w:rPr>
        <w:t>按照《环境影响评价技术导则 地下水环境》（</w:t>
      </w:r>
      <w:r>
        <w:t>HJ 610-2016</w:t>
      </w:r>
      <w:r>
        <w:rPr>
          <w:rFonts w:hint="eastAsia"/>
        </w:rPr>
        <w:t>），该项目属于Ⅰ类建设项目一级评价，建设项目场地位于平原区，水质监测频率为一期。本次监测评价以</w:t>
      </w:r>
      <w:r>
        <w:t>2020</w:t>
      </w:r>
      <w:r>
        <w:rPr>
          <w:rFonts w:hint="eastAsia"/>
        </w:rPr>
        <w:t>年</w:t>
      </w:r>
      <w:r>
        <w:t>3</w:t>
      </w:r>
      <w:r>
        <w:rPr>
          <w:rFonts w:hint="eastAsia"/>
        </w:rPr>
        <w:t>月对调查评价区的监测结果为基础，进行地下水环境质量现状评价。</w:t>
      </w:r>
    </w:p>
    <w:p>
      <w:pPr>
        <w:pStyle w:val="33"/>
      </w:pPr>
      <w:r>
        <w:rPr>
          <w:rFonts w:eastAsia="楷体_GB2312"/>
        </w:rPr>
        <w:t>4.</w:t>
      </w:r>
      <w:r>
        <w:rPr>
          <w:rFonts w:hint="eastAsia" w:eastAsia="楷体_GB2312"/>
        </w:rPr>
        <w:t>3.6.1</w:t>
      </w:r>
      <w:r>
        <w:rPr>
          <w:rFonts w:eastAsia="楷体_GB2312"/>
        </w:rPr>
        <w:t xml:space="preserve"> </w:t>
      </w:r>
      <w:r>
        <w:t>现状监测</w:t>
      </w:r>
    </w:p>
    <w:p>
      <w:pPr>
        <w:pStyle w:val="27"/>
        <w:ind w:firstLine="560"/>
      </w:pPr>
      <w:r>
        <w:rPr>
          <w:rFonts w:hint="eastAsia"/>
        </w:rPr>
        <w:t>（1）</w:t>
      </w:r>
      <w:r>
        <w:t>监测布点</w:t>
      </w:r>
    </w:p>
    <w:p>
      <w:pPr>
        <w:pStyle w:val="27"/>
        <w:ind w:firstLine="560"/>
      </w:pPr>
      <w:r>
        <w:rPr>
          <w:rFonts w:hint="eastAsia"/>
        </w:rPr>
        <w:t>调查评价区内地下水径流方向为西向东。依据评价区水文地质条件、场地周边水井分布和《环境影响评价技术导则 地下水环境》（</w:t>
      </w:r>
      <w:r>
        <w:t>HJ 610-2016</w:t>
      </w:r>
      <w:r>
        <w:rPr>
          <w:rFonts w:hint="eastAsia"/>
        </w:rPr>
        <w:t>）有关地下水环境现状监测的要求，选取</w:t>
      </w:r>
      <w:r>
        <w:t>7</w:t>
      </w:r>
      <w:r>
        <w:rPr>
          <w:rFonts w:hint="eastAsia"/>
        </w:rPr>
        <w:t>个地下水水质监测点，分别位于拟建项目上游、两侧及地下水径流方向下游。监测点位见图4.3</w:t>
      </w:r>
      <w:r>
        <w:noBreakHyphen/>
      </w:r>
      <w:r>
        <w:t>1</w:t>
      </w:r>
      <w:r>
        <w:rPr>
          <w:rFonts w:hint="eastAsia"/>
        </w:rPr>
        <w:t>和表4.3</w:t>
      </w:r>
      <w:r>
        <w:noBreakHyphen/>
      </w:r>
      <w:r>
        <w:rPr>
          <w:rFonts w:hint="eastAsia"/>
        </w:rPr>
        <w:t>22。</w:t>
      </w:r>
    </w:p>
    <w:p>
      <w:pPr>
        <w:jc w:val="center"/>
      </w:pPr>
      <w:r>
        <w:drawing>
          <wp:inline distT="0" distB="0" distL="0" distR="0">
            <wp:extent cx="4153535" cy="2938780"/>
            <wp:effectExtent l="0" t="0" r="18415" b="1397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153535" cy="2938780"/>
                    </a:xfrm>
                    <a:prstGeom prst="rect">
                      <a:avLst/>
                    </a:prstGeom>
                    <a:noFill/>
                    <a:ln>
                      <a:noFill/>
                    </a:ln>
                  </pic:spPr>
                </pic:pic>
              </a:graphicData>
            </a:graphic>
          </wp:inline>
        </w:drawing>
      </w:r>
    </w:p>
    <w:p>
      <w:pPr>
        <w:pStyle w:val="58"/>
      </w:pPr>
      <w:bookmarkStart w:id="115" w:name="_Ref18429718"/>
      <w:r>
        <w:rPr>
          <w:rFonts w:hint="eastAsia"/>
        </w:rPr>
        <w:t>图4.3</w:t>
      </w:r>
      <w:r>
        <w:noBreakHyphen/>
      </w:r>
      <w:r>
        <w:t>1</w:t>
      </w:r>
      <w:bookmarkEnd w:id="115"/>
      <w:r>
        <w:rPr>
          <w:rFonts w:hint="eastAsia"/>
        </w:rPr>
        <w:t xml:space="preserve">    地下水监测点位置图</w:t>
      </w:r>
      <w:bookmarkStart w:id="116" w:name="_Ref18429728"/>
    </w:p>
    <w:p>
      <w:pPr>
        <w:pStyle w:val="32"/>
        <w:rPr>
          <w:bCs/>
          <w:sz w:val="2"/>
          <w:szCs w:val="2"/>
        </w:rPr>
      </w:pPr>
      <w:r>
        <w:rPr>
          <w:rFonts w:hint="eastAsia"/>
        </w:rPr>
        <w:t>表4.3</w:t>
      </w:r>
      <w:r>
        <w:noBreakHyphen/>
      </w:r>
      <w:bookmarkEnd w:id="116"/>
      <w:r>
        <w:rPr>
          <w:rFonts w:hint="eastAsia"/>
        </w:rPr>
        <w:t xml:space="preserve">22 </w:t>
      </w:r>
      <w:r>
        <w:t xml:space="preserve"> </w:t>
      </w:r>
      <w:r>
        <w:rPr>
          <w:rFonts w:hint="eastAsia"/>
        </w:rPr>
        <w:t xml:space="preserve">        地下水质量现状监测点位一览表</w:t>
      </w:r>
    </w:p>
    <w:tbl>
      <w:tblPr>
        <w:tblStyle w:val="21"/>
        <w:tblW w:w="4997" w:type="pct"/>
        <w:tblInd w:w="0" w:type="dxa"/>
        <w:tblBorders>
          <w:top w:val="single" w:color="auto" w:sz="8" w:space="0"/>
          <w:left w:val="none" w:color="auto" w:sz="0" w:space="0"/>
          <w:bottom w:val="single" w:color="auto" w:sz="8"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707"/>
        <w:gridCol w:w="1327"/>
        <w:gridCol w:w="1198"/>
        <w:gridCol w:w="2140"/>
        <w:gridCol w:w="943"/>
        <w:gridCol w:w="943"/>
        <w:gridCol w:w="1287"/>
      </w:tblGrid>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702" w:hRule="exact"/>
        </w:trPr>
        <w:tc>
          <w:tcPr>
            <w:tcW w:w="414" w:type="pct"/>
            <w:tcBorders>
              <w:bottom w:val="single" w:color="000000" w:sz="4" w:space="0"/>
              <w:right w:val="single" w:color="000000" w:sz="4" w:space="0"/>
            </w:tcBorders>
            <w:vAlign w:val="center"/>
          </w:tcPr>
          <w:p>
            <w:pPr>
              <w:pStyle w:val="35"/>
              <w:rPr>
                <w:b/>
                <w:bCs/>
              </w:rPr>
            </w:pPr>
            <w:r>
              <w:rPr>
                <w:rFonts w:hint="eastAsia"/>
                <w:b/>
                <w:bCs/>
              </w:rPr>
              <w:t>编号</w:t>
            </w:r>
          </w:p>
        </w:tc>
        <w:tc>
          <w:tcPr>
            <w:tcW w:w="776"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经度</w:t>
            </w:r>
          </w:p>
        </w:tc>
        <w:tc>
          <w:tcPr>
            <w:tcW w:w="700"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纬度</w:t>
            </w:r>
          </w:p>
        </w:tc>
        <w:tc>
          <w:tcPr>
            <w:tcW w:w="1251"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与拟建场地位置关系</w:t>
            </w:r>
          </w:p>
        </w:tc>
        <w:tc>
          <w:tcPr>
            <w:tcW w:w="551"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成井深度</w:t>
            </w:r>
          </w:p>
          <w:p>
            <w:pPr>
              <w:pStyle w:val="35"/>
              <w:rPr>
                <w:b/>
                <w:bCs/>
              </w:rPr>
            </w:pPr>
            <w:r>
              <w:rPr>
                <w:rFonts w:hint="eastAsia"/>
                <w:b/>
                <w:bCs/>
              </w:rPr>
              <w:t>（</w:t>
            </w:r>
            <w:r>
              <w:rPr>
                <w:b/>
                <w:bCs/>
              </w:rPr>
              <w:t>m</w:t>
            </w:r>
            <w:r>
              <w:rPr>
                <w:rFonts w:hint="eastAsia"/>
                <w:b/>
                <w:bCs/>
              </w:rPr>
              <w:t>）</w:t>
            </w:r>
          </w:p>
        </w:tc>
        <w:tc>
          <w:tcPr>
            <w:tcW w:w="551"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水位埋深</w:t>
            </w:r>
          </w:p>
          <w:p>
            <w:pPr>
              <w:pStyle w:val="35"/>
              <w:rPr>
                <w:b/>
                <w:bCs/>
              </w:rPr>
            </w:pPr>
            <w:r>
              <w:rPr>
                <w:rFonts w:hint="eastAsia"/>
                <w:b/>
                <w:bCs/>
              </w:rPr>
              <w:t>（</w:t>
            </w:r>
            <w:r>
              <w:rPr>
                <w:b/>
                <w:bCs/>
              </w:rPr>
              <w:t>m</w:t>
            </w:r>
            <w:r>
              <w:rPr>
                <w:rFonts w:hint="eastAsia"/>
                <w:b/>
                <w:bCs/>
              </w:rPr>
              <w:t>）</w:t>
            </w:r>
          </w:p>
        </w:tc>
        <w:tc>
          <w:tcPr>
            <w:tcW w:w="752" w:type="pct"/>
            <w:tcBorders>
              <w:left w:val="single" w:color="000000" w:sz="4" w:space="0"/>
              <w:bottom w:val="single" w:color="000000" w:sz="4" w:space="0"/>
            </w:tcBorders>
            <w:vAlign w:val="center"/>
          </w:tcPr>
          <w:p>
            <w:pPr>
              <w:pStyle w:val="35"/>
              <w:rPr>
                <w:b/>
                <w:bCs/>
              </w:rPr>
            </w:pPr>
            <w:r>
              <w:rPr>
                <w:rFonts w:hint="eastAsia"/>
                <w:b/>
                <w:bCs/>
              </w:rPr>
              <w:t>监测时间</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sy1</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114.954787</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35.749135</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上游</w:t>
            </w:r>
            <w:r>
              <w:t>590</w:t>
            </w:r>
            <w:r>
              <w:rPr>
                <w:rFonts w:hint="eastAsia"/>
              </w:rPr>
              <w:t>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80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21.46</w:t>
            </w:r>
          </w:p>
        </w:tc>
        <w:tc>
          <w:tcPr>
            <w:tcW w:w="752" w:type="pct"/>
            <w:vMerge w:val="restart"/>
            <w:tcBorders>
              <w:top w:val="single" w:color="000000" w:sz="4" w:space="0"/>
              <w:left w:val="single" w:color="000000" w:sz="4" w:space="0"/>
            </w:tcBorders>
            <w:vAlign w:val="center"/>
          </w:tcPr>
          <w:p>
            <w:pPr>
              <w:pStyle w:val="35"/>
            </w:pPr>
            <w:r>
              <w:rPr>
                <w:rFonts w:hint="eastAsia"/>
              </w:rPr>
              <w:t>20</w:t>
            </w:r>
            <w:r>
              <w:t>20.3</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sy2</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114.960251</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35.749695</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新建项目左侧3</w:t>
            </w:r>
            <w:r>
              <w:t>10</w:t>
            </w:r>
            <w:r>
              <w:rPr>
                <w:rFonts w:hint="eastAsia"/>
              </w:rPr>
              <w:t>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70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21.39</w:t>
            </w:r>
          </w:p>
        </w:tc>
        <w:tc>
          <w:tcPr>
            <w:tcW w:w="752" w:type="pct"/>
            <w:vMerge w:val="continue"/>
            <w:tcBorders>
              <w:left w:val="single" w:color="000000" w:sz="4" w:space="0"/>
            </w:tcBorders>
            <w:vAlign w:val="center"/>
          </w:tcPr>
          <w:p>
            <w:pPr>
              <w:pStyle w:val="35"/>
            </w:pP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sy3</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114.958676</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35.746891</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新建项目西侧1</w:t>
            </w:r>
            <w:r>
              <w:t>80</w:t>
            </w:r>
            <w:r>
              <w:rPr>
                <w:rFonts w:hint="eastAsia"/>
              </w:rPr>
              <w:t>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70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21.5</w:t>
            </w:r>
          </w:p>
        </w:tc>
        <w:tc>
          <w:tcPr>
            <w:tcW w:w="752" w:type="pct"/>
            <w:vMerge w:val="continue"/>
            <w:tcBorders>
              <w:left w:val="single" w:color="000000" w:sz="4" w:space="0"/>
            </w:tcBorders>
            <w:vAlign w:val="center"/>
          </w:tcPr>
          <w:p>
            <w:pPr>
              <w:pStyle w:val="35"/>
            </w:pP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sy4</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114.973671</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35.750210</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下游</w:t>
            </w:r>
            <w:r>
              <w:t>1160</w:t>
            </w:r>
            <w:r>
              <w:rPr>
                <w:rFonts w:hint="eastAsia"/>
              </w:rPr>
              <w:t>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80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24.83</w:t>
            </w:r>
          </w:p>
        </w:tc>
        <w:tc>
          <w:tcPr>
            <w:tcW w:w="752" w:type="pct"/>
            <w:vMerge w:val="continue"/>
            <w:tcBorders>
              <w:left w:val="single" w:color="000000" w:sz="4" w:space="0"/>
            </w:tcBorders>
            <w:vAlign w:val="center"/>
          </w:tcPr>
          <w:p>
            <w:pPr>
              <w:pStyle w:val="35"/>
            </w:pP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sy5</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114.970661</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35.742539</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下游</w:t>
            </w:r>
            <w:r>
              <w:t>950</w:t>
            </w:r>
            <w:r>
              <w:rPr>
                <w:rFonts w:hint="eastAsia"/>
              </w:rPr>
              <w:t>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70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23.28</w:t>
            </w:r>
          </w:p>
        </w:tc>
        <w:tc>
          <w:tcPr>
            <w:tcW w:w="752" w:type="pct"/>
            <w:vMerge w:val="continue"/>
            <w:tcBorders>
              <w:left w:val="single" w:color="000000" w:sz="4" w:space="0"/>
            </w:tcBorders>
            <w:vAlign w:val="center"/>
          </w:tcPr>
          <w:p>
            <w:pPr>
              <w:pStyle w:val="35"/>
            </w:pP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bottom w:val="single" w:color="000000" w:sz="4" w:space="0"/>
              <w:right w:val="single" w:color="000000" w:sz="4" w:space="0"/>
            </w:tcBorders>
            <w:vAlign w:val="center"/>
          </w:tcPr>
          <w:p>
            <w:pPr>
              <w:pStyle w:val="35"/>
            </w:pPr>
            <w:r>
              <w:t>sy6</w:t>
            </w:r>
          </w:p>
        </w:tc>
        <w:tc>
          <w:tcPr>
            <w:tcW w:w="776"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114.969623</w:t>
            </w:r>
          </w:p>
        </w:tc>
        <w:tc>
          <w:tcPr>
            <w:tcW w:w="700"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35.736660</w:t>
            </w:r>
          </w:p>
        </w:tc>
        <w:tc>
          <w:tcPr>
            <w:tcW w:w="12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下游</w:t>
            </w:r>
            <w:r>
              <w:t>15</w:t>
            </w:r>
            <w:r>
              <w:rPr>
                <w:rFonts w:hint="eastAsia"/>
              </w:rPr>
              <w:t>00米处</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70</w:t>
            </w:r>
          </w:p>
        </w:tc>
        <w:tc>
          <w:tcPr>
            <w:tcW w:w="551"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22.52</w:t>
            </w:r>
          </w:p>
        </w:tc>
        <w:tc>
          <w:tcPr>
            <w:tcW w:w="752" w:type="pct"/>
            <w:vMerge w:val="continue"/>
            <w:tcBorders>
              <w:left w:val="single" w:color="000000" w:sz="4" w:space="0"/>
            </w:tcBorders>
            <w:vAlign w:val="center"/>
          </w:tcPr>
          <w:p>
            <w:pPr>
              <w:pStyle w:val="35"/>
            </w:pP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363" w:hRule="atLeast"/>
        </w:trPr>
        <w:tc>
          <w:tcPr>
            <w:tcW w:w="414" w:type="pct"/>
            <w:tcBorders>
              <w:top w:val="single" w:color="000000" w:sz="4" w:space="0"/>
              <w:right w:val="single" w:color="000000" w:sz="4" w:space="0"/>
            </w:tcBorders>
            <w:vAlign w:val="center"/>
          </w:tcPr>
          <w:p>
            <w:pPr>
              <w:pStyle w:val="35"/>
            </w:pPr>
            <w:r>
              <w:t>sy7</w:t>
            </w:r>
          </w:p>
        </w:tc>
        <w:tc>
          <w:tcPr>
            <w:tcW w:w="776" w:type="pct"/>
            <w:tcBorders>
              <w:top w:val="single" w:color="000000" w:sz="4" w:space="0"/>
              <w:left w:val="single" w:color="000000" w:sz="4" w:space="0"/>
              <w:right w:val="single" w:color="000000" w:sz="4" w:space="0"/>
            </w:tcBorders>
            <w:vAlign w:val="center"/>
          </w:tcPr>
          <w:p>
            <w:pPr>
              <w:pStyle w:val="35"/>
            </w:pPr>
            <w:r>
              <w:rPr>
                <w:rFonts w:hint="eastAsia"/>
              </w:rPr>
              <w:t>114.958610</w:t>
            </w:r>
          </w:p>
        </w:tc>
        <w:tc>
          <w:tcPr>
            <w:tcW w:w="700" w:type="pct"/>
            <w:tcBorders>
              <w:top w:val="single" w:color="000000" w:sz="4" w:space="0"/>
              <w:left w:val="single" w:color="000000" w:sz="4" w:space="0"/>
              <w:right w:val="single" w:color="000000" w:sz="4" w:space="0"/>
            </w:tcBorders>
            <w:vAlign w:val="center"/>
          </w:tcPr>
          <w:p>
            <w:pPr>
              <w:pStyle w:val="35"/>
            </w:pPr>
            <w:r>
              <w:rPr>
                <w:rFonts w:hint="eastAsia"/>
              </w:rPr>
              <w:t>35.741095</w:t>
            </w:r>
          </w:p>
        </w:tc>
        <w:tc>
          <w:tcPr>
            <w:tcW w:w="1251" w:type="pct"/>
            <w:tcBorders>
              <w:top w:val="single" w:color="000000" w:sz="4" w:space="0"/>
              <w:left w:val="single" w:color="000000" w:sz="4" w:space="0"/>
              <w:right w:val="single" w:color="000000" w:sz="4" w:space="0"/>
            </w:tcBorders>
            <w:vAlign w:val="center"/>
          </w:tcPr>
          <w:p>
            <w:pPr>
              <w:pStyle w:val="35"/>
            </w:pPr>
            <w:r>
              <w:rPr>
                <w:rFonts w:hint="eastAsia"/>
              </w:rPr>
              <w:t>新建项目右侧</w:t>
            </w:r>
            <w:r>
              <w:t>65</w:t>
            </w:r>
            <w:r>
              <w:rPr>
                <w:rFonts w:hint="eastAsia"/>
              </w:rPr>
              <w:t>0米处</w:t>
            </w:r>
          </w:p>
        </w:tc>
        <w:tc>
          <w:tcPr>
            <w:tcW w:w="551" w:type="pct"/>
            <w:tcBorders>
              <w:top w:val="single" w:color="000000" w:sz="4" w:space="0"/>
              <w:left w:val="single" w:color="000000" w:sz="4" w:space="0"/>
              <w:right w:val="single" w:color="000000" w:sz="4" w:space="0"/>
            </w:tcBorders>
            <w:vAlign w:val="center"/>
          </w:tcPr>
          <w:p>
            <w:pPr>
              <w:pStyle w:val="35"/>
            </w:pPr>
            <w:r>
              <w:rPr>
                <w:rFonts w:hint="eastAsia"/>
              </w:rPr>
              <w:t>700</w:t>
            </w:r>
          </w:p>
        </w:tc>
        <w:tc>
          <w:tcPr>
            <w:tcW w:w="551" w:type="pct"/>
            <w:tcBorders>
              <w:top w:val="single" w:color="000000" w:sz="4" w:space="0"/>
              <w:left w:val="single" w:color="000000" w:sz="4" w:space="0"/>
              <w:right w:val="single" w:color="000000" w:sz="4" w:space="0"/>
            </w:tcBorders>
            <w:vAlign w:val="center"/>
          </w:tcPr>
          <w:p>
            <w:pPr>
              <w:pStyle w:val="35"/>
            </w:pPr>
            <w:r>
              <w:rPr>
                <w:rFonts w:hint="eastAsia"/>
              </w:rPr>
              <w:t>/</w:t>
            </w:r>
          </w:p>
        </w:tc>
        <w:tc>
          <w:tcPr>
            <w:tcW w:w="752" w:type="pct"/>
            <w:vMerge w:val="continue"/>
            <w:tcBorders>
              <w:left w:val="single" w:color="000000" w:sz="4" w:space="0"/>
            </w:tcBorders>
            <w:vAlign w:val="center"/>
          </w:tcPr>
          <w:p>
            <w:pPr>
              <w:pStyle w:val="35"/>
            </w:pPr>
          </w:p>
        </w:tc>
      </w:tr>
    </w:tbl>
    <w:p>
      <w:pPr>
        <w:pStyle w:val="27"/>
        <w:ind w:firstLine="560"/>
      </w:pPr>
      <w:r>
        <w:rPr>
          <w:rFonts w:hint="eastAsia"/>
        </w:rPr>
        <w:t>（2）</w:t>
      </w:r>
      <w:r>
        <w:t>监测</w:t>
      </w:r>
      <w:r>
        <w:rPr>
          <w:rFonts w:hint="eastAsia"/>
        </w:rPr>
        <w:t>因子及</w:t>
      </w:r>
      <w:r>
        <w:t>分析方法</w:t>
      </w:r>
    </w:p>
    <w:p>
      <w:pPr>
        <w:pStyle w:val="27"/>
        <w:ind w:firstLine="560"/>
      </w:pPr>
      <w:r>
        <w:rPr>
          <w:rFonts w:hint="eastAsia"/>
        </w:rPr>
        <w:t>地下水监测因子</w:t>
      </w:r>
      <w:r>
        <w:t>共31项，</w:t>
      </w:r>
      <w:r>
        <w:rPr>
          <w:rFonts w:hint="eastAsia"/>
        </w:rPr>
        <w:t>包括：</w:t>
      </w:r>
    </w:p>
    <w:p>
      <w:pPr>
        <w:pStyle w:val="27"/>
        <w:ind w:firstLine="560"/>
      </w:pPr>
      <w:r>
        <w:rPr>
          <w:rFonts w:hint="eastAsia"/>
        </w:rPr>
        <w:t>①基本因子：钾、钠、钙、镁、砷、汞、镉、铅、铁、锰、六价铬、碳酸盐、重碳酸盐、氯离子、硫酸根、硝酸盐、亚硝酸盐、氟化物、pH值、氨氮、挥发酚、氰化物、总硬度、溶解性总固体、高锰酸盐指数（耗氧量）、总大肠菌群、细菌总数；</w:t>
      </w:r>
    </w:p>
    <w:p>
      <w:pPr>
        <w:pStyle w:val="27"/>
        <w:ind w:firstLine="560"/>
      </w:pPr>
      <w:r>
        <w:rPr>
          <w:rFonts w:hint="eastAsia"/>
        </w:rPr>
        <w:t>②特征因子：石油类、硫化物。</w:t>
      </w:r>
    </w:p>
    <w:p>
      <w:pPr>
        <w:pStyle w:val="27"/>
        <w:ind w:firstLine="560"/>
      </w:pPr>
      <w:r>
        <w:rPr>
          <w:rFonts w:hint="eastAsia"/>
        </w:rPr>
        <w:t>所有水样由河南正捷检测技术有限公司检测分析。样品的采集、保存、分析与质量控制均按《地下水环境监测技术规范》进行。</w:t>
      </w:r>
    </w:p>
    <w:p>
      <w:pPr>
        <w:pStyle w:val="27"/>
        <w:ind w:firstLine="560"/>
      </w:pPr>
      <w:r>
        <w:rPr>
          <w:rFonts w:hint="eastAsia"/>
        </w:rPr>
        <w:t>各监测因子的监测分析方法详见表4.3</w:t>
      </w:r>
      <w:r>
        <w:noBreakHyphen/>
      </w:r>
      <w:r>
        <w:t>2</w:t>
      </w:r>
      <w:r>
        <w:rPr>
          <w:rFonts w:hint="eastAsia"/>
        </w:rPr>
        <w:t>3。</w:t>
      </w:r>
    </w:p>
    <w:p>
      <w:pPr>
        <w:pStyle w:val="32"/>
      </w:pPr>
      <w:bookmarkStart w:id="117" w:name="_Ref18246534"/>
      <w:r>
        <w:rPr>
          <w:rFonts w:hint="eastAsia"/>
        </w:rPr>
        <w:t>表4.3</w:t>
      </w:r>
      <w:r>
        <w:noBreakHyphen/>
      </w:r>
      <w:r>
        <w:t>2</w:t>
      </w:r>
      <w:bookmarkEnd w:id="117"/>
      <w:r>
        <w:rPr>
          <w:rFonts w:hint="eastAsia"/>
        </w:rPr>
        <w:t xml:space="preserve">3       </w:t>
      </w:r>
      <w:r>
        <w:t xml:space="preserve"> </w:t>
      </w:r>
      <w:r>
        <w:rPr>
          <w:rFonts w:hint="eastAsia"/>
        </w:rPr>
        <w:t>地下水质量现状监测因子及监测分析方法</w:t>
      </w:r>
    </w:p>
    <w:tbl>
      <w:tblPr>
        <w:tblStyle w:val="61"/>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731"/>
        <w:gridCol w:w="3598"/>
        <w:gridCol w:w="2165"/>
        <w:gridCol w:w="105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1012"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检测项目</w:t>
            </w:r>
          </w:p>
        </w:tc>
        <w:tc>
          <w:tcPr>
            <w:tcW w:w="2104"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分析方法及标准号</w:t>
            </w:r>
          </w:p>
        </w:tc>
        <w:tc>
          <w:tcPr>
            <w:tcW w:w="1266"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仪器名称/型号/编号</w:t>
            </w:r>
          </w:p>
        </w:tc>
        <w:tc>
          <w:tcPr>
            <w:tcW w:w="616" w:type="pct"/>
            <w:vAlign w:val="center"/>
          </w:tcPr>
          <w:p>
            <w:pPr>
              <w:pStyle w:val="35"/>
              <w:rPr>
                <w:rFonts w:asciiTheme="minorHAnsi" w:hAnsiTheme="minorHAnsi" w:eastAsiaTheme="minorEastAsia"/>
                <w:b/>
                <w:bCs/>
                <w:lang w:eastAsia="en-US"/>
              </w:rPr>
            </w:pPr>
            <w:r>
              <w:rPr>
                <w:rFonts w:asciiTheme="minorHAnsi" w:hAnsiTheme="minorHAnsi" w:eastAsiaTheme="minorEastAsia"/>
                <w:b/>
                <w:bCs/>
                <w:lang w:eastAsia="en-US"/>
              </w:rPr>
              <w:t>检出限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钾</w:t>
            </w:r>
          </w:p>
        </w:tc>
        <w:tc>
          <w:tcPr>
            <w:tcW w:w="2104"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水质65 种元素的测定 电感耦合等离 子体质谱法 HJ 700-2014</w:t>
            </w:r>
          </w:p>
        </w:tc>
        <w:tc>
          <w:tcPr>
            <w:tcW w:w="1266"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电感耦合等离子体质谱 仪/ICAP-RQ/Z1-001</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4.50μg/L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钠</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6.36μg/L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钙</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6.61μg/L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镁</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1.94μg/L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镉</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0.05μg/L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铅</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0.09μg/L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铁</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0.82μg/L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锰</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0.12μg/L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砷</w:t>
            </w:r>
          </w:p>
        </w:tc>
        <w:tc>
          <w:tcPr>
            <w:tcW w:w="2104"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汞、砷、硒、铋和锑的测定 原 子荧光法 HJ 694-2014</w:t>
            </w:r>
          </w:p>
        </w:tc>
        <w:tc>
          <w:tcPr>
            <w:tcW w:w="1266"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原子荧光分光光度计</w:t>
            </w:r>
          </w:p>
          <w:p>
            <w:pPr>
              <w:pStyle w:val="35"/>
              <w:rPr>
                <w:rFonts w:asciiTheme="minorHAnsi" w:hAnsiTheme="minorHAnsi" w:eastAsiaTheme="minorEastAsia"/>
                <w:lang w:eastAsia="en-US"/>
              </w:rPr>
            </w:pPr>
            <w:r>
              <w:rPr>
                <w:rFonts w:asciiTheme="minorHAnsi" w:hAnsiTheme="minorHAnsi" w:eastAsiaTheme="minorEastAsia"/>
                <w:lang w:eastAsia="en-US"/>
              </w:rPr>
              <w:t>/AFS-2202E/ Z1-003</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0.3μg/L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汞</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0.04μg/L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2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六价铬</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六价铬的测定 二苯碳酰二肼分 光光度法 GB/T 7467-1987</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0.004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碱度（碳酸盐、重碳酸盐）</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碱度酸碱指示剂滴定法《水和废水监 测分析方法》（第四版增补版）国家 环境保护总局（2002年）</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滴定管</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氯离子</w:t>
            </w:r>
          </w:p>
        </w:tc>
        <w:tc>
          <w:tcPr>
            <w:tcW w:w="2104"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无机阴离子（F</w:t>
            </w:r>
            <w:r>
              <w:rPr>
                <w:rFonts w:asciiTheme="minorHAnsi" w:hAnsiTheme="minorHAnsi" w:eastAsiaTheme="minorEastAsia"/>
                <w:vertAlign w:val="superscript"/>
                <w:lang w:eastAsia="en-US"/>
              </w:rPr>
              <w:t>-</w:t>
            </w:r>
            <w:r>
              <w:rPr>
                <w:rFonts w:asciiTheme="minorHAnsi" w:hAnsiTheme="minorHAnsi" w:eastAsiaTheme="minorEastAsia"/>
                <w:lang w:eastAsia="en-US"/>
              </w:rPr>
              <w:t>、Cl</w:t>
            </w:r>
            <w:r>
              <w:rPr>
                <w:rFonts w:asciiTheme="minorHAnsi" w:hAnsiTheme="minorHAnsi" w:eastAsiaTheme="minorEastAsia"/>
                <w:vertAlign w:val="superscript"/>
                <w:lang w:eastAsia="en-US"/>
              </w:rPr>
              <w:t>-</w:t>
            </w:r>
            <w:r>
              <w:rPr>
                <w:rFonts w:asciiTheme="minorHAnsi" w:hAnsiTheme="minorHAnsi" w:eastAsiaTheme="minorEastAsia"/>
                <w:lang w:eastAsia="en-US"/>
              </w:rPr>
              <w:t>、NO</w:t>
            </w:r>
            <w:r>
              <w:rPr>
                <w:rFonts w:asciiTheme="minorHAnsi" w:hAnsiTheme="minorHAnsi" w:eastAsiaTheme="minorEastAsia"/>
                <w:vertAlign w:val="subscript"/>
                <w:lang w:eastAsia="en-US"/>
              </w:rPr>
              <w:t>2</w:t>
            </w:r>
            <w:r>
              <w:rPr>
                <w:rFonts w:asciiTheme="minorHAnsi" w:hAnsiTheme="minorHAnsi" w:eastAsiaTheme="minorEastAsia"/>
                <w:vertAlign w:val="superscript"/>
                <w:lang w:eastAsia="en-US"/>
              </w:rPr>
              <w:t>-</w:t>
            </w:r>
            <w:r>
              <w:rPr>
                <w:rFonts w:asciiTheme="minorHAnsi" w:hAnsiTheme="minorHAnsi" w:eastAsiaTheme="minorEastAsia"/>
                <w:lang w:eastAsia="en-US"/>
              </w:rPr>
              <w:t>、Br</w:t>
            </w:r>
            <w:r>
              <w:rPr>
                <w:rFonts w:asciiTheme="minorHAnsi" w:hAnsiTheme="minorHAnsi" w:eastAsiaTheme="minorEastAsia"/>
                <w:vertAlign w:val="superscript"/>
                <w:lang w:eastAsia="en-US"/>
              </w:rPr>
              <w:t>-</w:t>
            </w:r>
            <w:r>
              <w:rPr>
                <w:rFonts w:asciiTheme="minorHAnsi" w:hAnsiTheme="minorHAnsi" w:eastAsiaTheme="minorEastAsia"/>
                <w:lang w:eastAsia="en-US"/>
              </w:rPr>
              <w:t>、NO</w:t>
            </w:r>
            <w:r>
              <w:rPr>
                <w:rFonts w:asciiTheme="minorHAnsi" w:hAnsiTheme="minorHAnsi" w:eastAsiaTheme="minorEastAsia"/>
                <w:vertAlign w:val="subscript"/>
                <w:lang w:eastAsia="en-US"/>
              </w:rPr>
              <w:t>3</w:t>
            </w:r>
            <w:r>
              <w:rPr>
                <w:rFonts w:asciiTheme="minorHAnsi" w:hAnsiTheme="minorHAnsi" w:eastAsiaTheme="minorEastAsia"/>
                <w:vertAlign w:val="superscript"/>
                <w:lang w:eastAsia="en-US"/>
              </w:rPr>
              <w:t>-</w:t>
            </w:r>
            <w:r>
              <w:rPr>
                <w:rFonts w:asciiTheme="minorHAnsi" w:hAnsiTheme="minorHAnsi" w:eastAsiaTheme="minorEastAsia"/>
                <w:lang w:eastAsia="en-US"/>
              </w:rPr>
              <w:t>、PO</w:t>
            </w:r>
            <w:r>
              <w:rPr>
                <w:rFonts w:asciiTheme="minorHAnsi" w:hAnsiTheme="minorHAnsi" w:eastAsiaTheme="minorEastAsia"/>
                <w:vertAlign w:val="subscript"/>
                <w:lang w:eastAsia="en-US"/>
              </w:rPr>
              <w:t>4</w:t>
            </w:r>
            <w:r>
              <w:rPr>
                <w:rFonts w:asciiTheme="minorHAnsi" w:hAnsiTheme="minorHAnsi" w:eastAsiaTheme="minorEastAsia"/>
                <w:vertAlign w:val="superscript"/>
                <w:lang w:eastAsia="en-US"/>
              </w:rPr>
              <w:t>3-</w:t>
            </w:r>
            <w:r>
              <w:rPr>
                <w:rFonts w:asciiTheme="minorHAnsi" w:hAnsiTheme="minorHAnsi" w:eastAsiaTheme="minorEastAsia"/>
                <w:lang w:eastAsia="en-US"/>
              </w:rPr>
              <w:t>、SO</w:t>
            </w:r>
            <w:r>
              <w:rPr>
                <w:rFonts w:asciiTheme="minorHAnsi" w:hAnsiTheme="minorHAnsi" w:eastAsiaTheme="minorEastAsia"/>
                <w:vertAlign w:val="subscript"/>
                <w:lang w:eastAsia="en-US"/>
              </w:rPr>
              <w:t>3</w:t>
            </w:r>
            <w:r>
              <w:rPr>
                <w:rFonts w:asciiTheme="minorHAnsi" w:hAnsiTheme="minorHAnsi" w:eastAsiaTheme="minorEastAsia"/>
                <w:vertAlign w:val="superscript"/>
                <w:lang w:eastAsia="en-US"/>
              </w:rPr>
              <w:t>2-</w:t>
            </w:r>
            <w:r>
              <w:rPr>
                <w:rFonts w:asciiTheme="minorHAnsi" w:hAnsiTheme="minorHAnsi" w:eastAsiaTheme="minorEastAsia"/>
                <w:lang w:eastAsia="en-US"/>
              </w:rPr>
              <w:t>、SO</w:t>
            </w:r>
            <w:r>
              <w:rPr>
                <w:rFonts w:asciiTheme="minorHAnsi" w:hAnsiTheme="minorHAnsi" w:eastAsiaTheme="minorEastAsia"/>
                <w:vertAlign w:val="subscript"/>
                <w:lang w:eastAsia="en-US"/>
              </w:rPr>
              <w:t>4</w:t>
            </w:r>
            <w:r>
              <w:rPr>
                <w:rFonts w:asciiTheme="minorHAnsi" w:hAnsiTheme="minorHAnsi" w:eastAsiaTheme="minorEastAsia"/>
                <w:vertAlign w:val="superscript"/>
                <w:lang w:eastAsia="en-US"/>
              </w:rPr>
              <w:t>2-</w:t>
            </w:r>
            <w:r>
              <w:rPr>
                <w:rFonts w:asciiTheme="minorHAnsi" w:hAnsiTheme="minorHAnsi" w:eastAsiaTheme="minorEastAsia"/>
                <w:lang w:eastAsia="en-US"/>
              </w:rPr>
              <w:t>）的测定  离子色谱法 HJ 84-2016</w:t>
            </w:r>
          </w:p>
        </w:tc>
        <w:tc>
          <w:tcPr>
            <w:tcW w:w="1266" w:type="pct"/>
            <w:vMerge w:val="restar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离子色谱仪/ HIC-20ASP/Z1-008</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0.007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硫酸根</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0.018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硝酸盐（以 N 计）</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亚硝酸盐（以N计）</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氟化物</w:t>
            </w:r>
          </w:p>
        </w:tc>
        <w:tc>
          <w:tcPr>
            <w:tcW w:w="2104" w:type="pct"/>
            <w:vMerge w:val="continue"/>
            <w:vAlign w:val="center"/>
          </w:tcPr>
          <w:p>
            <w:pPr>
              <w:pStyle w:val="35"/>
              <w:rPr>
                <w:rFonts w:asciiTheme="minorHAnsi" w:hAnsiTheme="minorHAnsi" w:eastAsiaTheme="minorEastAsia"/>
                <w:lang w:eastAsia="en-US"/>
              </w:rPr>
            </w:pPr>
          </w:p>
        </w:tc>
        <w:tc>
          <w:tcPr>
            <w:tcW w:w="1266" w:type="pct"/>
            <w:vMerge w:val="continue"/>
            <w:vAlign w:val="center"/>
          </w:tcPr>
          <w:p>
            <w:pPr>
              <w:pStyle w:val="35"/>
              <w:rPr>
                <w:rFonts w:asciiTheme="minorHAnsi" w:hAnsiTheme="minorHAnsi" w:eastAsiaTheme="minorEastAsia"/>
                <w:lang w:eastAsia="en-US"/>
              </w:rPr>
            </w:pP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0.006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pH 值</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水质pH 值的测定玻璃电极法</w:t>
            </w:r>
          </w:p>
          <w:p>
            <w:pPr>
              <w:pStyle w:val="35"/>
              <w:rPr>
                <w:rFonts w:asciiTheme="minorHAnsi" w:hAnsiTheme="minorHAnsi" w:eastAsiaTheme="minorEastAsia"/>
                <w:lang w:eastAsia="en-US"/>
              </w:rPr>
            </w:pPr>
            <w:r>
              <w:rPr>
                <w:rFonts w:asciiTheme="minorHAnsi" w:hAnsiTheme="minorHAnsi" w:eastAsiaTheme="minorEastAsia"/>
                <w:lang w:eastAsia="en-US"/>
              </w:rPr>
              <w:t>GB/T 6920-1986</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台式 PH 计/RPB1000 型/Z2-019</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氨氮</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氨氮的测定 纳氏试剂分光光度 法 HJ 535-2009</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0.025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挥发酚</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挥发酚的测定 4-氨基安替比林 分光光度法 HJ 503-2009</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0.0003mg/L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氰化物</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生活饮用水标准检验方法无机非金属 指标（4.1 氰化物异烟酸-吡唑酮分光 光度法）GB/T 5750.5-2006</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0.002 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总硬度</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钙和镁总量的测定 EDTA 滴定 法 GB/T 7477-1987</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酸式滴定管</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0.05mmol/L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溶解性总固体</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生活饮用水标准检验方法 感官性状 和物理指标（8.1 溶解性总固体 称量 法）GB/T 5750.4-2006</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电子天平/ BSM120.4/Z2-023</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高锰酸盐指数</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高锰酸盐指数的测定GB/T 11892-1989</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酸式滴定管</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0.5mg/L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总大肠菌群</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生活饮用水标准检验方法 微生物指 标（2.1 总大肠菌群多管发酵法） GB/T 5750.12-2006</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隔水式恒温培养箱/ GSP-9050MBE/</w:t>
            </w:r>
          </w:p>
          <w:p>
            <w:pPr>
              <w:pStyle w:val="35"/>
              <w:rPr>
                <w:rFonts w:asciiTheme="minorHAnsi" w:hAnsiTheme="minorHAnsi" w:eastAsiaTheme="minorEastAsia"/>
                <w:lang w:eastAsia="en-US"/>
              </w:rPr>
            </w:pPr>
            <w:r>
              <w:rPr>
                <w:rFonts w:asciiTheme="minorHAnsi" w:hAnsiTheme="minorHAnsi" w:eastAsiaTheme="minorEastAsia"/>
                <w:lang w:eastAsia="en-US"/>
              </w:rPr>
              <w:t>Z3-043</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20 MPN/L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细菌总数</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细菌总数的测定 平皿计数法</w:t>
            </w:r>
          </w:p>
          <w:p>
            <w:pPr>
              <w:pStyle w:val="35"/>
              <w:rPr>
                <w:rFonts w:asciiTheme="minorHAnsi" w:hAnsiTheme="minorHAnsi" w:eastAsiaTheme="minorEastAsia"/>
                <w:lang w:eastAsia="en-US"/>
              </w:rPr>
            </w:pPr>
            <w:r>
              <w:rPr>
                <w:rFonts w:asciiTheme="minorHAnsi" w:hAnsiTheme="minorHAnsi" w:eastAsiaTheme="minorEastAsia"/>
                <w:lang w:eastAsia="en-US"/>
              </w:rPr>
              <w:t>HJ 1000-2018</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隔水式恒温培养箱/ GSP-9050MBE/</w:t>
            </w:r>
          </w:p>
          <w:p>
            <w:pPr>
              <w:pStyle w:val="35"/>
              <w:rPr>
                <w:rFonts w:asciiTheme="minorHAnsi" w:hAnsiTheme="minorHAnsi" w:eastAsiaTheme="minorEastAsia"/>
                <w:lang w:eastAsia="en-US"/>
              </w:rPr>
            </w:pPr>
            <w:r>
              <w:rPr>
                <w:rFonts w:asciiTheme="minorHAnsi" w:hAnsiTheme="minorHAnsi" w:eastAsiaTheme="minorEastAsia"/>
                <w:lang w:eastAsia="en-US"/>
              </w:rPr>
              <w:t>Z3-043</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1CFU/ml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石油类</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石油类的测定 紫外分光光度法</w:t>
            </w:r>
          </w:p>
          <w:p>
            <w:pPr>
              <w:pStyle w:val="35"/>
              <w:rPr>
                <w:rFonts w:asciiTheme="minorHAnsi" w:hAnsiTheme="minorHAnsi" w:eastAsiaTheme="minorEastAsia"/>
                <w:lang w:eastAsia="en-US"/>
              </w:rPr>
            </w:pPr>
            <w:r>
              <w:rPr>
                <w:rFonts w:asciiTheme="minorHAnsi" w:hAnsiTheme="minorHAnsi" w:eastAsiaTheme="minorEastAsia"/>
                <w:lang w:eastAsia="en-US"/>
              </w:rPr>
              <w:t>（试行）HJ 970-2018</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新世纪/Z2-014</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0.01mg/L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012"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硫化物</w:t>
            </w:r>
          </w:p>
        </w:tc>
        <w:tc>
          <w:tcPr>
            <w:tcW w:w="2104"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水质 硫化物的测定 亚甲基蓝分光光 度法 GB/T 16489-1996</w:t>
            </w:r>
          </w:p>
        </w:tc>
        <w:tc>
          <w:tcPr>
            <w:tcW w:w="126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紫外可见分光光度计</w:t>
            </w:r>
          </w:p>
          <w:p>
            <w:pPr>
              <w:pStyle w:val="35"/>
              <w:rPr>
                <w:rFonts w:asciiTheme="minorHAnsi" w:hAnsiTheme="minorHAnsi" w:eastAsiaTheme="minorEastAsia"/>
                <w:lang w:eastAsia="en-US"/>
              </w:rPr>
            </w:pPr>
            <w:r>
              <w:rPr>
                <w:rFonts w:asciiTheme="minorHAnsi" w:hAnsiTheme="minorHAnsi" w:eastAsiaTheme="minorEastAsia"/>
                <w:lang w:eastAsia="en-US"/>
              </w:rPr>
              <w:t>/T6 新世纪/Z2-015</w:t>
            </w:r>
          </w:p>
        </w:tc>
        <w:tc>
          <w:tcPr>
            <w:tcW w:w="616" w:type="pct"/>
            <w:vAlign w:val="center"/>
          </w:tcPr>
          <w:p>
            <w:pPr>
              <w:pStyle w:val="35"/>
              <w:rPr>
                <w:rFonts w:asciiTheme="minorHAnsi" w:hAnsiTheme="minorHAnsi" w:eastAsiaTheme="minorEastAsia"/>
                <w:lang w:eastAsia="en-US"/>
              </w:rPr>
            </w:pPr>
            <w:r>
              <w:rPr>
                <w:rFonts w:asciiTheme="minorHAnsi" w:hAnsiTheme="minorHAnsi" w:eastAsiaTheme="minorEastAsia"/>
                <w:lang w:eastAsia="en-US"/>
              </w:rPr>
              <w:t>0.005 mg/L</w:t>
            </w:r>
          </w:p>
        </w:tc>
      </w:tr>
    </w:tbl>
    <w:p>
      <w:pPr>
        <w:pStyle w:val="33"/>
      </w:pPr>
      <w:r>
        <w:rPr>
          <w:rFonts w:eastAsia="楷体_GB2312"/>
        </w:rPr>
        <w:t>4.</w:t>
      </w:r>
      <w:r>
        <w:rPr>
          <w:rFonts w:hint="eastAsia" w:eastAsia="楷体_GB2312"/>
        </w:rPr>
        <w:t xml:space="preserve">3.6.2 </w:t>
      </w:r>
      <w:r>
        <w:t>现状评价</w:t>
      </w:r>
    </w:p>
    <w:p>
      <w:pPr>
        <w:adjustRightInd w:val="0"/>
        <w:snapToGrid w:val="0"/>
        <w:spacing w:line="520" w:lineRule="exact"/>
        <w:ind w:firstLine="560" w:firstLineChars="200"/>
        <w:rPr>
          <w:sz w:val="28"/>
          <w:szCs w:val="22"/>
        </w:rPr>
      </w:pPr>
      <w:r>
        <w:rPr>
          <w:rFonts w:hint="eastAsia"/>
          <w:sz w:val="28"/>
          <w:szCs w:val="22"/>
        </w:rPr>
        <w:t>（1）</w:t>
      </w:r>
      <w:r>
        <w:rPr>
          <w:sz w:val="28"/>
          <w:szCs w:val="22"/>
        </w:rPr>
        <w:t>评价方法</w:t>
      </w:r>
    </w:p>
    <w:p>
      <w:pPr>
        <w:adjustRightInd w:val="0"/>
        <w:snapToGrid w:val="0"/>
        <w:spacing w:line="520" w:lineRule="exact"/>
        <w:ind w:firstLine="560" w:firstLineChars="200"/>
        <w:rPr>
          <w:sz w:val="28"/>
          <w:szCs w:val="22"/>
        </w:rPr>
      </w:pPr>
      <w:r>
        <w:rPr>
          <w:sz w:val="28"/>
          <w:szCs w:val="22"/>
        </w:rPr>
        <w:t>采用单因子标准指数法，对评价范围内地下水环境质量现状进行评价。</w:t>
      </w:r>
      <w:r>
        <w:rPr>
          <w:sz w:val="28"/>
          <w:szCs w:val="28"/>
        </w:rPr>
        <w:t>单项水质参数i在第j点的标准指数为：</w:t>
      </w:r>
    </w:p>
    <w:p>
      <w:pPr>
        <w:adjustRightInd w:val="0"/>
        <w:snapToGrid w:val="0"/>
        <w:spacing w:line="500" w:lineRule="exact"/>
        <w:ind w:firstLine="420" w:firstLineChars="200"/>
        <w:rPr>
          <w:sz w:val="28"/>
          <w:szCs w:val="22"/>
        </w:rPr>
      </w:pPr>
      <w:r>
        <w:drawing>
          <wp:anchor distT="0" distB="0" distL="114300" distR="114300" simplePos="0" relativeHeight="251662336" behindDoc="0" locked="0" layoutInCell="1" allowOverlap="1">
            <wp:simplePos x="0" y="0"/>
            <wp:positionH relativeFrom="column">
              <wp:posOffset>1617345</wp:posOffset>
            </wp:positionH>
            <wp:positionV relativeFrom="paragraph">
              <wp:posOffset>901065</wp:posOffset>
            </wp:positionV>
            <wp:extent cx="2092325" cy="914400"/>
            <wp:effectExtent l="0" t="0" r="0" b="0"/>
            <wp:wrapTopAndBottom/>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092325" cy="914400"/>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2005965</wp:posOffset>
            </wp:positionH>
            <wp:positionV relativeFrom="paragraph">
              <wp:posOffset>6985</wp:posOffset>
            </wp:positionV>
            <wp:extent cx="809625" cy="571500"/>
            <wp:effectExtent l="0" t="0" r="0" b="0"/>
            <wp:wrapTopAndBottom/>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809625" cy="571500"/>
                    </a:xfrm>
                    <a:prstGeom prst="rect">
                      <a:avLst/>
                    </a:prstGeom>
                    <a:noFill/>
                    <a:ln>
                      <a:noFill/>
                    </a:ln>
                  </pic:spPr>
                </pic:pic>
              </a:graphicData>
            </a:graphic>
          </wp:anchor>
        </w:drawing>
      </w:r>
      <w:r>
        <w:rPr>
          <w:sz w:val="28"/>
          <w:szCs w:val="22"/>
        </w:rPr>
        <w:t>pH的标准指数为：</w:t>
      </w:r>
    </w:p>
    <w:p>
      <w:pPr>
        <w:tabs>
          <w:tab w:val="left" w:pos="4540"/>
        </w:tabs>
        <w:spacing w:line="520" w:lineRule="exact"/>
        <w:ind w:firstLine="560" w:firstLineChars="200"/>
        <w:rPr>
          <w:sz w:val="28"/>
          <w:szCs w:val="28"/>
        </w:rPr>
      </w:pPr>
      <w:r>
        <w:rPr>
          <w:sz w:val="28"/>
          <w:szCs w:val="28"/>
        </w:rPr>
        <w:t>式中：S</w:t>
      </w:r>
      <w:r>
        <w:rPr>
          <w:sz w:val="28"/>
          <w:szCs w:val="28"/>
          <w:vertAlign w:val="subscript"/>
        </w:rPr>
        <w:t>i,j</w:t>
      </w:r>
      <w:r>
        <w:rPr>
          <w:sz w:val="28"/>
          <w:szCs w:val="28"/>
        </w:rPr>
        <w:t xml:space="preserve"> </w:t>
      </w:r>
      <w:r>
        <w:rPr>
          <w:sz w:val="28"/>
          <w:szCs w:val="28"/>
        </w:rPr>
        <w:sym w:font="Symbol" w:char="F0BE"/>
      </w:r>
      <w:r>
        <w:rPr>
          <w:sz w:val="28"/>
          <w:szCs w:val="28"/>
        </w:rPr>
        <w:t xml:space="preserve"> 单项水质参数i在第j点的标准指数；</w:t>
      </w:r>
    </w:p>
    <w:p>
      <w:pPr>
        <w:tabs>
          <w:tab w:val="left" w:pos="4540"/>
        </w:tabs>
        <w:spacing w:line="520" w:lineRule="exact"/>
        <w:ind w:firstLine="560" w:firstLineChars="200"/>
        <w:rPr>
          <w:sz w:val="28"/>
          <w:szCs w:val="28"/>
        </w:rPr>
      </w:pPr>
      <w:r>
        <w:rPr>
          <w:sz w:val="28"/>
          <w:szCs w:val="28"/>
        </w:rPr>
        <w:t xml:space="preserve">      C</w:t>
      </w:r>
      <w:r>
        <w:rPr>
          <w:sz w:val="28"/>
          <w:szCs w:val="28"/>
          <w:vertAlign w:val="subscript"/>
        </w:rPr>
        <w:t>i,j</w:t>
      </w:r>
      <w:r>
        <w:rPr>
          <w:sz w:val="28"/>
          <w:szCs w:val="28"/>
        </w:rPr>
        <w:t xml:space="preserve"> </w:t>
      </w:r>
      <w:r>
        <w:rPr>
          <w:sz w:val="28"/>
          <w:szCs w:val="28"/>
        </w:rPr>
        <w:sym w:font="Symbol" w:char="F0BE"/>
      </w:r>
      <w:r>
        <w:rPr>
          <w:sz w:val="28"/>
          <w:szCs w:val="28"/>
        </w:rPr>
        <w:t xml:space="preserve"> 污染物i在第j点的监测浓度，mg/L；</w:t>
      </w:r>
    </w:p>
    <w:p>
      <w:pPr>
        <w:tabs>
          <w:tab w:val="left" w:pos="4540"/>
        </w:tabs>
        <w:spacing w:line="520" w:lineRule="exact"/>
        <w:ind w:firstLine="560" w:firstLineChars="200"/>
        <w:rPr>
          <w:sz w:val="28"/>
          <w:szCs w:val="28"/>
        </w:rPr>
      </w:pPr>
      <w:r>
        <w:rPr>
          <w:sz w:val="28"/>
          <w:szCs w:val="28"/>
        </w:rPr>
        <w:t xml:space="preserve">      C</w:t>
      </w:r>
      <w:r>
        <w:rPr>
          <w:sz w:val="28"/>
          <w:szCs w:val="28"/>
          <w:vertAlign w:val="subscript"/>
        </w:rPr>
        <w:t xml:space="preserve">si </w:t>
      </w:r>
      <w:r>
        <w:rPr>
          <w:sz w:val="28"/>
          <w:szCs w:val="28"/>
        </w:rPr>
        <w:sym w:font="Symbol" w:char="F0BE"/>
      </w:r>
      <w:r>
        <w:rPr>
          <w:sz w:val="28"/>
          <w:szCs w:val="28"/>
        </w:rPr>
        <w:t xml:space="preserve"> 单项水质参数i的地下水质标准，mg/L；</w:t>
      </w:r>
    </w:p>
    <w:p>
      <w:pPr>
        <w:tabs>
          <w:tab w:val="left" w:pos="4540"/>
        </w:tabs>
        <w:spacing w:line="520" w:lineRule="exact"/>
        <w:ind w:firstLine="560" w:firstLineChars="200"/>
        <w:rPr>
          <w:sz w:val="28"/>
          <w:szCs w:val="28"/>
        </w:rPr>
      </w:pPr>
      <w:r>
        <w:rPr>
          <w:sz w:val="28"/>
          <w:szCs w:val="28"/>
        </w:rPr>
        <w:t xml:space="preserve">      S</w:t>
      </w:r>
      <w:r>
        <w:rPr>
          <w:sz w:val="28"/>
          <w:szCs w:val="28"/>
          <w:vertAlign w:val="subscript"/>
        </w:rPr>
        <w:t>pH,j</w:t>
      </w:r>
      <w:r>
        <w:rPr>
          <w:sz w:val="28"/>
          <w:szCs w:val="28"/>
        </w:rPr>
        <w:t xml:space="preserve"> </w:t>
      </w:r>
      <w:r>
        <w:rPr>
          <w:sz w:val="28"/>
          <w:szCs w:val="28"/>
        </w:rPr>
        <w:sym w:font="Symbol" w:char="F0BE"/>
      </w:r>
      <w:r>
        <w:rPr>
          <w:sz w:val="28"/>
          <w:szCs w:val="28"/>
        </w:rPr>
        <w:t xml:space="preserve"> pH在第j点的标准指数；</w:t>
      </w:r>
    </w:p>
    <w:p>
      <w:pPr>
        <w:tabs>
          <w:tab w:val="left" w:pos="4540"/>
        </w:tabs>
        <w:spacing w:line="520" w:lineRule="exact"/>
        <w:ind w:firstLine="560" w:firstLineChars="200"/>
        <w:rPr>
          <w:sz w:val="28"/>
          <w:szCs w:val="28"/>
        </w:rPr>
      </w:pPr>
      <w:r>
        <w:rPr>
          <w:sz w:val="28"/>
          <w:szCs w:val="28"/>
        </w:rPr>
        <w:t xml:space="preserve">      pH</w:t>
      </w:r>
      <w:r>
        <w:rPr>
          <w:sz w:val="28"/>
          <w:szCs w:val="28"/>
          <w:vertAlign w:val="subscript"/>
        </w:rPr>
        <w:t>j</w:t>
      </w:r>
      <w:r>
        <w:rPr>
          <w:sz w:val="28"/>
          <w:szCs w:val="28"/>
        </w:rPr>
        <w:t xml:space="preserve"> </w:t>
      </w:r>
      <w:r>
        <w:rPr>
          <w:sz w:val="28"/>
          <w:szCs w:val="28"/>
        </w:rPr>
        <w:sym w:font="Symbol" w:char="F0BE"/>
      </w:r>
      <w:r>
        <w:rPr>
          <w:sz w:val="28"/>
          <w:szCs w:val="28"/>
        </w:rPr>
        <w:t xml:space="preserve"> pH在第j点的监测值；</w:t>
      </w:r>
    </w:p>
    <w:p>
      <w:pPr>
        <w:tabs>
          <w:tab w:val="left" w:pos="4540"/>
        </w:tabs>
        <w:spacing w:line="520" w:lineRule="exact"/>
        <w:ind w:firstLine="560" w:firstLineChars="200"/>
        <w:rPr>
          <w:sz w:val="28"/>
          <w:szCs w:val="28"/>
        </w:rPr>
      </w:pPr>
      <w:r>
        <w:rPr>
          <w:sz w:val="28"/>
          <w:szCs w:val="28"/>
        </w:rPr>
        <w:t xml:space="preserve">      pH</w:t>
      </w:r>
      <w:r>
        <w:rPr>
          <w:sz w:val="28"/>
          <w:szCs w:val="28"/>
          <w:vertAlign w:val="subscript"/>
        </w:rPr>
        <w:t>sd</w:t>
      </w:r>
      <w:r>
        <w:rPr>
          <w:sz w:val="28"/>
          <w:szCs w:val="28"/>
        </w:rPr>
        <w:t xml:space="preserve"> </w:t>
      </w:r>
      <w:r>
        <w:rPr>
          <w:sz w:val="28"/>
          <w:szCs w:val="28"/>
        </w:rPr>
        <w:sym w:font="Symbol" w:char="F0BE"/>
      </w:r>
      <w:r>
        <w:rPr>
          <w:sz w:val="28"/>
          <w:szCs w:val="28"/>
        </w:rPr>
        <w:t xml:space="preserve"> 地下水水质标准中规定的pH值下限；</w:t>
      </w:r>
    </w:p>
    <w:p>
      <w:pPr>
        <w:tabs>
          <w:tab w:val="left" w:pos="4540"/>
        </w:tabs>
        <w:spacing w:line="520" w:lineRule="exact"/>
        <w:ind w:firstLine="560" w:firstLineChars="200"/>
        <w:rPr>
          <w:sz w:val="28"/>
          <w:szCs w:val="28"/>
        </w:rPr>
      </w:pPr>
      <w:r>
        <w:rPr>
          <w:sz w:val="28"/>
          <w:szCs w:val="28"/>
        </w:rPr>
        <w:t xml:space="preserve">      pH</w:t>
      </w:r>
      <w:r>
        <w:rPr>
          <w:sz w:val="28"/>
          <w:szCs w:val="28"/>
          <w:vertAlign w:val="subscript"/>
        </w:rPr>
        <w:t>su</w:t>
      </w:r>
      <w:r>
        <w:rPr>
          <w:sz w:val="28"/>
          <w:szCs w:val="28"/>
        </w:rPr>
        <w:t xml:space="preserve"> </w:t>
      </w:r>
      <w:r>
        <w:rPr>
          <w:sz w:val="28"/>
          <w:szCs w:val="28"/>
        </w:rPr>
        <w:sym w:font="Symbol" w:char="F0BE"/>
      </w:r>
      <w:r>
        <w:rPr>
          <w:sz w:val="28"/>
          <w:szCs w:val="28"/>
        </w:rPr>
        <w:t xml:space="preserve"> 地下水水质标准中规定的pH值上限；</w:t>
      </w:r>
    </w:p>
    <w:p>
      <w:pPr>
        <w:adjustRightInd w:val="0"/>
        <w:snapToGrid w:val="0"/>
        <w:spacing w:line="520" w:lineRule="exact"/>
        <w:ind w:firstLine="560" w:firstLineChars="200"/>
        <w:rPr>
          <w:sz w:val="28"/>
          <w:szCs w:val="28"/>
        </w:rPr>
      </w:pPr>
      <w:r>
        <w:rPr>
          <w:sz w:val="28"/>
          <w:szCs w:val="28"/>
        </w:rPr>
        <w:t>如水质参数的标准指数</w:t>
      </w:r>
      <w:r>
        <w:rPr>
          <w:sz w:val="28"/>
          <w:szCs w:val="28"/>
        </w:rPr>
        <w:sym w:font="Symbol" w:char="F03E"/>
      </w:r>
      <w:r>
        <w:rPr>
          <w:sz w:val="28"/>
          <w:szCs w:val="28"/>
        </w:rPr>
        <w:t>1，表明该水质参数超过了规定的水质标准。水质参数的标准</w:t>
      </w:r>
      <w:r>
        <w:rPr>
          <w:sz w:val="28"/>
          <w:szCs w:val="22"/>
        </w:rPr>
        <w:t>指数</w:t>
      </w:r>
      <w:r>
        <w:rPr>
          <w:sz w:val="28"/>
          <w:szCs w:val="28"/>
        </w:rPr>
        <w:t>越大，说明该水质参数越差。</w:t>
      </w:r>
    </w:p>
    <w:p>
      <w:pPr>
        <w:pStyle w:val="27"/>
        <w:ind w:firstLine="560"/>
      </w:pPr>
      <w:r>
        <w:rPr>
          <w:rFonts w:hint="eastAsia"/>
        </w:rPr>
        <w:t>（2）</w:t>
      </w:r>
      <w:r>
        <w:t>评价标准</w:t>
      </w:r>
    </w:p>
    <w:p>
      <w:pPr>
        <w:pStyle w:val="27"/>
        <w:ind w:firstLine="560"/>
        <w:rPr>
          <w:rFonts w:eastAsia="黑体"/>
          <w:b/>
          <w:sz w:val="24"/>
        </w:rPr>
      </w:pPr>
      <w:r>
        <w:rPr>
          <w:rFonts w:hint="eastAsia"/>
        </w:rPr>
        <w:t>根据濮阳经济技术开发区环境保护局关于本次评价标准的意见，地下水质量现状评价标准为《地下水质量标准》（GB/T14848-93）Ⅲ类。</w:t>
      </w:r>
      <w:r>
        <w:t>详见表4</w:t>
      </w:r>
      <w:r>
        <w:rPr>
          <w:rFonts w:hint="eastAsia"/>
        </w:rPr>
        <w:t>.3</w:t>
      </w:r>
      <w:r>
        <w:t>-</w:t>
      </w:r>
      <w:r>
        <w:rPr>
          <w:rFonts w:hint="eastAsia"/>
        </w:rPr>
        <w:t>24</w:t>
      </w:r>
      <w:r>
        <w:t>。</w:t>
      </w:r>
    </w:p>
    <w:p>
      <w:pPr>
        <w:pStyle w:val="27"/>
        <w:ind w:firstLine="560"/>
      </w:pPr>
      <w:r>
        <w:rPr>
          <w:rFonts w:hint="eastAsia"/>
        </w:rPr>
        <w:t>本项目地下水质量现状评价标准为《地下水质量标准》（</w:t>
      </w:r>
      <w:r>
        <w:t>GB/T 14848-2017</w:t>
      </w:r>
      <w:r>
        <w:rPr>
          <w:rFonts w:hint="eastAsia"/>
        </w:rPr>
        <w:t>）Ⅲ类水</w:t>
      </w:r>
      <w:r>
        <w:t>标准</w:t>
      </w:r>
      <w:r>
        <w:rPr>
          <w:rFonts w:hint="eastAsia"/>
        </w:rPr>
        <w:t>，</w:t>
      </w:r>
      <w:r>
        <w:t>31</w:t>
      </w:r>
      <w:r>
        <w:rPr>
          <w:rFonts w:hint="eastAsia"/>
        </w:rPr>
        <w:t>项检测项目因子中参与评价的因子共</w:t>
      </w:r>
      <w:r>
        <w:t>24</w:t>
      </w:r>
      <w:r>
        <w:rPr>
          <w:rFonts w:hint="eastAsia"/>
        </w:rPr>
        <w:t>项，具体见表4.3</w:t>
      </w:r>
      <w:r>
        <w:noBreakHyphen/>
      </w:r>
      <w:r>
        <w:rPr>
          <w:rFonts w:hint="eastAsia"/>
        </w:rPr>
        <w:t>24。</w:t>
      </w:r>
    </w:p>
    <w:p>
      <w:pPr>
        <w:pStyle w:val="27"/>
        <w:ind w:firstLine="560"/>
      </w:pPr>
    </w:p>
    <w:p>
      <w:pPr>
        <w:pStyle w:val="32"/>
      </w:pPr>
      <w:bookmarkStart w:id="118" w:name="_Ref18246541"/>
      <w:r>
        <w:rPr>
          <w:rFonts w:hint="eastAsia"/>
        </w:rPr>
        <w:t>表</w:t>
      </w:r>
      <w:bookmarkEnd w:id="118"/>
      <w:r>
        <w:rPr>
          <w:rFonts w:hint="eastAsia"/>
        </w:rPr>
        <w:t xml:space="preserve">4.3-24               </w:t>
      </w:r>
      <w:r>
        <w:t xml:space="preserve"> </w:t>
      </w:r>
      <w:r>
        <w:rPr>
          <w:rFonts w:hint="eastAsia"/>
        </w:rPr>
        <w:t>地下水环境质量评价标准</w:t>
      </w:r>
    </w:p>
    <w:tbl>
      <w:tblPr>
        <w:tblStyle w:val="21"/>
        <w:tblW w:w="4998" w:type="pct"/>
        <w:tblInd w:w="0" w:type="dxa"/>
        <w:tblBorders>
          <w:top w:val="single" w:color="auto" w:sz="8" w:space="0"/>
          <w:left w:val="none" w:color="auto" w:sz="0" w:space="0"/>
          <w:bottom w:val="single" w:color="auto" w:sz="8"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84"/>
        <w:gridCol w:w="2758"/>
        <w:gridCol w:w="1527"/>
        <w:gridCol w:w="3178"/>
      </w:tblGrid>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bottom w:val="single" w:color="000000" w:sz="4" w:space="0"/>
              <w:right w:val="single" w:color="000000" w:sz="4" w:space="0"/>
            </w:tcBorders>
            <w:vAlign w:val="center"/>
          </w:tcPr>
          <w:p>
            <w:pPr>
              <w:pStyle w:val="35"/>
              <w:rPr>
                <w:b/>
                <w:bCs/>
              </w:rPr>
            </w:pPr>
            <w:bookmarkStart w:id="119" w:name="bookmark45"/>
            <w:bookmarkEnd w:id="119"/>
            <w:r>
              <w:rPr>
                <w:rFonts w:hint="eastAsia"/>
                <w:b/>
                <w:bCs/>
              </w:rPr>
              <w:t>序号</w:t>
            </w:r>
          </w:p>
        </w:tc>
        <w:tc>
          <w:tcPr>
            <w:tcW w:w="1613"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评价因子</w:t>
            </w:r>
          </w:p>
        </w:tc>
        <w:tc>
          <w:tcPr>
            <w:tcW w:w="893" w:type="pct"/>
            <w:tcBorders>
              <w:left w:val="single" w:color="000000" w:sz="4" w:space="0"/>
              <w:bottom w:val="single" w:color="000000" w:sz="4" w:space="0"/>
              <w:right w:val="single" w:color="000000" w:sz="4" w:space="0"/>
            </w:tcBorders>
            <w:vAlign w:val="center"/>
          </w:tcPr>
          <w:p>
            <w:pPr>
              <w:pStyle w:val="35"/>
              <w:rPr>
                <w:b/>
                <w:bCs/>
              </w:rPr>
            </w:pPr>
            <w:r>
              <w:rPr>
                <w:rFonts w:hint="eastAsia"/>
                <w:b/>
                <w:bCs/>
              </w:rPr>
              <w:t>单位</w:t>
            </w:r>
          </w:p>
        </w:tc>
        <w:tc>
          <w:tcPr>
            <w:tcW w:w="1858" w:type="pct"/>
            <w:tcBorders>
              <w:left w:val="single" w:color="000000" w:sz="4" w:space="0"/>
              <w:bottom w:val="single" w:color="000000" w:sz="4" w:space="0"/>
            </w:tcBorders>
            <w:vAlign w:val="center"/>
          </w:tcPr>
          <w:p>
            <w:pPr>
              <w:pStyle w:val="35"/>
              <w:rPr>
                <w:b/>
                <w:bCs/>
              </w:rPr>
            </w:pPr>
            <w:r>
              <w:rPr>
                <w:b/>
                <w:bCs/>
              </w:rPr>
              <w:t xml:space="preserve">GB/T 14848-2017 </w:t>
            </w:r>
            <w:r>
              <w:rPr>
                <w:rFonts w:hint="eastAsia"/>
                <w:b/>
                <w:bCs/>
              </w:rPr>
              <w:t>Ⅲ类标准值</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氨氮（以N计</w:t>
            </w:r>
            <w:r>
              <w:t>）</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2</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硝酸盐（以N计</w:t>
            </w:r>
            <w:r>
              <w:t>）</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≤20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3</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亚硝酸盐（以N计</w:t>
            </w:r>
            <w:r>
              <w:t>）</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4</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挥发性酚类</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≤0.002</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5</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氰化物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6</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砷</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7</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汞</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8</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铬（六价）</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9</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总硬度（以CaCO</w:t>
            </w:r>
            <w:r>
              <w:rPr>
                <w:rFonts w:hint="eastAsia"/>
                <w:vertAlign w:val="subscript"/>
              </w:rPr>
              <w:t>3</w:t>
            </w:r>
            <w:r>
              <w:rPr>
                <w:rFonts w:hint="eastAsia"/>
              </w:rPr>
              <w:t>计）</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≤450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10</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铅</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11</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氟化物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12</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镉</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≤0.005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13</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铁</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≤0.3</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14</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锰</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≤0.1</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15</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钠</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≤200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16</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溶解性总固体</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≤1000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17</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耗氧量（COD</w:t>
            </w:r>
            <w:r>
              <w:rPr>
                <w:rFonts w:hint="eastAsia"/>
                <w:vertAlign w:val="subscript"/>
              </w:rPr>
              <w:t>Mn</w:t>
            </w:r>
            <w:r>
              <w:rPr>
                <w:rFonts w:hint="eastAsia"/>
              </w:rPr>
              <w:t>法</w:t>
            </w:r>
            <w:r>
              <w:t>）</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≤3</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18</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硫酸盐</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≤250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19</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氯化物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≤250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t>20</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t>pH</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w:t>
            </w:r>
          </w:p>
        </w:tc>
        <w:tc>
          <w:tcPr>
            <w:tcW w:w="1858" w:type="pct"/>
            <w:tcBorders>
              <w:top w:val="single" w:color="000000" w:sz="4" w:space="0"/>
              <w:left w:val="single" w:color="000000" w:sz="4" w:space="0"/>
              <w:bottom w:val="single" w:color="000000" w:sz="4" w:space="0"/>
            </w:tcBorders>
            <w:vAlign w:val="center"/>
          </w:tcPr>
          <w:p>
            <w:pPr>
              <w:pStyle w:val="35"/>
            </w:pPr>
            <w:r>
              <w:t>6.5≤pH≤8.5</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21</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总大肠菌群</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MPN/L</w:t>
            </w:r>
          </w:p>
        </w:tc>
        <w:tc>
          <w:tcPr>
            <w:tcW w:w="1858" w:type="pct"/>
            <w:tcBorders>
              <w:top w:val="single" w:color="000000" w:sz="4" w:space="0"/>
              <w:left w:val="single" w:color="000000" w:sz="4" w:space="0"/>
              <w:bottom w:val="single" w:color="000000" w:sz="4" w:space="0"/>
            </w:tcBorders>
            <w:vAlign w:val="center"/>
          </w:tcPr>
          <w:p>
            <w:pPr>
              <w:pStyle w:val="35"/>
            </w:pPr>
            <w:r>
              <w:t>≤3</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2</w:t>
            </w:r>
            <w:r>
              <w:t>2</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细菌总数</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CFU/ml</w:t>
            </w:r>
          </w:p>
        </w:tc>
        <w:tc>
          <w:tcPr>
            <w:tcW w:w="1858" w:type="pct"/>
            <w:tcBorders>
              <w:top w:val="single" w:color="000000" w:sz="4" w:space="0"/>
              <w:left w:val="single" w:color="000000" w:sz="4" w:space="0"/>
              <w:bottom w:val="single" w:color="000000" w:sz="4" w:space="0"/>
            </w:tcBorders>
            <w:vAlign w:val="center"/>
          </w:tcPr>
          <w:p>
            <w:pPr>
              <w:pStyle w:val="35"/>
            </w:pPr>
            <w:r>
              <w:t>≤100</w:t>
            </w:r>
          </w:p>
        </w:tc>
      </w:tr>
      <w:tr>
        <w:tblPrEx>
          <w:tblBorders>
            <w:top w:val="single" w:color="auto" w:sz="8" w:space="0"/>
            <w:left w:val="none" w:color="auto" w:sz="0" w:space="0"/>
            <w:bottom w:val="single" w:color="auto" w:sz="8" w:space="0"/>
            <w:right w:val="none" w:color="auto" w:sz="0" w:space="0"/>
            <w:insideH w:val="none" w:color="auto" w:sz="4" w:space="0"/>
            <w:insideV w:val="none" w:color="auto" w:sz="4" w:space="0"/>
          </w:tblBorders>
          <w:tblCellMar>
            <w:top w:w="0" w:type="dxa"/>
            <w:left w:w="0" w:type="dxa"/>
            <w:bottom w:w="0" w:type="dxa"/>
            <w:right w:w="0" w:type="dxa"/>
          </w:tblCellMar>
        </w:tblPrEx>
        <w:trPr>
          <w:trHeight w:val="249" w:hRule="atLeast"/>
        </w:trPr>
        <w:tc>
          <w:tcPr>
            <w:tcW w:w="634" w:type="pct"/>
            <w:tcBorders>
              <w:top w:val="single" w:color="000000" w:sz="4" w:space="0"/>
              <w:bottom w:val="single" w:color="000000" w:sz="4" w:space="0"/>
              <w:right w:val="single" w:color="000000" w:sz="4" w:space="0"/>
            </w:tcBorders>
            <w:vAlign w:val="center"/>
          </w:tcPr>
          <w:p>
            <w:pPr>
              <w:pStyle w:val="35"/>
            </w:pPr>
            <w:r>
              <w:rPr>
                <w:rFonts w:hint="eastAsia"/>
              </w:rPr>
              <w:t>2</w:t>
            </w:r>
            <w:r>
              <w:t>3</w:t>
            </w:r>
          </w:p>
        </w:tc>
        <w:tc>
          <w:tcPr>
            <w:tcW w:w="1613" w:type="pct"/>
            <w:tcBorders>
              <w:top w:val="single" w:color="000000" w:sz="4" w:space="0"/>
              <w:left w:val="single" w:color="000000" w:sz="4" w:space="0"/>
              <w:bottom w:val="single" w:color="000000" w:sz="4" w:space="0"/>
              <w:right w:val="single" w:color="000000" w:sz="4" w:space="0"/>
            </w:tcBorders>
            <w:vAlign w:val="center"/>
          </w:tcPr>
          <w:p>
            <w:pPr>
              <w:pStyle w:val="35"/>
            </w:pPr>
            <w:r>
              <w:rPr>
                <w:rFonts w:hint="eastAsia"/>
              </w:rPr>
              <w:t>硫化物</w:t>
            </w:r>
          </w:p>
        </w:tc>
        <w:tc>
          <w:tcPr>
            <w:tcW w:w="893" w:type="pct"/>
            <w:tcBorders>
              <w:top w:val="single" w:color="000000" w:sz="4" w:space="0"/>
              <w:left w:val="single" w:color="000000" w:sz="4" w:space="0"/>
              <w:bottom w:val="single" w:color="000000" w:sz="4" w:space="0"/>
              <w:right w:val="single" w:color="000000" w:sz="4" w:space="0"/>
            </w:tcBorders>
            <w:vAlign w:val="center"/>
          </w:tcPr>
          <w:p>
            <w:pPr>
              <w:pStyle w:val="35"/>
            </w:pPr>
            <w:r>
              <w:t>mg/L</w:t>
            </w:r>
          </w:p>
        </w:tc>
        <w:tc>
          <w:tcPr>
            <w:tcW w:w="1858" w:type="pct"/>
            <w:tcBorders>
              <w:top w:val="single" w:color="000000" w:sz="4" w:space="0"/>
              <w:left w:val="single" w:color="000000" w:sz="4" w:space="0"/>
              <w:bottom w:val="single" w:color="000000" w:sz="4" w:space="0"/>
            </w:tcBorders>
            <w:vAlign w:val="center"/>
          </w:tcPr>
          <w:p>
            <w:pPr>
              <w:pStyle w:val="35"/>
            </w:pPr>
            <w:r>
              <w:t>≤0.02</w:t>
            </w:r>
          </w:p>
        </w:tc>
      </w:tr>
    </w:tbl>
    <w:p>
      <w:pPr>
        <w:pStyle w:val="27"/>
        <w:ind w:firstLine="560"/>
      </w:pPr>
      <w:r>
        <w:rPr>
          <w:rFonts w:hint="eastAsia"/>
        </w:rPr>
        <w:t>（3）地下水化学类型</w:t>
      </w:r>
    </w:p>
    <w:p>
      <w:pPr>
        <w:pStyle w:val="27"/>
        <w:ind w:firstLine="560"/>
      </w:pPr>
      <w:r>
        <w:t>按照舒卡列夫分类方法对地下水样品进行分类，调查评价区内浅层地下水化学类型主要为：</w:t>
      </w:r>
      <w:r>
        <w:rPr>
          <w:rFonts w:hint="eastAsia"/>
        </w:rPr>
        <w:t>HCO</w:t>
      </w:r>
      <w:r>
        <w:rPr>
          <w:rFonts w:hint="eastAsia"/>
          <w:vertAlign w:val="subscript"/>
        </w:rPr>
        <w:t>3</w:t>
      </w:r>
      <w:r>
        <w:rPr>
          <w:rFonts w:hint="eastAsia"/>
        </w:rPr>
        <w:t>—Ca·Mg</w:t>
      </w:r>
      <w:r>
        <w:t>型水、</w:t>
      </w:r>
      <w:r>
        <w:rPr>
          <w:rFonts w:hint="eastAsia"/>
        </w:rPr>
        <w:t>HCO</w:t>
      </w:r>
      <w:r>
        <w:rPr>
          <w:rFonts w:hint="eastAsia"/>
          <w:vertAlign w:val="subscript"/>
        </w:rPr>
        <w:t>3</w:t>
      </w:r>
      <w:r>
        <w:rPr>
          <w:rFonts w:hint="eastAsia"/>
        </w:rPr>
        <w:t>·SO</w:t>
      </w:r>
      <w:r>
        <w:rPr>
          <w:rFonts w:hint="eastAsia"/>
          <w:vertAlign w:val="subscript"/>
        </w:rPr>
        <w:t>4</w:t>
      </w:r>
      <w:r>
        <w:rPr>
          <w:rFonts w:hint="eastAsia"/>
        </w:rPr>
        <w:t>—Mg·Ca</w:t>
      </w:r>
      <w:r>
        <w:t>型水、</w:t>
      </w:r>
      <w:r>
        <w:rPr>
          <w:rFonts w:hint="eastAsia"/>
        </w:rPr>
        <w:t>HCO</w:t>
      </w:r>
      <w:r>
        <w:rPr>
          <w:rFonts w:hint="eastAsia"/>
          <w:vertAlign w:val="subscript"/>
        </w:rPr>
        <w:t>3</w:t>
      </w:r>
      <w:r>
        <w:rPr>
          <w:rFonts w:hint="eastAsia"/>
        </w:rPr>
        <w:t>—Mg·Na·Ca</w:t>
      </w:r>
      <w:r>
        <w:t>型水、</w:t>
      </w:r>
      <w:r>
        <w:rPr>
          <w:rFonts w:hint="eastAsia"/>
        </w:rPr>
        <w:t>Cl·SO</w:t>
      </w:r>
      <w:r>
        <w:rPr>
          <w:rFonts w:hint="eastAsia"/>
          <w:vertAlign w:val="subscript"/>
        </w:rPr>
        <w:t>4</w:t>
      </w:r>
      <w:r>
        <w:rPr>
          <w:rFonts w:hint="eastAsia"/>
        </w:rPr>
        <w:t>—Na·Mg</w:t>
      </w:r>
      <w:r>
        <w:t>型水。从水化学类型来看，调查评价区内浅层地下水阳离子主要为Ca、Mg、</w:t>
      </w:r>
      <w:r>
        <w:rPr>
          <w:rFonts w:hint="eastAsia"/>
        </w:rPr>
        <w:t>Na</w:t>
      </w:r>
      <w:r>
        <w:t>离子，阴离子主要为HCO</w:t>
      </w:r>
      <w:r>
        <w:rPr>
          <w:vertAlign w:val="subscript"/>
        </w:rPr>
        <w:t>3</w:t>
      </w:r>
      <w:r>
        <w:rPr>
          <w:vertAlign w:val="superscript"/>
        </w:rPr>
        <w:t>-</w:t>
      </w:r>
      <w:r>
        <w:t>、Cl</w:t>
      </w:r>
      <w:r>
        <w:rPr>
          <w:rFonts w:hint="eastAsia"/>
          <w:vertAlign w:val="superscript"/>
        </w:rPr>
        <w:t>-</w:t>
      </w:r>
      <w:r>
        <w:t>、</w:t>
      </w:r>
      <w:r>
        <w:rPr>
          <w:rFonts w:hint="eastAsia"/>
        </w:rPr>
        <w:t>SO</w:t>
      </w:r>
      <w:r>
        <w:rPr>
          <w:rFonts w:hint="eastAsia"/>
          <w:vertAlign w:val="subscript"/>
        </w:rPr>
        <w:t>4</w:t>
      </w:r>
      <w:r>
        <w:rPr>
          <w:rFonts w:hint="eastAsia"/>
          <w:vertAlign w:val="superscript"/>
        </w:rPr>
        <w:t>2-</w:t>
      </w:r>
      <w:r>
        <w:t>离子。</w:t>
      </w:r>
    </w:p>
    <w:p>
      <w:pPr>
        <w:pStyle w:val="32"/>
      </w:pPr>
      <w:r>
        <w:rPr>
          <w:rFonts w:hint="eastAsia"/>
        </w:rPr>
        <w:t>表4.3-25          地下水水质现状水化学类型表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1"/>
        <w:gridCol w:w="665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jc w:val="center"/>
        </w:trPr>
        <w:tc>
          <w:tcPr>
            <w:tcW w:w="1204" w:type="pct"/>
            <w:vAlign w:val="center"/>
          </w:tcPr>
          <w:p>
            <w:pPr>
              <w:pStyle w:val="35"/>
              <w:rPr>
                <w:b/>
                <w:bCs/>
              </w:rPr>
            </w:pPr>
            <w:r>
              <w:rPr>
                <w:b/>
                <w:bCs/>
              </w:rPr>
              <w:t>编号</w:t>
            </w:r>
          </w:p>
        </w:tc>
        <w:tc>
          <w:tcPr>
            <w:tcW w:w="3795" w:type="pct"/>
            <w:vAlign w:val="center"/>
          </w:tcPr>
          <w:p>
            <w:pPr>
              <w:pStyle w:val="35"/>
              <w:rPr>
                <w:b/>
                <w:bCs/>
              </w:rPr>
            </w:pPr>
            <w:r>
              <w:rPr>
                <w:b/>
                <w:bCs/>
              </w:rPr>
              <w:t>水化学类型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sy1</w:t>
            </w:r>
          </w:p>
        </w:tc>
        <w:tc>
          <w:tcPr>
            <w:tcW w:w="3795" w:type="pct"/>
            <w:vAlign w:val="center"/>
          </w:tcPr>
          <w:p>
            <w:pPr>
              <w:pStyle w:val="35"/>
            </w:pPr>
            <w:r>
              <w:rPr>
                <w:rFonts w:hint="eastAsia"/>
              </w:rPr>
              <w:t>HCO</w:t>
            </w:r>
            <w:r>
              <w:rPr>
                <w:rFonts w:hint="eastAsia"/>
                <w:vertAlign w:val="subscript"/>
              </w:rPr>
              <w:t>3</w:t>
            </w:r>
            <w:r>
              <w:rPr>
                <w:rFonts w:hint="eastAsia"/>
              </w:rPr>
              <w:t>—Mg·Na·Ca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sy2</w:t>
            </w:r>
          </w:p>
        </w:tc>
        <w:tc>
          <w:tcPr>
            <w:tcW w:w="3795" w:type="pct"/>
            <w:vAlign w:val="center"/>
          </w:tcPr>
          <w:p>
            <w:pPr>
              <w:pStyle w:val="35"/>
            </w:pPr>
            <w:r>
              <w:rPr>
                <w:rFonts w:hint="eastAsia"/>
              </w:rPr>
              <w:t>HCO</w:t>
            </w:r>
            <w:r>
              <w:rPr>
                <w:rFonts w:hint="eastAsia"/>
                <w:vertAlign w:val="subscript"/>
              </w:rPr>
              <w:t>3</w:t>
            </w:r>
            <w:r>
              <w:rPr>
                <w:rFonts w:hint="eastAsia"/>
              </w:rPr>
              <w:t>·SO</w:t>
            </w:r>
            <w:r>
              <w:rPr>
                <w:rFonts w:hint="eastAsia"/>
                <w:vertAlign w:val="subscript"/>
              </w:rPr>
              <w:t>4</w:t>
            </w:r>
            <w:r>
              <w:rPr>
                <w:rFonts w:hint="eastAsia"/>
              </w:rPr>
              <w:t>—Mg·Ca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sy3</w:t>
            </w:r>
          </w:p>
        </w:tc>
        <w:tc>
          <w:tcPr>
            <w:tcW w:w="3795" w:type="pct"/>
            <w:vAlign w:val="center"/>
          </w:tcPr>
          <w:p>
            <w:pPr>
              <w:pStyle w:val="35"/>
            </w:pPr>
            <w:r>
              <w:rPr>
                <w:rFonts w:hint="eastAsia"/>
              </w:rPr>
              <w:t>HCO</w:t>
            </w:r>
            <w:r>
              <w:rPr>
                <w:rFonts w:hint="eastAsia"/>
                <w:vertAlign w:val="subscript"/>
              </w:rPr>
              <w:t>3</w:t>
            </w:r>
            <w:r>
              <w:rPr>
                <w:rFonts w:hint="eastAsia"/>
              </w:rPr>
              <w:t>·SO</w:t>
            </w:r>
            <w:r>
              <w:rPr>
                <w:rFonts w:hint="eastAsia"/>
                <w:vertAlign w:val="subscript"/>
              </w:rPr>
              <w:t>4</w:t>
            </w:r>
            <w:r>
              <w:rPr>
                <w:rFonts w:hint="eastAsia"/>
              </w:rPr>
              <w:t>—Ca·Mg</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sy4</w:t>
            </w:r>
          </w:p>
        </w:tc>
        <w:tc>
          <w:tcPr>
            <w:tcW w:w="3795" w:type="pct"/>
            <w:vAlign w:val="center"/>
          </w:tcPr>
          <w:p>
            <w:pPr>
              <w:pStyle w:val="35"/>
            </w:pPr>
            <w:r>
              <w:rPr>
                <w:rFonts w:hint="eastAsia"/>
              </w:rPr>
              <w:t>HCO</w:t>
            </w:r>
            <w:r>
              <w:rPr>
                <w:rFonts w:hint="eastAsia"/>
                <w:vertAlign w:val="subscript"/>
              </w:rPr>
              <w:t>3</w:t>
            </w:r>
            <w:r>
              <w:rPr>
                <w:rFonts w:hint="eastAsia"/>
              </w:rPr>
              <w:t>—Ca·Mg</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sy5</w:t>
            </w:r>
          </w:p>
        </w:tc>
        <w:tc>
          <w:tcPr>
            <w:tcW w:w="3795" w:type="pct"/>
            <w:vAlign w:val="center"/>
          </w:tcPr>
          <w:p>
            <w:pPr>
              <w:pStyle w:val="35"/>
            </w:pPr>
            <w:r>
              <w:rPr>
                <w:rFonts w:hint="eastAsia"/>
              </w:rPr>
              <w:t>HCO</w:t>
            </w:r>
            <w:r>
              <w:rPr>
                <w:rFonts w:hint="eastAsia"/>
                <w:vertAlign w:val="subscript"/>
              </w:rPr>
              <w:t>3</w:t>
            </w:r>
            <w:r>
              <w:rPr>
                <w:rFonts w:hint="eastAsia"/>
              </w:rPr>
              <w:t>—Mg·Ca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sy6</w:t>
            </w:r>
          </w:p>
        </w:tc>
        <w:tc>
          <w:tcPr>
            <w:tcW w:w="3795" w:type="pct"/>
            <w:vAlign w:val="center"/>
          </w:tcPr>
          <w:p>
            <w:pPr>
              <w:pStyle w:val="35"/>
            </w:pPr>
            <w:r>
              <w:rPr>
                <w:rFonts w:hint="eastAsia"/>
              </w:rPr>
              <w:t>HCO</w:t>
            </w:r>
            <w:r>
              <w:rPr>
                <w:rFonts w:hint="eastAsia"/>
                <w:vertAlign w:val="subscript"/>
              </w:rPr>
              <w:t>3</w:t>
            </w:r>
            <w:r>
              <w:rPr>
                <w:rFonts w:hint="eastAsia"/>
              </w:rPr>
              <w:t>—Mg·Ca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04" w:type="pct"/>
            <w:vAlign w:val="bottom"/>
          </w:tcPr>
          <w:p>
            <w:pPr>
              <w:pStyle w:val="35"/>
            </w:pPr>
            <w:r>
              <w:rPr>
                <w:rFonts w:hint="eastAsia"/>
              </w:rPr>
              <w:t>sy7</w:t>
            </w:r>
          </w:p>
        </w:tc>
        <w:tc>
          <w:tcPr>
            <w:tcW w:w="3795" w:type="pct"/>
            <w:vAlign w:val="center"/>
          </w:tcPr>
          <w:p>
            <w:pPr>
              <w:pStyle w:val="35"/>
            </w:pPr>
            <w:r>
              <w:rPr>
                <w:rFonts w:hint="eastAsia"/>
              </w:rPr>
              <w:t>Cl·SO</w:t>
            </w:r>
            <w:r>
              <w:rPr>
                <w:rFonts w:hint="eastAsia"/>
                <w:vertAlign w:val="subscript"/>
              </w:rPr>
              <w:t>4</w:t>
            </w:r>
            <w:r>
              <w:rPr>
                <w:rFonts w:hint="eastAsia"/>
              </w:rPr>
              <w:t>—Na·Mg</w:t>
            </w:r>
          </w:p>
        </w:tc>
      </w:tr>
    </w:tbl>
    <w:p>
      <w:pPr>
        <w:pStyle w:val="27"/>
        <w:ind w:firstLine="560"/>
      </w:pPr>
    </w:p>
    <w:p>
      <w:pPr>
        <w:pStyle w:val="27"/>
        <w:ind w:firstLine="560"/>
      </w:pPr>
      <w:r>
        <w:rPr>
          <w:rFonts w:hint="eastAsia"/>
        </w:rPr>
        <w:t>（4）</w:t>
      </w:r>
      <w:r>
        <w:t>评价结果</w:t>
      </w:r>
    </w:p>
    <w:p>
      <w:pPr>
        <w:pStyle w:val="27"/>
        <w:ind w:firstLine="560"/>
      </w:pPr>
      <w:r>
        <w:t>2020年3月地下水质量现状监测结果见</w:t>
      </w:r>
      <w:r>
        <w:rPr>
          <w:rFonts w:hint="eastAsia"/>
        </w:rPr>
        <w:t>表4.3</w:t>
      </w:r>
      <w:r>
        <w:noBreakHyphen/>
      </w:r>
      <w:r>
        <w:rPr>
          <w:rFonts w:hint="eastAsia"/>
        </w:rPr>
        <w:t>26</w:t>
      </w:r>
      <w:r>
        <w:t>。</w:t>
      </w:r>
    </w:p>
    <w:p>
      <w:pPr>
        <w:pStyle w:val="27"/>
        <w:ind w:firstLine="560"/>
      </w:pPr>
    </w:p>
    <w:p>
      <w:pPr>
        <w:pStyle w:val="27"/>
        <w:ind w:firstLine="560"/>
      </w:pPr>
    </w:p>
    <w:p>
      <w:pPr>
        <w:pStyle w:val="27"/>
        <w:ind w:firstLine="560"/>
        <w:sectPr>
          <w:pgSz w:w="11910" w:h="16840"/>
          <w:pgMar w:top="1380" w:right="1680" w:bottom="1240" w:left="1680" w:header="850" w:footer="850" w:gutter="0"/>
          <w:cols w:space="720" w:num="1"/>
          <w:docGrid w:linePitch="326" w:charSpace="0"/>
        </w:sectPr>
      </w:pPr>
    </w:p>
    <w:p>
      <w:pPr>
        <w:pStyle w:val="32"/>
      </w:pPr>
      <w:bookmarkStart w:id="120" w:name="_Ref18693673"/>
      <w:r>
        <w:rPr>
          <w:rFonts w:hint="eastAsia"/>
        </w:rPr>
        <w:t>表4.3</w:t>
      </w:r>
      <w:r>
        <w:noBreakHyphen/>
      </w:r>
      <w:bookmarkEnd w:id="120"/>
      <w:r>
        <w:rPr>
          <w:rFonts w:hint="eastAsia"/>
        </w:rPr>
        <w:t xml:space="preserve">26                            </w:t>
      </w:r>
      <w:r>
        <w:t>2020</w:t>
      </w:r>
      <w:r>
        <w:rPr>
          <w:rFonts w:hint="eastAsia"/>
        </w:rPr>
        <w:t>年</w:t>
      </w:r>
      <w:r>
        <w:t>3</w:t>
      </w:r>
      <w:r>
        <w:rPr>
          <w:rFonts w:hint="eastAsia"/>
        </w:rPr>
        <w:t xml:space="preserve">月地下水质量现状监测结果表 </w:t>
      </w:r>
      <w:r>
        <w:t xml:space="preserve">     </w:t>
      </w:r>
      <w:r>
        <w:rPr>
          <w:rFonts w:hint="eastAsia"/>
        </w:rPr>
        <w:t xml:space="preserve">               </w:t>
      </w:r>
      <w:r>
        <w:t xml:space="preserve">        单位：mg/L</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91"/>
        <w:gridCol w:w="980"/>
        <w:gridCol w:w="983"/>
        <w:gridCol w:w="875"/>
        <w:gridCol w:w="875"/>
        <w:gridCol w:w="875"/>
        <w:gridCol w:w="875"/>
        <w:gridCol w:w="875"/>
        <w:gridCol w:w="849"/>
        <w:gridCol w:w="849"/>
        <w:gridCol w:w="795"/>
        <w:gridCol w:w="850"/>
        <w:gridCol w:w="85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295" w:type="pct"/>
            <w:tcBorders>
              <w:tl2br w:val="single" w:color="auto" w:sz="4" w:space="0"/>
            </w:tcBorders>
            <w:shd w:val="clear" w:color="auto" w:fill="auto"/>
            <w:noWrap/>
            <w:vAlign w:val="center"/>
          </w:tcPr>
          <w:p>
            <w:pPr>
              <w:pStyle w:val="35"/>
              <w:rPr>
                <w:b/>
                <w:bCs/>
              </w:rPr>
            </w:pPr>
            <w:r>
              <w:rPr>
                <w:rFonts w:hint="eastAsia"/>
                <w:b/>
                <w:bCs/>
              </w:rPr>
              <w:t xml:space="preserve">                         样品</w:t>
            </w:r>
            <w:r>
              <w:rPr>
                <w:b/>
                <w:bCs/>
              </w:rPr>
              <w:t>编号</w:t>
            </w:r>
          </w:p>
          <w:p>
            <w:pPr>
              <w:pStyle w:val="35"/>
              <w:jc w:val="both"/>
              <w:rPr>
                <w:b/>
                <w:bCs/>
              </w:rPr>
            </w:pPr>
            <w:r>
              <w:rPr>
                <w:rFonts w:hint="eastAsia"/>
                <w:b/>
                <w:bCs/>
              </w:rPr>
              <w:t>测试</w:t>
            </w:r>
            <w:r>
              <w:rPr>
                <w:b/>
                <w:bCs/>
              </w:rPr>
              <w:t>项目</w:t>
            </w:r>
          </w:p>
        </w:tc>
        <w:tc>
          <w:tcPr>
            <w:tcW w:w="344" w:type="pct"/>
            <w:shd w:val="clear" w:color="auto" w:fill="auto"/>
            <w:noWrap/>
            <w:vAlign w:val="center"/>
          </w:tcPr>
          <w:p>
            <w:pPr>
              <w:pStyle w:val="35"/>
              <w:rPr>
                <w:b/>
                <w:bCs/>
              </w:rPr>
            </w:pPr>
            <w:r>
              <w:rPr>
                <w:b/>
                <w:bCs/>
              </w:rPr>
              <w:t>SY1</w:t>
            </w:r>
          </w:p>
        </w:tc>
        <w:tc>
          <w:tcPr>
            <w:tcW w:w="345" w:type="pct"/>
            <w:shd w:val="clear" w:color="auto" w:fill="auto"/>
            <w:noWrap/>
            <w:vAlign w:val="center"/>
          </w:tcPr>
          <w:p>
            <w:pPr>
              <w:pStyle w:val="35"/>
              <w:rPr>
                <w:b/>
                <w:bCs/>
              </w:rPr>
            </w:pPr>
            <w:r>
              <w:rPr>
                <w:b/>
                <w:bCs/>
              </w:rPr>
              <w:t>SY2</w:t>
            </w:r>
          </w:p>
        </w:tc>
        <w:tc>
          <w:tcPr>
            <w:tcW w:w="307" w:type="pct"/>
            <w:shd w:val="clear" w:color="auto" w:fill="auto"/>
            <w:noWrap/>
            <w:vAlign w:val="center"/>
          </w:tcPr>
          <w:p>
            <w:pPr>
              <w:pStyle w:val="35"/>
              <w:rPr>
                <w:b/>
                <w:bCs/>
              </w:rPr>
            </w:pPr>
            <w:r>
              <w:rPr>
                <w:b/>
                <w:bCs/>
              </w:rPr>
              <w:t>SY3</w:t>
            </w:r>
          </w:p>
        </w:tc>
        <w:tc>
          <w:tcPr>
            <w:tcW w:w="307" w:type="pct"/>
            <w:shd w:val="clear" w:color="auto" w:fill="auto"/>
            <w:noWrap/>
            <w:vAlign w:val="center"/>
          </w:tcPr>
          <w:p>
            <w:pPr>
              <w:pStyle w:val="35"/>
              <w:rPr>
                <w:b/>
                <w:bCs/>
              </w:rPr>
            </w:pPr>
            <w:r>
              <w:rPr>
                <w:b/>
                <w:bCs/>
              </w:rPr>
              <w:t>SY4</w:t>
            </w:r>
          </w:p>
        </w:tc>
        <w:tc>
          <w:tcPr>
            <w:tcW w:w="307" w:type="pct"/>
            <w:shd w:val="clear" w:color="auto" w:fill="auto"/>
            <w:noWrap/>
            <w:vAlign w:val="center"/>
          </w:tcPr>
          <w:p>
            <w:pPr>
              <w:pStyle w:val="35"/>
              <w:rPr>
                <w:b/>
                <w:bCs/>
              </w:rPr>
            </w:pPr>
            <w:r>
              <w:rPr>
                <w:b/>
                <w:bCs/>
              </w:rPr>
              <w:t>SY5</w:t>
            </w:r>
          </w:p>
        </w:tc>
        <w:tc>
          <w:tcPr>
            <w:tcW w:w="307" w:type="pct"/>
            <w:shd w:val="clear" w:color="auto" w:fill="auto"/>
            <w:noWrap/>
            <w:vAlign w:val="center"/>
          </w:tcPr>
          <w:p>
            <w:pPr>
              <w:pStyle w:val="35"/>
              <w:rPr>
                <w:b/>
                <w:bCs/>
              </w:rPr>
            </w:pPr>
            <w:r>
              <w:rPr>
                <w:b/>
                <w:bCs/>
              </w:rPr>
              <w:t>SY6</w:t>
            </w:r>
          </w:p>
        </w:tc>
        <w:tc>
          <w:tcPr>
            <w:tcW w:w="307" w:type="pct"/>
            <w:shd w:val="clear" w:color="auto" w:fill="auto"/>
            <w:noWrap/>
            <w:vAlign w:val="center"/>
          </w:tcPr>
          <w:p>
            <w:pPr>
              <w:pStyle w:val="35"/>
              <w:rPr>
                <w:b/>
                <w:bCs/>
              </w:rPr>
            </w:pPr>
            <w:r>
              <w:rPr>
                <w:b/>
                <w:bCs/>
              </w:rPr>
              <w:t>SY7</w:t>
            </w:r>
          </w:p>
        </w:tc>
        <w:tc>
          <w:tcPr>
            <w:tcW w:w="298" w:type="pct"/>
            <w:shd w:val="clear" w:color="auto" w:fill="auto"/>
            <w:noWrap/>
            <w:vAlign w:val="center"/>
          </w:tcPr>
          <w:p>
            <w:pPr>
              <w:pStyle w:val="35"/>
              <w:rPr>
                <w:b/>
                <w:bCs/>
              </w:rPr>
            </w:pPr>
            <w:r>
              <w:rPr>
                <w:b/>
                <w:bCs/>
              </w:rPr>
              <w:t>最大值</w:t>
            </w:r>
          </w:p>
        </w:tc>
        <w:tc>
          <w:tcPr>
            <w:tcW w:w="298" w:type="pct"/>
            <w:shd w:val="clear" w:color="auto" w:fill="auto"/>
            <w:noWrap/>
            <w:vAlign w:val="center"/>
          </w:tcPr>
          <w:p>
            <w:pPr>
              <w:pStyle w:val="35"/>
              <w:rPr>
                <w:b/>
                <w:bCs/>
              </w:rPr>
            </w:pPr>
            <w:r>
              <w:rPr>
                <w:b/>
                <w:bCs/>
              </w:rPr>
              <w:t>最小值</w:t>
            </w:r>
          </w:p>
        </w:tc>
        <w:tc>
          <w:tcPr>
            <w:tcW w:w="279" w:type="pct"/>
            <w:shd w:val="clear" w:color="auto" w:fill="auto"/>
            <w:noWrap/>
            <w:vAlign w:val="center"/>
          </w:tcPr>
          <w:p>
            <w:pPr>
              <w:pStyle w:val="35"/>
              <w:rPr>
                <w:b/>
                <w:bCs/>
              </w:rPr>
            </w:pPr>
            <w:r>
              <w:rPr>
                <w:b/>
                <w:bCs/>
              </w:rPr>
              <w:t>均值</w:t>
            </w:r>
          </w:p>
        </w:tc>
        <w:tc>
          <w:tcPr>
            <w:tcW w:w="298" w:type="pct"/>
            <w:shd w:val="clear" w:color="auto" w:fill="auto"/>
            <w:noWrap/>
            <w:vAlign w:val="center"/>
          </w:tcPr>
          <w:p>
            <w:pPr>
              <w:pStyle w:val="35"/>
              <w:rPr>
                <w:b/>
                <w:bCs/>
              </w:rPr>
            </w:pPr>
            <w:r>
              <w:rPr>
                <w:b/>
                <w:bCs/>
              </w:rPr>
              <w:t>标准差</w:t>
            </w:r>
          </w:p>
        </w:tc>
        <w:tc>
          <w:tcPr>
            <w:tcW w:w="298" w:type="pct"/>
            <w:shd w:val="clear" w:color="auto" w:fill="auto"/>
            <w:noWrap/>
            <w:vAlign w:val="center"/>
          </w:tcPr>
          <w:p>
            <w:pPr>
              <w:pStyle w:val="35"/>
              <w:rPr>
                <w:b/>
                <w:bCs/>
              </w:rPr>
            </w:pPr>
            <w:r>
              <w:rPr>
                <w:b/>
                <w:bCs/>
              </w:rPr>
              <w:t>检出率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钾</w:t>
            </w:r>
          </w:p>
        </w:tc>
        <w:tc>
          <w:tcPr>
            <w:tcW w:w="344" w:type="pct"/>
            <w:shd w:val="clear" w:color="auto" w:fill="auto"/>
            <w:noWrap/>
            <w:vAlign w:val="center"/>
          </w:tcPr>
          <w:p>
            <w:pPr>
              <w:pStyle w:val="35"/>
            </w:pPr>
            <w:r>
              <w:rPr>
                <w:rFonts w:hint="eastAsia"/>
              </w:rPr>
              <w:t>0.41</w:t>
            </w:r>
          </w:p>
        </w:tc>
        <w:tc>
          <w:tcPr>
            <w:tcW w:w="345" w:type="pct"/>
            <w:shd w:val="clear" w:color="auto" w:fill="auto"/>
            <w:noWrap/>
            <w:vAlign w:val="center"/>
          </w:tcPr>
          <w:p>
            <w:pPr>
              <w:pStyle w:val="35"/>
            </w:pPr>
            <w:r>
              <w:rPr>
                <w:rFonts w:hint="eastAsia"/>
              </w:rPr>
              <w:t>0.98</w:t>
            </w:r>
          </w:p>
        </w:tc>
        <w:tc>
          <w:tcPr>
            <w:tcW w:w="307" w:type="pct"/>
            <w:shd w:val="clear" w:color="auto" w:fill="auto"/>
            <w:noWrap/>
            <w:vAlign w:val="center"/>
          </w:tcPr>
          <w:p>
            <w:pPr>
              <w:pStyle w:val="35"/>
            </w:pPr>
            <w:r>
              <w:rPr>
                <w:rFonts w:hint="eastAsia"/>
              </w:rPr>
              <w:t>1.1</w:t>
            </w:r>
          </w:p>
        </w:tc>
        <w:tc>
          <w:tcPr>
            <w:tcW w:w="307" w:type="pct"/>
            <w:shd w:val="clear" w:color="auto" w:fill="auto"/>
            <w:noWrap/>
            <w:vAlign w:val="center"/>
          </w:tcPr>
          <w:p>
            <w:pPr>
              <w:pStyle w:val="35"/>
            </w:pPr>
            <w:r>
              <w:rPr>
                <w:rFonts w:hint="eastAsia"/>
              </w:rPr>
              <w:t>0.84</w:t>
            </w:r>
          </w:p>
        </w:tc>
        <w:tc>
          <w:tcPr>
            <w:tcW w:w="307" w:type="pct"/>
            <w:shd w:val="clear" w:color="auto" w:fill="auto"/>
            <w:noWrap/>
            <w:vAlign w:val="center"/>
          </w:tcPr>
          <w:p>
            <w:pPr>
              <w:pStyle w:val="35"/>
            </w:pPr>
            <w:r>
              <w:rPr>
                <w:rFonts w:hint="eastAsia"/>
              </w:rPr>
              <w:t>0.8</w:t>
            </w:r>
          </w:p>
        </w:tc>
        <w:tc>
          <w:tcPr>
            <w:tcW w:w="307" w:type="pct"/>
            <w:shd w:val="clear" w:color="auto" w:fill="auto"/>
            <w:noWrap/>
            <w:vAlign w:val="center"/>
          </w:tcPr>
          <w:p>
            <w:pPr>
              <w:pStyle w:val="35"/>
            </w:pPr>
            <w:r>
              <w:rPr>
                <w:rFonts w:hint="eastAsia"/>
              </w:rPr>
              <w:t>0.88</w:t>
            </w:r>
          </w:p>
        </w:tc>
        <w:tc>
          <w:tcPr>
            <w:tcW w:w="307" w:type="pct"/>
            <w:shd w:val="clear" w:color="auto" w:fill="auto"/>
            <w:noWrap/>
            <w:vAlign w:val="center"/>
          </w:tcPr>
          <w:p>
            <w:pPr>
              <w:pStyle w:val="35"/>
            </w:pPr>
            <w:r>
              <w:rPr>
                <w:rFonts w:hint="eastAsia"/>
              </w:rPr>
              <w:t>1.3</w:t>
            </w:r>
          </w:p>
        </w:tc>
        <w:tc>
          <w:tcPr>
            <w:tcW w:w="298" w:type="pct"/>
            <w:shd w:val="clear" w:color="auto" w:fill="auto"/>
            <w:noWrap/>
            <w:vAlign w:val="center"/>
          </w:tcPr>
          <w:p>
            <w:pPr>
              <w:pStyle w:val="35"/>
            </w:pPr>
            <w:r>
              <w:rPr>
                <w:rFonts w:hint="eastAsia"/>
              </w:rPr>
              <w:t>1.3</w:t>
            </w:r>
          </w:p>
        </w:tc>
        <w:tc>
          <w:tcPr>
            <w:tcW w:w="298" w:type="pct"/>
            <w:shd w:val="clear" w:color="auto" w:fill="auto"/>
            <w:noWrap/>
            <w:vAlign w:val="center"/>
          </w:tcPr>
          <w:p>
            <w:pPr>
              <w:pStyle w:val="35"/>
            </w:pPr>
            <w:r>
              <w:rPr>
                <w:rFonts w:hint="eastAsia"/>
              </w:rPr>
              <w:t>0.41</w:t>
            </w:r>
          </w:p>
        </w:tc>
        <w:tc>
          <w:tcPr>
            <w:tcW w:w="279" w:type="pct"/>
            <w:shd w:val="clear" w:color="auto" w:fill="auto"/>
            <w:noWrap/>
            <w:vAlign w:val="center"/>
          </w:tcPr>
          <w:p>
            <w:pPr>
              <w:pStyle w:val="35"/>
            </w:pPr>
            <w:r>
              <w:rPr>
                <w:rFonts w:hint="eastAsia"/>
              </w:rPr>
              <w:t>0.90</w:t>
            </w:r>
          </w:p>
        </w:tc>
        <w:tc>
          <w:tcPr>
            <w:tcW w:w="298" w:type="pct"/>
            <w:shd w:val="clear" w:color="auto" w:fill="auto"/>
            <w:noWrap/>
            <w:vAlign w:val="center"/>
          </w:tcPr>
          <w:p>
            <w:pPr>
              <w:pStyle w:val="35"/>
            </w:pPr>
            <w:r>
              <w:rPr>
                <w:rFonts w:hint="eastAsia"/>
              </w:rPr>
              <w:t>0.28</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钠</w:t>
            </w:r>
          </w:p>
        </w:tc>
        <w:tc>
          <w:tcPr>
            <w:tcW w:w="344" w:type="pct"/>
            <w:shd w:val="clear" w:color="auto" w:fill="auto"/>
            <w:noWrap/>
            <w:vAlign w:val="center"/>
          </w:tcPr>
          <w:p>
            <w:pPr>
              <w:pStyle w:val="35"/>
            </w:pPr>
            <w:r>
              <w:rPr>
                <w:rFonts w:hint="eastAsia"/>
              </w:rPr>
              <w:t>29.9</w:t>
            </w:r>
          </w:p>
        </w:tc>
        <w:tc>
          <w:tcPr>
            <w:tcW w:w="345" w:type="pct"/>
            <w:shd w:val="clear" w:color="auto" w:fill="auto"/>
            <w:noWrap/>
            <w:vAlign w:val="center"/>
          </w:tcPr>
          <w:p>
            <w:pPr>
              <w:pStyle w:val="35"/>
            </w:pPr>
            <w:r>
              <w:rPr>
                <w:rFonts w:hint="eastAsia"/>
              </w:rPr>
              <w:t>41.7</w:t>
            </w:r>
          </w:p>
        </w:tc>
        <w:tc>
          <w:tcPr>
            <w:tcW w:w="307" w:type="pct"/>
            <w:shd w:val="clear" w:color="auto" w:fill="auto"/>
            <w:noWrap/>
            <w:vAlign w:val="center"/>
          </w:tcPr>
          <w:p>
            <w:pPr>
              <w:pStyle w:val="35"/>
            </w:pPr>
            <w:r>
              <w:rPr>
                <w:rFonts w:hint="eastAsia"/>
              </w:rPr>
              <w:t>40.3</w:t>
            </w:r>
          </w:p>
        </w:tc>
        <w:tc>
          <w:tcPr>
            <w:tcW w:w="307" w:type="pct"/>
            <w:shd w:val="clear" w:color="auto" w:fill="auto"/>
            <w:noWrap/>
            <w:vAlign w:val="center"/>
          </w:tcPr>
          <w:p>
            <w:pPr>
              <w:pStyle w:val="35"/>
            </w:pPr>
            <w:r>
              <w:rPr>
                <w:rFonts w:hint="eastAsia"/>
              </w:rPr>
              <w:t>34.2</w:t>
            </w:r>
          </w:p>
        </w:tc>
        <w:tc>
          <w:tcPr>
            <w:tcW w:w="307" w:type="pct"/>
            <w:shd w:val="clear" w:color="auto" w:fill="auto"/>
            <w:noWrap/>
            <w:vAlign w:val="center"/>
          </w:tcPr>
          <w:p>
            <w:pPr>
              <w:pStyle w:val="35"/>
            </w:pPr>
            <w:r>
              <w:rPr>
                <w:rFonts w:hint="eastAsia"/>
              </w:rPr>
              <w:t>29.7</w:t>
            </w:r>
          </w:p>
        </w:tc>
        <w:tc>
          <w:tcPr>
            <w:tcW w:w="307" w:type="pct"/>
            <w:shd w:val="clear" w:color="auto" w:fill="auto"/>
            <w:noWrap/>
            <w:vAlign w:val="center"/>
          </w:tcPr>
          <w:p>
            <w:pPr>
              <w:pStyle w:val="35"/>
            </w:pPr>
            <w:r>
              <w:rPr>
                <w:rFonts w:hint="eastAsia"/>
              </w:rPr>
              <w:t>30.3</w:t>
            </w:r>
          </w:p>
        </w:tc>
        <w:tc>
          <w:tcPr>
            <w:tcW w:w="307" w:type="pct"/>
            <w:shd w:val="clear" w:color="auto" w:fill="auto"/>
            <w:noWrap/>
            <w:vAlign w:val="center"/>
          </w:tcPr>
          <w:p>
            <w:pPr>
              <w:pStyle w:val="35"/>
            </w:pPr>
            <w:r>
              <w:rPr>
                <w:rFonts w:hint="eastAsia"/>
              </w:rPr>
              <w:t>41.7</w:t>
            </w:r>
          </w:p>
        </w:tc>
        <w:tc>
          <w:tcPr>
            <w:tcW w:w="298" w:type="pct"/>
            <w:shd w:val="clear" w:color="auto" w:fill="auto"/>
            <w:noWrap/>
            <w:vAlign w:val="center"/>
          </w:tcPr>
          <w:p>
            <w:pPr>
              <w:pStyle w:val="35"/>
            </w:pPr>
            <w:r>
              <w:rPr>
                <w:rFonts w:hint="eastAsia"/>
              </w:rPr>
              <w:t>41.7</w:t>
            </w:r>
          </w:p>
        </w:tc>
        <w:tc>
          <w:tcPr>
            <w:tcW w:w="298" w:type="pct"/>
            <w:shd w:val="clear" w:color="auto" w:fill="auto"/>
            <w:noWrap/>
            <w:vAlign w:val="center"/>
          </w:tcPr>
          <w:p>
            <w:pPr>
              <w:pStyle w:val="35"/>
            </w:pPr>
            <w:r>
              <w:rPr>
                <w:rFonts w:hint="eastAsia"/>
              </w:rPr>
              <w:t>29.7</w:t>
            </w:r>
          </w:p>
        </w:tc>
        <w:tc>
          <w:tcPr>
            <w:tcW w:w="279" w:type="pct"/>
            <w:shd w:val="clear" w:color="auto" w:fill="auto"/>
            <w:noWrap/>
            <w:vAlign w:val="center"/>
          </w:tcPr>
          <w:p>
            <w:pPr>
              <w:pStyle w:val="35"/>
            </w:pPr>
            <w:r>
              <w:rPr>
                <w:rFonts w:hint="eastAsia"/>
              </w:rPr>
              <w:t>35.40</w:t>
            </w:r>
          </w:p>
        </w:tc>
        <w:tc>
          <w:tcPr>
            <w:tcW w:w="298" w:type="pct"/>
            <w:shd w:val="clear" w:color="auto" w:fill="auto"/>
            <w:noWrap/>
            <w:vAlign w:val="center"/>
          </w:tcPr>
          <w:p>
            <w:pPr>
              <w:pStyle w:val="35"/>
            </w:pPr>
            <w:r>
              <w:rPr>
                <w:rFonts w:hint="eastAsia"/>
              </w:rPr>
              <w:t>5.68</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钙</w:t>
            </w:r>
          </w:p>
        </w:tc>
        <w:tc>
          <w:tcPr>
            <w:tcW w:w="344" w:type="pct"/>
            <w:shd w:val="clear" w:color="auto" w:fill="auto"/>
            <w:noWrap/>
            <w:vAlign w:val="center"/>
          </w:tcPr>
          <w:p>
            <w:pPr>
              <w:pStyle w:val="35"/>
            </w:pPr>
            <w:r>
              <w:rPr>
                <w:rFonts w:hint="eastAsia"/>
              </w:rPr>
              <w:t>26.1</w:t>
            </w:r>
          </w:p>
        </w:tc>
        <w:tc>
          <w:tcPr>
            <w:tcW w:w="345" w:type="pct"/>
            <w:shd w:val="clear" w:color="auto" w:fill="auto"/>
            <w:noWrap/>
            <w:vAlign w:val="center"/>
          </w:tcPr>
          <w:p>
            <w:pPr>
              <w:pStyle w:val="35"/>
            </w:pPr>
            <w:r>
              <w:rPr>
                <w:rFonts w:hint="eastAsia"/>
              </w:rPr>
              <w:t>71.2</w:t>
            </w:r>
          </w:p>
        </w:tc>
        <w:tc>
          <w:tcPr>
            <w:tcW w:w="307" w:type="pct"/>
            <w:shd w:val="clear" w:color="auto" w:fill="auto"/>
            <w:noWrap/>
            <w:vAlign w:val="center"/>
          </w:tcPr>
          <w:p>
            <w:pPr>
              <w:pStyle w:val="35"/>
            </w:pPr>
            <w:r>
              <w:rPr>
                <w:rFonts w:hint="eastAsia"/>
              </w:rPr>
              <w:t>68.2</w:t>
            </w:r>
          </w:p>
        </w:tc>
        <w:tc>
          <w:tcPr>
            <w:tcW w:w="307" w:type="pct"/>
            <w:shd w:val="clear" w:color="auto" w:fill="auto"/>
            <w:noWrap/>
            <w:vAlign w:val="center"/>
          </w:tcPr>
          <w:p>
            <w:pPr>
              <w:pStyle w:val="35"/>
            </w:pPr>
            <w:r>
              <w:rPr>
                <w:rFonts w:hint="eastAsia"/>
              </w:rPr>
              <w:t>55.7</w:t>
            </w:r>
          </w:p>
        </w:tc>
        <w:tc>
          <w:tcPr>
            <w:tcW w:w="307" w:type="pct"/>
            <w:shd w:val="clear" w:color="auto" w:fill="auto"/>
            <w:noWrap/>
            <w:vAlign w:val="center"/>
          </w:tcPr>
          <w:p>
            <w:pPr>
              <w:pStyle w:val="35"/>
            </w:pPr>
            <w:r>
              <w:rPr>
                <w:rFonts w:hint="eastAsia"/>
              </w:rPr>
              <w:t>40.9</w:t>
            </w:r>
          </w:p>
        </w:tc>
        <w:tc>
          <w:tcPr>
            <w:tcW w:w="307" w:type="pct"/>
            <w:shd w:val="clear" w:color="auto" w:fill="auto"/>
            <w:noWrap/>
            <w:vAlign w:val="center"/>
          </w:tcPr>
          <w:p>
            <w:pPr>
              <w:pStyle w:val="35"/>
            </w:pPr>
            <w:r>
              <w:rPr>
                <w:rFonts w:hint="eastAsia"/>
              </w:rPr>
              <w:t>43.6</w:t>
            </w:r>
          </w:p>
        </w:tc>
        <w:tc>
          <w:tcPr>
            <w:tcW w:w="307" w:type="pct"/>
            <w:shd w:val="clear" w:color="auto" w:fill="auto"/>
            <w:noWrap/>
            <w:vAlign w:val="center"/>
          </w:tcPr>
          <w:p>
            <w:pPr>
              <w:pStyle w:val="35"/>
            </w:pPr>
            <w:r>
              <w:rPr>
                <w:rFonts w:hint="eastAsia"/>
              </w:rPr>
              <w:t>17.5</w:t>
            </w:r>
          </w:p>
        </w:tc>
        <w:tc>
          <w:tcPr>
            <w:tcW w:w="298" w:type="pct"/>
            <w:shd w:val="clear" w:color="auto" w:fill="auto"/>
            <w:noWrap/>
            <w:vAlign w:val="center"/>
          </w:tcPr>
          <w:p>
            <w:pPr>
              <w:pStyle w:val="35"/>
            </w:pPr>
            <w:r>
              <w:rPr>
                <w:rFonts w:hint="eastAsia"/>
              </w:rPr>
              <w:t>71.2</w:t>
            </w:r>
          </w:p>
        </w:tc>
        <w:tc>
          <w:tcPr>
            <w:tcW w:w="298" w:type="pct"/>
            <w:shd w:val="clear" w:color="auto" w:fill="auto"/>
            <w:noWrap/>
            <w:vAlign w:val="center"/>
          </w:tcPr>
          <w:p>
            <w:pPr>
              <w:pStyle w:val="35"/>
            </w:pPr>
            <w:r>
              <w:rPr>
                <w:rFonts w:hint="eastAsia"/>
              </w:rPr>
              <w:t>17.5</w:t>
            </w:r>
          </w:p>
        </w:tc>
        <w:tc>
          <w:tcPr>
            <w:tcW w:w="279" w:type="pct"/>
            <w:shd w:val="clear" w:color="auto" w:fill="auto"/>
            <w:noWrap/>
            <w:vAlign w:val="center"/>
          </w:tcPr>
          <w:p>
            <w:pPr>
              <w:pStyle w:val="35"/>
            </w:pPr>
            <w:r>
              <w:rPr>
                <w:rFonts w:hint="eastAsia"/>
              </w:rPr>
              <w:t>46.17</w:t>
            </w:r>
          </w:p>
        </w:tc>
        <w:tc>
          <w:tcPr>
            <w:tcW w:w="298" w:type="pct"/>
            <w:shd w:val="clear" w:color="auto" w:fill="auto"/>
            <w:noWrap/>
            <w:vAlign w:val="center"/>
          </w:tcPr>
          <w:p>
            <w:pPr>
              <w:pStyle w:val="35"/>
            </w:pPr>
            <w:r>
              <w:rPr>
                <w:rFonts w:hint="eastAsia"/>
              </w:rPr>
              <w:t>20.26</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镁</w:t>
            </w:r>
          </w:p>
        </w:tc>
        <w:tc>
          <w:tcPr>
            <w:tcW w:w="344" w:type="pct"/>
            <w:shd w:val="clear" w:color="auto" w:fill="auto"/>
            <w:noWrap/>
            <w:vAlign w:val="center"/>
          </w:tcPr>
          <w:p>
            <w:pPr>
              <w:pStyle w:val="35"/>
            </w:pPr>
            <w:r>
              <w:rPr>
                <w:rFonts w:hint="eastAsia"/>
              </w:rPr>
              <w:t>30.6</w:t>
            </w:r>
          </w:p>
        </w:tc>
        <w:tc>
          <w:tcPr>
            <w:tcW w:w="345" w:type="pct"/>
            <w:shd w:val="clear" w:color="auto" w:fill="auto"/>
            <w:noWrap/>
            <w:vAlign w:val="center"/>
          </w:tcPr>
          <w:p>
            <w:pPr>
              <w:pStyle w:val="35"/>
            </w:pPr>
            <w:r>
              <w:rPr>
                <w:rFonts w:hint="eastAsia"/>
              </w:rPr>
              <w:t>52.4</w:t>
            </w:r>
          </w:p>
        </w:tc>
        <w:tc>
          <w:tcPr>
            <w:tcW w:w="307" w:type="pct"/>
            <w:shd w:val="clear" w:color="auto" w:fill="auto"/>
            <w:noWrap/>
            <w:vAlign w:val="center"/>
          </w:tcPr>
          <w:p>
            <w:pPr>
              <w:pStyle w:val="35"/>
            </w:pPr>
            <w:r>
              <w:rPr>
                <w:rFonts w:hint="eastAsia"/>
              </w:rPr>
              <w:t>39.7</w:t>
            </w:r>
          </w:p>
        </w:tc>
        <w:tc>
          <w:tcPr>
            <w:tcW w:w="307" w:type="pct"/>
            <w:shd w:val="clear" w:color="auto" w:fill="auto"/>
            <w:noWrap/>
            <w:vAlign w:val="center"/>
          </w:tcPr>
          <w:p>
            <w:pPr>
              <w:pStyle w:val="35"/>
            </w:pPr>
            <w:r>
              <w:rPr>
                <w:rFonts w:hint="eastAsia"/>
              </w:rPr>
              <w:t>32.7</w:t>
            </w:r>
          </w:p>
        </w:tc>
        <w:tc>
          <w:tcPr>
            <w:tcW w:w="307" w:type="pct"/>
            <w:shd w:val="clear" w:color="auto" w:fill="auto"/>
            <w:noWrap/>
            <w:vAlign w:val="center"/>
          </w:tcPr>
          <w:p>
            <w:pPr>
              <w:pStyle w:val="35"/>
            </w:pPr>
            <w:r>
              <w:rPr>
                <w:rFonts w:hint="eastAsia"/>
              </w:rPr>
              <w:t>27</w:t>
            </w:r>
          </w:p>
        </w:tc>
        <w:tc>
          <w:tcPr>
            <w:tcW w:w="307" w:type="pct"/>
            <w:shd w:val="clear" w:color="auto" w:fill="auto"/>
            <w:noWrap/>
            <w:vAlign w:val="center"/>
          </w:tcPr>
          <w:p>
            <w:pPr>
              <w:pStyle w:val="35"/>
            </w:pPr>
            <w:r>
              <w:rPr>
                <w:rFonts w:hint="eastAsia"/>
              </w:rPr>
              <w:t>32.4</w:t>
            </w:r>
          </w:p>
        </w:tc>
        <w:tc>
          <w:tcPr>
            <w:tcW w:w="307" w:type="pct"/>
            <w:shd w:val="clear" w:color="auto" w:fill="auto"/>
            <w:noWrap/>
            <w:vAlign w:val="center"/>
          </w:tcPr>
          <w:p>
            <w:pPr>
              <w:pStyle w:val="35"/>
            </w:pPr>
            <w:r>
              <w:rPr>
                <w:rFonts w:hint="eastAsia"/>
              </w:rPr>
              <w:t>15</w:t>
            </w:r>
          </w:p>
        </w:tc>
        <w:tc>
          <w:tcPr>
            <w:tcW w:w="298" w:type="pct"/>
            <w:shd w:val="clear" w:color="auto" w:fill="auto"/>
            <w:noWrap/>
            <w:vAlign w:val="center"/>
          </w:tcPr>
          <w:p>
            <w:pPr>
              <w:pStyle w:val="35"/>
            </w:pPr>
            <w:r>
              <w:rPr>
                <w:rFonts w:hint="eastAsia"/>
              </w:rPr>
              <w:t>52.4</w:t>
            </w:r>
          </w:p>
        </w:tc>
        <w:tc>
          <w:tcPr>
            <w:tcW w:w="298" w:type="pct"/>
            <w:shd w:val="clear" w:color="auto" w:fill="auto"/>
            <w:noWrap/>
            <w:vAlign w:val="center"/>
          </w:tcPr>
          <w:p>
            <w:pPr>
              <w:pStyle w:val="35"/>
            </w:pPr>
            <w:r>
              <w:rPr>
                <w:rFonts w:hint="eastAsia"/>
              </w:rPr>
              <w:t>15</w:t>
            </w:r>
          </w:p>
        </w:tc>
        <w:tc>
          <w:tcPr>
            <w:tcW w:w="279" w:type="pct"/>
            <w:shd w:val="clear" w:color="auto" w:fill="auto"/>
            <w:noWrap/>
            <w:vAlign w:val="center"/>
          </w:tcPr>
          <w:p>
            <w:pPr>
              <w:pStyle w:val="35"/>
            </w:pPr>
            <w:r>
              <w:rPr>
                <w:rFonts w:hint="eastAsia"/>
              </w:rPr>
              <w:t>32.83</w:t>
            </w:r>
          </w:p>
        </w:tc>
        <w:tc>
          <w:tcPr>
            <w:tcW w:w="298" w:type="pct"/>
            <w:shd w:val="clear" w:color="auto" w:fill="auto"/>
            <w:noWrap/>
            <w:vAlign w:val="center"/>
          </w:tcPr>
          <w:p>
            <w:pPr>
              <w:pStyle w:val="35"/>
            </w:pPr>
            <w:r>
              <w:rPr>
                <w:rFonts w:hint="eastAsia"/>
              </w:rPr>
              <w:t>11.45</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镉/（μg/L）</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铅/（μg/L）</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铁/（μg/L）</w:t>
            </w:r>
          </w:p>
        </w:tc>
        <w:tc>
          <w:tcPr>
            <w:tcW w:w="344" w:type="pct"/>
            <w:shd w:val="clear" w:color="auto" w:fill="auto"/>
            <w:noWrap/>
            <w:vAlign w:val="center"/>
          </w:tcPr>
          <w:p>
            <w:pPr>
              <w:pStyle w:val="35"/>
            </w:pPr>
            <w:r>
              <w:rPr>
                <w:rFonts w:hint="eastAsia"/>
              </w:rPr>
              <w:t>47.8</w:t>
            </w:r>
          </w:p>
        </w:tc>
        <w:tc>
          <w:tcPr>
            <w:tcW w:w="345" w:type="pct"/>
            <w:shd w:val="clear" w:color="auto" w:fill="auto"/>
            <w:noWrap/>
            <w:vAlign w:val="center"/>
          </w:tcPr>
          <w:p>
            <w:pPr>
              <w:pStyle w:val="35"/>
            </w:pPr>
            <w:r>
              <w:rPr>
                <w:rFonts w:hint="eastAsia"/>
              </w:rPr>
              <w:t>67.2</w:t>
            </w:r>
          </w:p>
        </w:tc>
        <w:tc>
          <w:tcPr>
            <w:tcW w:w="307" w:type="pct"/>
            <w:shd w:val="clear" w:color="auto" w:fill="auto"/>
            <w:noWrap/>
            <w:vAlign w:val="center"/>
          </w:tcPr>
          <w:p>
            <w:pPr>
              <w:pStyle w:val="35"/>
            </w:pPr>
            <w:r>
              <w:rPr>
                <w:rFonts w:hint="eastAsia"/>
              </w:rPr>
              <w:t>49.3</w:t>
            </w:r>
          </w:p>
        </w:tc>
        <w:tc>
          <w:tcPr>
            <w:tcW w:w="307" w:type="pct"/>
            <w:shd w:val="clear" w:color="auto" w:fill="auto"/>
            <w:noWrap/>
            <w:vAlign w:val="center"/>
          </w:tcPr>
          <w:p>
            <w:pPr>
              <w:pStyle w:val="35"/>
            </w:pPr>
            <w:r>
              <w:rPr>
                <w:rFonts w:hint="eastAsia"/>
              </w:rPr>
              <w:t>40.6</w:t>
            </w:r>
          </w:p>
        </w:tc>
        <w:tc>
          <w:tcPr>
            <w:tcW w:w="307" w:type="pct"/>
            <w:shd w:val="clear" w:color="auto" w:fill="auto"/>
            <w:noWrap/>
            <w:vAlign w:val="center"/>
          </w:tcPr>
          <w:p>
            <w:pPr>
              <w:pStyle w:val="35"/>
            </w:pPr>
            <w:r>
              <w:rPr>
                <w:rFonts w:hint="eastAsia"/>
              </w:rPr>
              <w:t>34.3</w:t>
            </w:r>
          </w:p>
        </w:tc>
        <w:tc>
          <w:tcPr>
            <w:tcW w:w="307" w:type="pct"/>
            <w:shd w:val="clear" w:color="auto" w:fill="auto"/>
            <w:noWrap/>
            <w:vAlign w:val="center"/>
          </w:tcPr>
          <w:p>
            <w:pPr>
              <w:pStyle w:val="35"/>
            </w:pPr>
            <w:r>
              <w:rPr>
                <w:rFonts w:hint="eastAsia"/>
              </w:rPr>
              <w:t>44.7</w:t>
            </w:r>
          </w:p>
        </w:tc>
        <w:tc>
          <w:tcPr>
            <w:tcW w:w="307" w:type="pct"/>
            <w:shd w:val="clear" w:color="auto" w:fill="auto"/>
            <w:noWrap/>
            <w:vAlign w:val="center"/>
          </w:tcPr>
          <w:p>
            <w:pPr>
              <w:pStyle w:val="35"/>
            </w:pPr>
            <w:r>
              <w:rPr>
                <w:rFonts w:hint="eastAsia"/>
              </w:rPr>
              <w:t>55.4</w:t>
            </w:r>
          </w:p>
        </w:tc>
        <w:tc>
          <w:tcPr>
            <w:tcW w:w="298" w:type="pct"/>
            <w:shd w:val="clear" w:color="auto" w:fill="auto"/>
            <w:noWrap/>
            <w:vAlign w:val="center"/>
          </w:tcPr>
          <w:p>
            <w:pPr>
              <w:pStyle w:val="35"/>
            </w:pPr>
            <w:r>
              <w:rPr>
                <w:rFonts w:hint="eastAsia"/>
              </w:rPr>
              <w:t>67.2</w:t>
            </w:r>
          </w:p>
        </w:tc>
        <w:tc>
          <w:tcPr>
            <w:tcW w:w="298" w:type="pct"/>
            <w:shd w:val="clear" w:color="auto" w:fill="auto"/>
            <w:noWrap/>
            <w:vAlign w:val="center"/>
          </w:tcPr>
          <w:p>
            <w:pPr>
              <w:pStyle w:val="35"/>
            </w:pPr>
            <w:r>
              <w:rPr>
                <w:rFonts w:hint="eastAsia"/>
              </w:rPr>
              <w:t>34.3</w:t>
            </w:r>
          </w:p>
        </w:tc>
        <w:tc>
          <w:tcPr>
            <w:tcW w:w="279" w:type="pct"/>
            <w:shd w:val="clear" w:color="auto" w:fill="auto"/>
            <w:noWrap/>
            <w:vAlign w:val="center"/>
          </w:tcPr>
          <w:p>
            <w:pPr>
              <w:pStyle w:val="35"/>
            </w:pPr>
            <w:r>
              <w:rPr>
                <w:rFonts w:hint="eastAsia"/>
              </w:rPr>
              <w:t>48.47</w:t>
            </w:r>
          </w:p>
        </w:tc>
        <w:tc>
          <w:tcPr>
            <w:tcW w:w="298" w:type="pct"/>
            <w:shd w:val="clear" w:color="auto" w:fill="auto"/>
            <w:noWrap/>
            <w:vAlign w:val="center"/>
          </w:tcPr>
          <w:p>
            <w:pPr>
              <w:pStyle w:val="35"/>
            </w:pPr>
            <w:r>
              <w:rPr>
                <w:rFonts w:hint="eastAsia"/>
              </w:rPr>
              <w:t>10.62</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锰/（μg/L）</w:t>
            </w:r>
          </w:p>
        </w:tc>
        <w:tc>
          <w:tcPr>
            <w:tcW w:w="344" w:type="pct"/>
            <w:shd w:val="clear" w:color="auto" w:fill="auto"/>
            <w:noWrap/>
            <w:vAlign w:val="center"/>
          </w:tcPr>
          <w:p>
            <w:pPr>
              <w:pStyle w:val="35"/>
            </w:pPr>
            <w:r>
              <w:rPr>
                <w:rFonts w:hint="eastAsia"/>
              </w:rPr>
              <w:t>136</w:t>
            </w:r>
          </w:p>
        </w:tc>
        <w:tc>
          <w:tcPr>
            <w:tcW w:w="345" w:type="pct"/>
            <w:shd w:val="clear" w:color="auto" w:fill="auto"/>
            <w:noWrap/>
            <w:vAlign w:val="center"/>
          </w:tcPr>
          <w:p>
            <w:pPr>
              <w:pStyle w:val="35"/>
            </w:pPr>
            <w:r>
              <w:rPr>
                <w:rFonts w:hint="eastAsia"/>
              </w:rPr>
              <w:t>325</w:t>
            </w:r>
          </w:p>
        </w:tc>
        <w:tc>
          <w:tcPr>
            <w:tcW w:w="307" w:type="pct"/>
            <w:shd w:val="clear" w:color="auto" w:fill="auto"/>
            <w:noWrap/>
            <w:vAlign w:val="center"/>
          </w:tcPr>
          <w:p>
            <w:pPr>
              <w:pStyle w:val="35"/>
            </w:pPr>
            <w:r>
              <w:rPr>
                <w:rFonts w:hint="eastAsia"/>
              </w:rPr>
              <w:t>146</w:t>
            </w:r>
          </w:p>
        </w:tc>
        <w:tc>
          <w:tcPr>
            <w:tcW w:w="307" w:type="pct"/>
            <w:shd w:val="clear" w:color="auto" w:fill="auto"/>
            <w:noWrap/>
            <w:vAlign w:val="center"/>
          </w:tcPr>
          <w:p>
            <w:pPr>
              <w:pStyle w:val="35"/>
            </w:pPr>
            <w:r>
              <w:rPr>
                <w:rFonts w:hint="eastAsia"/>
              </w:rPr>
              <w:t>174</w:t>
            </w:r>
          </w:p>
        </w:tc>
        <w:tc>
          <w:tcPr>
            <w:tcW w:w="307" w:type="pct"/>
            <w:shd w:val="clear" w:color="auto" w:fill="auto"/>
            <w:noWrap/>
            <w:vAlign w:val="center"/>
          </w:tcPr>
          <w:p>
            <w:pPr>
              <w:pStyle w:val="35"/>
            </w:pPr>
            <w:r>
              <w:rPr>
                <w:rFonts w:hint="eastAsia"/>
              </w:rPr>
              <w:t>281</w:t>
            </w:r>
          </w:p>
        </w:tc>
        <w:tc>
          <w:tcPr>
            <w:tcW w:w="307" w:type="pct"/>
            <w:shd w:val="clear" w:color="auto" w:fill="auto"/>
            <w:noWrap/>
            <w:vAlign w:val="center"/>
          </w:tcPr>
          <w:p>
            <w:pPr>
              <w:pStyle w:val="35"/>
            </w:pPr>
            <w:r>
              <w:rPr>
                <w:rFonts w:hint="eastAsia"/>
              </w:rPr>
              <w:t>258</w:t>
            </w:r>
          </w:p>
        </w:tc>
        <w:tc>
          <w:tcPr>
            <w:tcW w:w="307" w:type="pct"/>
            <w:shd w:val="clear" w:color="auto" w:fill="auto"/>
            <w:noWrap/>
            <w:vAlign w:val="center"/>
          </w:tcPr>
          <w:p>
            <w:pPr>
              <w:pStyle w:val="35"/>
            </w:pPr>
            <w:r>
              <w:rPr>
                <w:rFonts w:hint="eastAsia"/>
              </w:rPr>
              <w:t>12.3</w:t>
            </w:r>
          </w:p>
        </w:tc>
        <w:tc>
          <w:tcPr>
            <w:tcW w:w="298" w:type="pct"/>
            <w:shd w:val="clear" w:color="auto" w:fill="auto"/>
            <w:noWrap/>
            <w:vAlign w:val="center"/>
          </w:tcPr>
          <w:p>
            <w:pPr>
              <w:pStyle w:val="35"/>
            </w:pPr>
            <w:r>
              <w:rPr>
                <w:rFonts w:hint="eastAsia"/>
              </w:rPr>
              <w:t>325</w:t>
            </w:r>
          </w:p>
        </w:tc>
        <w:tc>
          <w:tcPr>
            <w:tcW w:w="298" w:type="pct"/>
            <w:shd w:val="clear" w:color="auto" w:fill="auto"/>
            <w:noWrap/>
            <w:vAlign w:val="center"/>
          </w:tcPr>
          <w:p>
            <w:pPr>
              <w:pStyle w:val="35"/>
            </w:pPr>
            <w:r>
              <w:rPr>
                <w:rFonts w:hint="eastAsia"/>
              </w:rPr>
              <w:t>12.3</w:t>
            </w:r>
          </w:p>
        </w:tc>
        <w:tc>
          <w:tcPr>
            <w:tcW w:w="279" w:type="pct"/>
            <w:shd w:val="clear" w:color="auto" w:fill="auto"/>
            <w:noWrap/>
            <w:vAlign w:val="center"/>
          </w:tcPr>
          <w:p>
            <w:pPr>
              <w:pStyle w:val="35"/>
            </w:pPr>
            <w:r>
              <w:rPr>
                <w:rFonts w:hint="eastAsia"/>
              </w:rPr>
              <w:t>190.33</w:t>
            </w:r>
          </w:p>
        </w:tc>
        <w:tc>
          <w:tcPr>
            <w:tcW w:w="298" w:type="pct"/>
            <w:shd w:val="clear" w:color="auto" w:fill="auto"/>
            <w:noWrap/>
            <w:vAlign w:val="center"/>
          </w:tcPr>
          <w:p>
            <w:pPr>
              <w:pStyle w:val="35"/>
            </w:pPr>
            <w:r>
              <w:rPr>
                <w:rFonts w:hint="eastAsia"/>
              </w:rPr>
              <w:t>106.31</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砷/（μg/L）</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t>汞/（μg/L）</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六价铬</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碳酸盐</w:t>
            </w:r>
          </w:p>
        </w:tc>
        <w:tc>
          <w:tcPr>
            <w:tcW w:w="344" w:type="pct"/>
            <w:shd w:val="clear" w:color="auto" w:fill="auto"/>
            <w:noWrap/>
            <w:vAlign w:val="center"/>
          </w:tcPr>
          <w:p>
            <w:pPr>
              <w:pStyle w:val="35"/>
            </w:pPr>
            <w:r>
              <w:rPr>
                <w:rFonts w:hint="eastAsia"/>
              </w:rPr>
              <w:t>0</w:t>
            </w:r>
          </w:p>
        </w:tc>
        <w:tc>
          <w:tcPr>
            <w:tcW w:w="345" w:type="pct"/>
            <w:shd w:val="clear" w:color="auto" w:fill="auto"/>
            <w:noWrap/>
            <w:vAlign w:val="center"/>
          </w:tcPr>
          <w:p>
            <w:pPr>
              <w:pStyle w:val="35"/>
            </w:pPr>
            <w:r>
              <w:rPr>
                <w:rFonts w:hint="eastAsia"/>
              </w:rPr>
              <w:t>0</w:t>
            </w:r>
          </w:p>
        </w:tc>
        <w:tc>
          <w:tcPr>
            <w:tcW w:w="307" w:type="pct"/>
            <w:shd w:val="clear" w:color="auto" w:fill="auto"/>
            <w:noWrap/>
            <w:vAlign w:val="center"/>
          </w:tcPr>
          <w:p>
            <w:pPr>
              <w:pStyle w:val="35"/>
            </w:pPr>
            <w:r>
              <w:rPr>
                <w:rFonts w:hint="eastAsia"/>
              </w:rPr>
              <w:t>0</w:t>
            </w:r>
          </w:p>
        </w:tc>
        <w:tc>
          <w:tcPr>
            <w:tcW w:w="307" w:type="pct"/>
            <w:shd w:val="clear" w:color="auto" w:fill="auto"/>
            <w:noWrap/>
            <w:vAlign w:val="center"/>
          </w:tcPr>
          <w:p>
            <w:pPr>
              <w:pStyle w:val="35"/>
            </w:pPr>
            <w:r>
              <w:rPr>
                <w:rFonts w:hint="eastAsia"/>
              </w:rPr>
              <w:t>0</w:t>
            </w:r>
          </w:p>
        </w:tc>
        <w:tc>
          <w:tcPr>
            <w:tcW w:w="307" w:type="pct"/>
            <w:shd w:val="clear" w:color="auto" w:fill="auto"/>
            <w:noWrap/>
            <w:vAlign w:val="center"/>
          </w:tcPr>
          <w:p>
            <w:pPr>
              <w:pStyle w:val="35"/>
            </w:pPr>
            <w:r>
              <w:rPr>
                <w:rFonts w:hint="eastAsia"/>
              </w:rPr>
              <w:t>0</w:t>
            </w:r>
          </w:p>
        </w:tc>
        <w:tc>
          <w:tcPr>
            <w:tcW w:w="307" w:type="pct"/>
            <w:shd w:val="clear" w:color="auto" w:fill="auto"/>
            <w:noWrap/>
            <w:vAlign w:val="center"/>
          </w:tcPr>
          <w:p>
            <w:pPr>
              <w:pStyle w:val="35"/>
            </w:pPr>
            <w:r>
              <w:rPr>
                <w:rFonts w:hint="eastAsia"/>
              </w:rPr>
              <w:t>0</w:t>
            </w:r>
          </w:p>
        </w:tc>
        <w:tc>
          <w:tcPr>
            <w:tcW w:w="307"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重碳酸盐</w:t>
            </w:r>
          </w:p>
        </w:tc>
        <w:tc>
          <w:tcPr>
            <w:tcW w:w="344" w:type="pct"/>
            <w:shd w:val="clear" w:color="auto" w:fill="auto"/>
            <w:noWrap/>
            <w:vAlign w:val="center"/>
          </w:tcPr>
          <w:p>
            <w:pPr>
              <w:pStyle w:val="35"/>
            </w:pPr>
            <w:r>
              <w:rPr>
                <w:rFonts w:hint="eastAsia"/>
              </w:rPr>
              <w:t>368</w:t>
            </w:r>
          </w:p>
        </w:tc>
        <w:tc>
          <w:tcPr>
            <w:tcW w:w="345" w:type="pct"/>
            <w:shd w:val="clear" w:color="auto" w:fill="auto"/>
            <w:noWrap/>
            <w:vAlign w:val="center"/>
          </w:tcPr>
          <w:p>
            <w:pPr>
              <w:pStyle w:val="35"/>
            </w:pPr>
            <w:r>
              <w:rPr>
                <w:rFonts w:hint="eastAsia"/>
              </w:rPr>
              <w:t>562</w:t>
            </w:r>
          </w:p>
        </w:tc>
        <w:tc>
          <w:tcPr>
            <w:tcW w:w="307" w:type="pct"/>
            <w:shd w:val="clear" w:color="auto" w:fill="auto"/>
            <w:noWrap/>
            <w:vAlign w:val="center"/>
          </w:tcPr>
          <w:p>
            <w:pPr>
              <w:pStyle w:val="35"/>
            </w:pPr>
            <w:r>
              <w:rPr>
                <w:rFonts w:hint="eastAsia"/>
              </w:rPr>
              <w:t>428</w:t>
            </w:r>
          </w:p>
        </w:tc>
        <w:tc>
          <w:tcPr>
            <w:tcW w:w="307" w:type="pct"/>
            <w:shd w:val="clear" w:color="auto" w:fill="auto"/>
            <w:noWrap/>
            <w:vAlign w:val="center"/>
          </w:tcPr>
          <w:p>
            <w:pPr>
              <w:pStyle w:val="35"/>
            </w:pPr>
            <w:r>
              <w:rPr>
                <w:rFonts w:hint="eastAsia"/>
              </w:rPr>
              <w:t>450</w:t>
            </w:r>
          </w:p>
        </w:tc>
        <w:tc>
          <w:tcPr>
            <w:tcW w:w="307" w:type="pct"/>
            <w:shd w:val="clear" w:color="auto" w:fill="auto"/>
            <w:noWrap/>
            <w:vAlign w:val="center"/>
          </w:tcPr>
          <w:p>
            <w:pPr>
              <w:pStyle w:val="35"/>
            </w:pPr>
            <w:r>
              <w:rPr>
                <w:rFonts w:hint="eastAsia"/>
              </w:rPr>
              <w:t>412</w:t>
            </w:r>
          </w:p>
        </w:tc>
        <w:tc>
          <w:tcPr>
            <w:tcW w:w="307" w:type="pct"/>
            <w:shd w:val="clear" w:color="auto" w:fill="auto"/>
            <w:noWrap/>
            <w:vAlign w:val="center"/>
          </w:tcPr>
          <w:p>
            <w:pPr>
              <w:pStyle w:val="35"/>
            </w:pPr>
            <w:r>
              <w:rPr>
                <w:rFonts w:hint="eastAsia"/>
              </w:rPr>
              <w:t>471</w:t>
            </w:r>
          </w:p>
        </w:tc>
        <w:tc>
          <w:tcPr>
            <w:tcW w:w="307" w:type="pct"/>
            <w:shd w:val="clear" w:color="auto" w:fill="auto"/>
            <w:noWrap/>
            <w:vAlign w:val="center"/>
          </w:tcPr>
          <w:p>
            <w:pPr>
              <w:pStyle w:val="35"/>
            </w:pPr>
            <w:r>
              <w:rPr>
                <w:rFonts w:hint="eastAsia"/>
              </w:rPr>
              <w:t>199</w:t>
            </w:r>
          </w:p>
        </w:tc>
        <w:tc>
          <w:tcPr>
            <w:tcW w:w="298" w:type="pct"/>
            <w:shd w:val="clear" w:color="auto" w:fill="auto"/>
            <w:noWrap/>
            <w:vAlign w:val="center"/>
          </w:tcPr>
          <w:p>
            <w:pPr>
              <w:pStyle w:val="35"/>
            </w:pPr>
            <w:r>
              <w:rPr>
                <w:rFonts w:hint="eastAsia"/>
              </w:rPr>
              <w:t>562</w:t>
            </w:r>
          </w:p>
        </w:tc>
        <w:tc>
          <w:tcPr>
            <w:tcW w:w="298" w:type="pct"/>
            <w:shd w:val="clear" w:color="auto" w:fill="auto"/>
            <w:noWrap/>
            <w:vAlign w:val="center"/>
          </w:tcPr>
          <w:p>
            <w:pPr>
              <w:pStyle w:val="35"/>
            </w:pPr>
            <w:r>
              <w:rPr>
                <w:rFonts w:hint="eastAsia"/>
              </w:rPr>
              <w:t>199</w:t>
            </w:r>
          </w:p>
        </w:tc>
        <w:tc>
          <w:tcPr>
            <w:tcW w:w="279" w:type="pct"/>
            <w:shd w:val="clear" w:color="auto" w:fill="auto"/>
            <w:noWrap/>
            <w:vAlign w:val="center"/>
          </w:tcPr>
          <w:p>
            <w:pPr>
              <w:pStyle w:val="35"/>
            </w:pPr>
            <w:r>
              <w:rPr>
                <w:rFonts w:hint="eastAsia"/>
              </w:rPr>
              <w:t>412.86</w:t>
            </w:r>
          </w:p>
        </w:tc>
        <w:tc>
          <w:tcPr>
            <w:tcW w:w="298" w:type="pct"/>
            <w:shd w:val="clear" w:color="auto" w:fill="auto"/>
            <w:noWrap/>
            <w:vAlign w:val="center"/>
          </w:tcPr>
          <w:p>
            <w:pPr>
              <w:pStyle w:val="35"/>
            </w:pPr>
            <w:r>
              <w:rPr>
                <w:rFonts w:hint="eastAsia"/>
              </w:rPr>
              <w:t>111.79</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氯离子</w:t>
            </w:r>
          </w:p>
        </w:tc>
        <w:tc>
          <w:tcPr>
            <w:tcW w:w="344" w:type="pct"/>
            <w:shd w:val="clear" w:color="auto" w:fill="auto"/>
            <w:noWrap/>
            <w:vAlign w:val="center"/>
          </w:tcPr>
          <w:p>
            <w:pPr>
              <w:pStyle w:val="35"/>
            </w:pPr>
            <w:r>
              <w:rPr>
                <w:rFonts w:hint="eastAsia"/>
              </w:rPr>
              <w:t>24.4</w:t>
            </w:r>
          </w:p>
        </w:tc>
        <w:tc>
          <w:tcPr>
            <w:tcW w:w="345" w:type="pct"/>
            <w:shd w:val="clear" w:color="auto" w:fill="auto"/>
            <w:noWrap/>
            <w:vAlign w:val="center"/>
          </w:tcPr>
          <w:p>
            <w:pPr>
              <w:pStyle w:val="35"/>
            </w:pPr>
            <w:r>
              <w:rPr>
                <w:rFonts w:hint="eastAsia"/>
              </w:rPr>
              <w:t>76</w:t>
            </w:r>
          </w:p>
        </w:tc>
        <w:tc>
          <w:tcPr>
            <w:tcW w:w="307" w:type="pct"/>
            <w:shd w:val="clear" w:color="auto" w:fill="auto"/>
            <w:noWrap/>
            <w:vAlign w:val="center"/>
          </w:tcPr>
          <w:p>
            <w:pPr>
              <w:pStyle w:val="35"/>
            </w:pPr>
            <w:r>
              <w:rPr>
                <w:rFonts w:hint="eastAsia"/>
              </w:rPr>
              <w:t>107</w:t>
            </w:r>
          </w:p>
        </w:tc>
        <w:tc>
          <w:tcPr>
            <w:tcW w:w="307" w:type="pct"/>
            <w:shd w:val="clear" w:color="auto" w:fill="auto"/>
            <w:noWrap/>
            <w:vAlign w:val="center"/>
          </w:tcPr>
          <w:p>
            <w:pPr>
              <w:pStyle w:val="35"/>
            </w:pPr>
            <w:r>
              <w:rPr>
                <w:rFonts w:hint="eastAsia"/>
              </w:rPr>
              <w:t>88.4</w:t>
            </w:r>
          </w:p>
        </w:tc>
        <w:tc>
          <w:tcPr>
            <w:tcW w:w="307" w:type="pct"/>
            <w:shd w:val="clear" w:color="auto" w:fill="auto"/>
            <w:noWrap/>
            <w:vAlign w:val="center"/>
          </w:tcPr>
          <w:p>
            <w:pPr>
              <w:pStyle w:val="35"/>
            </w:pPr>
            <w:r>
              <w:rPr>
                <w:rFonts w:hint="eastAsia"/>
              </w:rPr>
              <w:t>44.1</w:t>
            </w:r>
          </w:p>
        </w:tc>
        <w:tc>
          <w:tcPr>
            <w:tcW w:w="307" w:type="pct"/>
            <w:shd w:val="clear" w:color="auto" w:fill="auto"/>
            <w:noWrap/>
            <w:vAlign w:val="center"/>
          </w:tcPr>
          <w:p>
            <w:pPr>
              <w:pStyle w:val="35"/>
            </w:pPr>
            <w:r>
              <w:rPr>
                <w:rFonts w:hint="eastAsia"/>
              </w:rPr>
              <w:t>83.7</w:t>
            </w:r>
          </w:p>
        </w:tc>
        <w:tc>
          <w:tcPr>
            <w:tcW w:w="307" w:type="pct"/>
            <w:shd w:val="clear" w:color="auto" w:fill="auto"/>
            <w:noWrap/>
            <w:vAlign w:val="center"/>
          </w:tcPr>
          <w:p>
            <w:pPr>
              <w:pStyle w:val="35"/>
            </w:pPr>
            <w:r>
              <w:rPr>
                <w:rFonts w:hint="eastAsia"/>
              </w:rPr>
              <w:t>334</w:t>
            </w:r>
          </w:p>
        </w:tc>
        <w:tc>
          <w:tcPr>
            <w:tcW w:w="298" w:type="pct"/>
            <w:shd w:val="clear" w:color="auto" w:fill="auto"/>
            <w:noWrap/>
            <w:vAlign w:val="center"/>
          </w:tcPr>
          <w:p>
            <w:pPr>
              <w:pStyle w:val="35"/>
            </w:pPr>
            <w:r>
              <w:rPr>
                <w:rFonts w:hint="eastAsia"/>
              </w:rPr>
              <w:t>334</w:t>
            </w:r>
          </w:p>
        </w:tc>
        <w:tc>
          <w:tcPr>
            <w:tcW w:w="298" w:type="pct"/>
            <w:shd w:val="clear" w:color="auto" w:fill="auto"/>
            <w:noWrap/>
            <w:vAlign w:val="center"/>
          </w:tcPr>
          <w:p>
            <w:pPr>
              <w:pStyle w:val="35"/>
            </w:pPr>
            <w:r>
              <w:rPr>
                <w:rFonts w:hint="eastAsia"/>
              </w:rPr>
              <w:t>24.4</w:t>
            </w:r>
          </w:p>
        </w:tc>
        <w:tc>
          <w:tcPr>
            <w:tcW w:w="279" w:type="pct"/>
            <w:shd w:val="clear" w:color="auto" w:fill="auto"/>
            <w:noWrap/>
            <w:vAlign w:val="center"/>
          </w:tcPr>
          <w:p>
            <w:pPr>
              <w:pStyle w:val="35"/>
            </w:pPr>
            <w:r>
              <w:rPr>
                <w:rFonts w:hint="eastAsia"/>
              </w:rPr>
              <w:t>108.23</w:t>
            </w:r>
          </w:p>
        </w:tc>
        <w:tc>
          <w:tcPr>
            <w:tcW w:w="298" w:type="pct"/>
            <w:shd w:val="clear" w:color="auto" w:fill="auto"/>
            <w:noWrap/>
            <w:vAlign w:val="center"/>
          </w:tcPr>
          <w:p>
            <w:pPr>
              <w:pStyle w:val="35"/>
            </w:pPr>
            <w:r>
              <w:rPr>
                <w:rFonts w:hint="eastAsia"/>
              </w:rPr>
              <w:t>103.40</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硫酸根</w:t>
            </w:r>
          </w:p>
        </w:tc>
        <w:tc>
          <w:tcPr>
            <w:tcW w:w="344" w:type="pct"/>
            <w:shd w:val="clear" w:color="auto" w:fill="auto"/>
            <w:noWrap/>
            <w:vAlign w:val="center"/>
          </w:tcPr>
          <w:p>
            <w:pPr>
              <w:pStyle w:val="35"/>
            </w:pPr>
            <w:r>
              <w:rPr>
                <w:rFonts w:hint="eastAsia"/>
              </w:rPr>
              <w:t>6.78</w:t>
            </w:r>
          </w:p>
        </w:tc>
        <w:tc>
          <w:tcPr>
            <w:tcW w:w="345" w:type="pct"/>
            <w:shd w:val="clear" w:color="auto" w:fill="auto"/>
            <w:noWrap/>
            <w:vAlign w:val="center"/>
          </w:tcPr>
          <w:p>
            <w:pPr>
              <w:pStyle w:val="35"/>
            </w:pPr>
            <w:r>
              <w:rPr>
                <w:rFonts w:hint="eastAsia"/>
              </w:rPr>
              <w:t>200</w:t>
            </w:r>
          </w:p>
        </w:tc>
        <w:tc>
          <w:tcPr>
            <w:tcW w:w="307" w:type="pct"/>
            <w:shd w:val="clear" w:color="auto" w:fill="auto"/>
            <w:noWrap/>
            <w:vAlign w:val="center"/>
          </w:tcPr>
          <w:p>
            <w:pPr>
              <w:pStyle w:val="35"/>
            </w:pPr>
            <w:r>
              <w:rPr>
                <w:rFonts w:hint="eastAsia"/>
              </w:rPr>
              <w:t>167</w:t>
            </w:r>
          </w:p>
        </w:tc>
        <w:tc>
          <w:tcPr>
            <w:tcW w:w="307" w:type="pct"/>
            <w:shd w:val="clear" w:color="auto" w:fill="auto"/>
            <w:noWrap/>
            <w:vAlign w:val="center"/>
          </w:tcPr>
          <w:p>
            <w:pPr>
              <w:pStyle w:val="35"/>
            </w:pPr>
            <w:r>
              <w:rPr>
                <w:rFonts w:hint="eastAsia"/>
              </w:rPr>
              <w:t>57.1</w:t>
            </w:r>
          </w:p>
        </w:tc>
        <w:tc>
          <w:tcPr>
            <w:tcW w:w="307" w:type="pct"/>
            <w:shd w:val="clear" w:color="auto" w:fill="auto"/>
            <w:noWrap/>
            <w:vAlign w:val="center"/>
          </w:tcPr>
          <w:p>
            <w:pPr>
              <w:pStyle w:val="35"/>
            </w:pPr>
            <w:r>
              <w:rPr>
                <w:rFonts w:hint="eastAsia"/>
              </w:rPr>
              <w:t>55</w:t>
            </w:r>
          </w:p>
        </w:tc>
        <w:tc>
          <w:tcPr>
            <w:tcW w:w="307" w:type="pct"/>
            <w:shd w:val="clear" w:color="auto" w:fill="auto"/>
            <w:noWrap/>
            <w:vAlign w:val="center"/>
          </w:tcPr>
          <w:p>
            <w:pPr>
              <w:pStyle w:val="35"/>
            </w:pPr>
            <w:r>
              <w:rPr>
                <w:rFonts w:hint="eastAsia"/>
              </w:rPr>
              <w:t>23.1</w:t>
            </w:r>
          </w:p>
        </w:tc>
        <w:tc>
          <w:tcPr>
            <w:tcW w:w="307" w:type="pct"/>
            <w:shd w:val="clear" w:color="auto" w:fill="auto"/>
            <w:noWrap/>
            <w:vAlign w:val="center"/>
          </w:tcPr>
          <w:p>
            <w:pPr>
              <w:pStyle w:val="35"/>
            </w:pPr>
            <w:r>
              <w:rPr>
                <w:rFonts w:hint="eastAsia"/>
              </w:rPr>
              <w:t>266</w:t>
            </w:r>
          </w:p>
        </w:tc>
        <w:tc>
          <w:tcPr>
            <w:tcW w:w="298" w:type="pct"/>
            <w:shd w:val="clear" w:color="auto" w:fill="auto"/>
            <w:noWrap/>
            <w:vAlign w:val="center"/>
          </w:tcPr>
          <w:p>
            <w:pPr>
              <w:pStyle w:val="35"/>
            </w:pPr>
            <w:r>
              <w:rPr>
                <w:rFonts w:hint="eastAsia"/>
              </w:rPr>
              <w:t>266</w:t>
            </w:r>
          </w:p>
        </w:tc>
        <w:tc>
          <w:tcPr>
            <w:tcW w:w="298" w:type="pct"/>
            <w:shd w:val="clear" w:color="auto" w:fill="auto"/>
            <w:noWrap/>
            <w:vAlign w:val="center"/>
          </w:tcPr>
          <w:p>
            <w:pPr>
              <w:pStyle w:val="35"/>
            </w:pPr>
            <w:r>
              <w:rPr>
                <w:rFonts w:hint="eastAsia"/>
              </w:rPr>
              <w:t>6.78</w:t>
            </w:r>
          </w:p>
        </w:tc>
        <w:tc>
          <w:tcPr>
            <w:tcW w:w="279" w:type="pct"/>
            <w:shd w:val="clear" w:color="auto" w:fill="auto"/>
            <w:noWrap/>
            <w:vAlign w:val="center"/>
          </w:tcPr>
          <w:p>
            <w:pPr>
              <w:pStyle w:val="35"/>
            </w:pPr>
            <w:r>
              <w:rPr>
                <w:rFonts w:hint="eastAsia"/>
              </w:rPr>
              <w:t>110.71</w:t>
            </w:r>
          </w:p>
        </w:tc>
        <w:tc>
          <w:tcPr>
            <w:tcW w:w="298" w:type="pct"/>
            <w:shd w:val="clear" w:color="auto" w:fill="auto"/>
            <w:noWrap/>
            <w:vAlign w:val="center"/>
          </w:tcPr>
          <w:p>
            <w:pPr>
              <w:pStyle w:val="35"/>
            </w:pPr>
            <w:r>
              <w:rPr>
                <w:rFonts w:hint="eastAsia"/>
              </w:rPr>
              <w:t>99.76</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硝酸盐（以N计）</w:t>
            </w:r>
          </w:p>
        </w:tc>
        <w:tc>
          <w:tcPr>
            <w:tcW w:w="344" w:type="pct"/>
            <w:shd w:val="clear" w:color="auto" w:fill="auto"/>
            <w:noWrap/>
            <w:vAlign w:val="center"/>
          </w:tcPr>
          <w:p>
            <w:pPr>
              <w:pStyle w:val="35"/>
            </w:pPr>
            <w:r>
              <w:rPr>
                <w:rFonts w:hint="eastAsia"/>
              </w:rPr>
              <w:t>0.036</w:t>
            </w:r>
          </w:p>
        </w:tc>
        <w:tc>
          <w:tcPr>
            <w:tcW w:w="345" w:type="pct"/>
            <w:shd w:val="clear" w:color="auto" w:fill="auto"/>
            <w:noWrap/>
            <w:vAlign w:val="center"/>
          </w:tcPr>
          <w:p>
            <w:pPr>
              <w:pStyle w:val="35"/>
            </w:pPr>
            <w:r>
              <w:rPr>
                <w:rFonts w:hint="eastAsia"/>
              </w:rPr>
              <w:t>0.047</w:t>
            </w:r>
          </w:p>
        </w:tc>
        <w:tc>
          <w:tcPr>
            <w:tcW w:w="307" w:type="pct"/>
            <w:shd w:val="clear" w:color="auto" w:fill="auto"/>
            <w:noWrap/>
            <w:vAlign w:val="center"/>
          </w:tcPr>
          <w:p>
            <w:pPr>
              <w:pStyle w:val="35"/>
            </w:pPr>
            <w:r>
              <w:rPr>
                <w:rFonts w:hint="eastAsia"/>
              </w:rPr>
              <w:t>5.17</w:t>
            </w:r>
          </w:p>
        </w:tc>
        <w:tc>
          <w:tcPr>
            <w:tcW w:w="307" w:type="pct"/>
            <w:shd w:val="clear" w:color="auto" w:fill="auto"/>
            <w:noWrap/>
            <w:vAlign w:val="center"/>
          </w:tcPr>
          <w:p>
            <w:pPr>
              <w:pStyle w:val="35"/>
            </w:pPr>
            <w:r>
              <w:rPr>
                <w:rFonts w:hint="eastAsia"/>
              </w:rPr>
              <w:t>0.099</w:t>
            </w:r>
          </w:p>
        </w:tc>
        <w:tc>
          <w:tcPr>
            <w:tcW w:w="307" w:type="pct"/>
            <w:shd w:val="clear" w:color="auto" w:fill="auto"/>
            <w:noWrap/>
            <w:vAlign w:val="center"/>
          </w:tcPr>
          <w:p>
            <w:pPr>
              <w:pStyle w:val="35"/>
            </w:pPr>
            <w:r>
              <w:rPr>
                <w:rFonts w:hint="eastAsia"/>
              </w:rPr>
              <w:t>0.041</w:t>
            </w:r>
          </w:p>
        </w:tc>
        <w:tc>
          <w:tcPr>
            <w:tcW w:w="307" w:type="pct"/>
            <w:shd w:val="clear" w:color="auto" w:fill="auto"/>
            <w:noWrap/>
            <w:vAlign w:val="center"/>
          </w:tcPr>
          <w:p>
            <w:pPr>
              <w:pStyle w:val="35"/>
            </w:pPr>
            <w:r>
              <w:rPr>
                <w:rFonts w:hint="eastAsia"/>
              </w:rPr>
              <w:t>0.064</w:t>
            </w:r>
          </w:p>
        </w:tc>
        <w:tc>
          <w:tcPr>
            <w:tcW w:w="307" w:type="pct"/>
            <w:shd w:val="clear" w:color="auto" w:fill="auto"/>
            <w:noWrap/>
            <w:vAlign w:val="center"/>
          </w:tcPr>
          <w:p>
            <w:pPr>
              <w:pStyle w:val="35"/>
            </w:pPr>
            <w:r>
              <w:rPr>
                <w:rFonts w:hint="eastAsia"/>
              </w:rPr>
              <w:t>0.094</w:t>
            </w:r>
          </w:p>
        </w:tc>
        <w:tc>
          <w:tcPr>
            <w:tcW w:w="298" w:type="pct"/>
            <w:shd w:val="clear" w:color="auto" w:fill="auto"/>
            <w:noWrap/>
            <w:vAlign w:val="center"/>
          </w:tcPr>
          <w:p>
            <w:pPr>
              <w:pStyle w:val="35"/>
            </w:pPr>
            <w:r>
              <w:rPr>
                <w:rFonts w:hint="eastAsia"/>
              </w:rPr>
              <w:t>5.17</w:t>
            </w:r>
          </w:p>
        </w:tc>
        <w:tc>
          <w:tcPr>
            <w:tcW w:w="298" w:type="pct"/>
            <w:shd w:val="clear" w:color="auto" w:fill="auto"/>
            <w:noWrap/>
            <w:vAlign w:val="center"/>
          </w:tcPr>
          <w:p>
            <w:pPr>
              <w:pStyle w:val="35"/>
            </w:pPr>
            <w:r>
              <w:rPr>
                <w:rFonts w:hint="eastAsia"/>
              </w:rPr>
              <w:t>0.036</w:t>
            </w:r>
          </w:p>
        </w:tc>
        <w:tc>
          <w:tcPr>
            <w:tcW w:w="279" w:type="pct"/>
            <w:shd w:val="clear" w:color="auto" w:fill="auto"/>
            <w:noWrap/>
            <w:vAlign w:val="center"/>
          </w:tcPr>
          <w:p>
            <w:pPr>
              <w:pStyle w:val="35"/>
            </w:pPr>
            <w:r>
              <w:rPr>
                <w:rFonts w:hint="eastAsia"/>
              </w:rPr>
              <w:t>0.79</w:t>
            </w:r>
          </w:p>
        </w:tc>
        <w:tc>
          <w:tcPr>
            <w:tcW w:w="298" w:type="pct"/>
            <w:shd w:val="clear" w:color="auto" w:fill="auto"/>
            <w:noWrap/>
            <w:vAlign w:val="center"/>
          </w:tcPr>
          <w:p>
            <w:pPr>
              <w:pStyle w:val="35"/>
            </w:pPr>
            <w:r>
              <w:rPr>
                <w:rFonts w:hint="eastAsia"/>
              </w:rPr>
              <w:t>1.93</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亚硝酸盐（以N计）</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氟化物</w:t>
            </w:r>
          </w:p>
        </w:tc>
        <w:tc>
          <w:tcPr>
            <w:tcW w:w="344" w:type="pct"/>
            <w:shd w:val="clear" w:color="auto" w:fill="auto"/>
            <w:vAlign w:val="center"/>
          </w:tcPr>
          <w:p>
            <w:pPr>
              <w:pStyle w:val="35"/>
            </w:pPr>
            <w:r>
              <w:rPr>
                <w:rFonts w:hint="eastAsia"/>
              </w:rPr>
              <w:t>4.62</w:t>
            </w:r>
          </w:p>
        </w:tc>
        <w:tc>
          <w:tcPr>
            <w:tcW w:w="345" w:type="pct"/>
            <w:shd w:val="clear" w:color="auto" w:fill="auto"/>
            <w:vAlign w:val="center"/>
          </w:tcPr>
          <w:p>
            <w:pPr>
              <w:pStyle w:val="35"/>
            </w:pPr>
            <w:r>
              <w:rPr>
                <w:rFonts w:hint="eastAsia"/>
              </w:rPr>
              <w:t>1.84</w:t>
            </w:r>
          </w:p>
        </w:tc>
        <w:tc>
          <w:tcPr>
            <w:tcW w:w="307" w:type="pct"/>
            <w:shd w:val="clear" w:color="auto" w:fill="auto"/>
            <w:vAlign w:val="center"/>
          </w:tcPr>
          <w:p>
            <w:pPr>
              <w:pStyle w:val="35"/>
            </w:pPr>
            <w:r>
              <w:rPr>
                <w:rFonts w:hint="eastAsia"/>
              </w:rPr>
              <w:t>1.76</w:t>
            </w:r>
          </w:p>
        </w:tc>
        <w:tc>
          <w:tcPr>
            <w:tcW w:w="307" w:type="pct"/>
            <w:shd w:val="clear" w:color="auto" w:fill="auto"/>
            <w:vAlign w:val="center"/>
          </w:tcPr>
          <w:p>
            <w:pPr>
              <w:pStyle w:val="35"/>
            </w:pPr>
            <w:r>
              <w:rPr>
                <w:rFonts w:hint="eastAsia"/>
              </w:rPr>
              <w:t>1.28</w:t>
            </w:r>
          </w:p>
        </w:tc>
        <w:tc>
          <w:tcPr>
            <w:tcW w:w="307" w:type="pct"/>
            <w:shd w:val="clear" w:color="auto" w:fill="auto"/>
            <w:vAlign w:val="center"/>
          </w:tcPr>
          <w:p>
            <w:pPr>
              <w:pStyle w:val="35"/>
            </w:pPr>
            <w:r>
              <w:rPr>
                <w:rFonts w:hint="eastAsia"/>
              </w:rPr>
              <w:t>2.2</w:t>
            </w:r>
          </w:p>
        </w:tc>
        <w:tc>
          <w:tcPr>
            <w:tcW w:w="307" w:type="pct"/>
            <w:shd w:val="clear" w:color="auto" w:fill="auto"/>
            <w:vAlign w:val="center"/>
          </w:tcPr>
          <w:p>
            <w:pPr>
              <w:pStyle w:val="35"/>
            </w:pPr>
            <w:r>
              <w:rPr>
                <w:rFonts w:hint="eastAsia"/>
              </w:rPr>
              <w:t>2.14</w:t>
            </w:r>
          </w:p>
        </w:tc>
        <w:tc>
          <w:tcPr>
            <w:tcW w:w="307" w:type="pct"/>
            <w:shd w:val="clear" w:color="auto" w:fill="auto"/>
            <w:vAlign w:val="center"/>
          </w:tcPr>
          <w:p>
            <w:pPr>
              <w:pStyle w:val="35"/>
            </w:pPr>
            <w:r>
              <w:rPr>
                <w:rFonts w:hint="eastAsia"/>
              </w:rPr>
              <w:t>1.7</w:t>
            </w:r>
          </w:p>
        </w:tc>
        <w:tc>
          <w:tcPr>
            <w:tcW w:w="298" w:type="pct"/>
            <w:shd w:val="clear" w:color="auto" w:fill="auto"/>
            <w:noWrap/>
            <w:vAlign w:val="center"/>
          </w:tcPr>
          <w:p>
            <w:pPr>
              <w:pStyle w:val="35"/>
            </w:pPr>
            <w:r>
              <w:rPr>
                <w:rFonts w:hint="eastAsia"/>
              </w:rPr>
              <w:t>4.62</w:t>
            </w:r>
          </w:p>
        </w:tc>
        <w:tc>
          <w:tcPr>
            <w:tcW w:w="298" w:type="pct"/>
            <w:shd w:val="clear" w:color="auto" w:fill="auto"/>
            <w:noWrap/>
            <w:vAlign w:val="center"/>
          </w:tcPr>
          <w:p>
            <w:pPr>
              <w:pStyle w:val="35"/>
            </w:pPr>
            <w:r>
              <w:rPr>
                <w:rFonts w:hint="eastAsia"/>
              </w:rPr>
              <w:t>1.28</w:t>
            </w:r>
          </w:p>
        </w:tc>
        <w:tc>
          <w:tcPr>
            <w:tcW w:w="279" w:type="pct"/>
            <w:shd w:val="clear" w:color="auto" w:fill="auto"/>
            <w:noWrap/>
            <w:vAlign w:val="center"/>
          </w:tcPr>
          <w:p>
            <w:pPr>
              <w:pStyle w:val="35"/>
            </w:pPr>
            <w:r>
              <w:rPr>
                <w:rFonts w:hint="eastAsia"/>
              </w:rPr>
              <w:t>2.22</w:t>
            </w:r>
          </w:p>
        </w:tc>
        <w:tc>
          <w:tcPr>
            <w:tcW w:w="298" w:type="pct"/>
            <w:shd w:val="clear" w:color="auto" w:fill="auto"/>
            <w:noWrap/>
            <w:vAlign w:val="center"/>
          </w:tcPr>
          <w:p>
            <w:pPr>
              <w:pStyle w:val="35"/>
            </w:pPr>
            <w:r>
              <w:rPr>
                <w:rFonts w:hint="eastAsia"/>
              </w:rPr>
              <w:t>1.10</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pH值</w:t>
            </w:r>
          </w:p>
        </w:tc>
        <w:tc>
          <w:tcPr>
            <w:tcW w:w="344" w:type="pct"/>
            <w:shd w:val="clear" w:color="auto" w:fill="auto"/>
            <w:noWrap/>
            <w:vAlign w:val="center"/>
          </w:tcPr>
          <w:p>
            <w:pPr>
              <w:pStyle w:val="35"/>
            </w:pPr>
            <w:r>
              <w:rPr>
                <w:rFonts w:hint="eastAsia"/>
              </w:rPr>
              <w:t>7.81</w:t>
            </w:r>
          </w:p>
        </w:tc>
        <w:tc>
          <w:tcPr>
            <w:tcW w:w="345" w:type="pct"/>
            <w:shd w:val="clear" w:color="auto" w:fill="auto"/>
            <w:noWrap/>
            <w:vAlign w:val="center"/>
          </w:tcPr>
          <w:p>
            <w:pPr>
              <w:pStyle w:val="35"/>
            </w:pPr>
            <w:r>
              <w:rPr>
                <w:rFonts w:hint="eastAsia"/>
              </w:rPr>
              <w:t>7.3</w:t>
            </w:r>
          </w:p>
        </w:tc>
        <w:tc>
          <w:tcPr>
            <w:tcW w:w="307" w:type="pct"/>
            <w:shd w:val="clear" w:color="auto" w:fill="auto"/>
            <w:noWrap/>
            <w:vAlign w:val="center"/>
          </w:tcPr>
          <w:p>
            <w:pPr>
              <w:pStyle w:val="35"/>
            </w:pPr>
            <w:r>
              <w:rPr>
                <w:rFonts w:hint="eastAsia"/>
              </w:rPr>
              <w:t>7.63</w:t>
            </w:r>
          </w:p>
        </w:tc>
        <w:tc>
          <w:tcPr>
            <w:tcW w:w="307" w:type="pct"/>
            <w:shd w:val="clear" w:color="auto" w:fill="auto"/>
            <w:noWrap/>
            <w:vAlign w:val="center"/>
          </w:tcPr>
          <w:p>
            <w:pPr>
              <w:pStyle w:val="35"/>
            </w:pPr>
            <w:r>
              <w:rPr>
                <w:rFonts w:hint="eastAsia"/>
              </w:rPr>
              <w:t>7.41</w:t>
            </w:r>
          </w:p>
        </w:tc>
        <w:tc>
          <w:tcPr>
            <w:tcW w:w="307" w:type="pct"/>
            <w:shd w:val="clear" w:color="auto" w:fill="auto"/>
            <w:noWrap/>
            <w:vAlign w:val="center"/>
          </w:tcPr>
          <w:p>
            <w:pPr>
              <w:pStyle w:val="35"/>
            </w:pPr>
            <w:r>
              <w:rPr>
                <w:rFonts w:hint="eastAsia"/>
              </w:rPr>
              <w:t>7.53</w:t>
            </w:r>
          </w:p>
        </w:tc>
        <w:tc>
          <w:tcPr>
            <w:tcW w:w="307" w:type="pct"/>
            <w:shd w:val="clear" w:color="auto" w:fill="auto"/>
            <w:noWrap/>
            <w:vAlign w:val="center"/>
          </w:tcPr>
          <w:p>
            <w:pPr>
              <w:pStyle w:val="35"/>
            </w:pPr>
            <w:r>
              <w:rPr>
                <w:rFonts w:hint="eastAsia"/>
              </w:rPr>
              <w:t>7.57</w:t>
            </w:r>
          </w:p>
        </w:tc>
        <w:tc>
          <w:tcPr>
            <w:tcW w:w="307" w:type="pct"/>
            <w:shd w:val="clear" w:color="auto" w:fill="auto"/>
            <w:noWrap/>
            <w:vAlign w:val="center"/>
          </w:tcPr>
          <w:p>
            <w:pPr>
              <w:pStyle w:val="35"/>
            </w:pPr>
            <w:r>
              <w:rPr>
                <w:rFonts w:hint="eastAsia"/>
              </w:rPr>
              <w:t>8.14</w:t>
            </w:r>
          </w:p>
        </w:tc>
        <w:tc>
          <w:tcPr>
            <w:tcW w:w="298" w:type="pct"/>
            <w:shd w:val="clear" w:color="auto" w:fill="auto"/>
            <w:noWrap/>
            <w:vAlign w:val="center"/>
          </w:tcPr>
          <w:p>
            <w:pPr>
              <w:pStyle w:val="35"/>
            </w:pPr>
            <w:r>
              <w:rPr>
                <w:rFonts w:hint="eastAsia"/>
              </w:rPr>
              <w:t>8.14</w:t>
            </w:r>
          </w:p>
        </w:tc>
        <w:tc>
          <w:tcPr>
            <w:tcW w:w="298" w:type="pct"/>
            <w:shd w:val="clear" w:color="auto" w:fill="auto"/>
            <w:noWrap/>
            <w:vAlign w:val="center"/>
          </w:tcPr>
          <w:p>
            <w:pPr>
              <w:pStyle w:val="35"/>
            </w:pPr>
            <w:r>
              <w:rPr>
                <w:rFonts w:hint="eastAsia"/>
              </w:rPr>
              <w:t>7.3</w:t>
            </w:r>
          </w:p>
        </w:tc>
        <w:tc>
          <w:tcPr>
            <w:tcW w:w="279" w:type="pct"/>
            <w:shd w:val="clear" w:color="auto" w:fill="auto"/>
            <w:noWrap/>
            <w:vAlign w:val="center"/>
          </w:tcPr>
          <w:p>
            <w:pPr>
              <w:pStyle w:val="35"/>
            </w:pPr>
            <w:r>
              <w:rPr>
                <w:rFonts w:hint="eastAsia"/>
              </w:rPr>
              <w:t>7.63</w:t>
            </w:r>
          </w:p>
        </w:tc>
        <w:tc>
          <w:tcPr>
            <w:tcW w:w="298" w:type="pct"/>
            <w:shd w:val="clear" w:color="auto" w:fill="auto"/>
            <w:noWrap/>
            <w:vAlign w:val="center"/>
          </w:tcPr>
          <w:p>
            <w:pPr>
              <w:pStyle w:val="35"/>
            </w:pPr>
            <w:r>
              <w:rPr>
                <w:rFonts w:hint="eastAsia"/>
              </w:rPr>
              <w:t>0.28</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氨氮</w:t>
            </w:r>
          </w:p>
        </w:tc>
        <w:tc>
          <w:tcPr>
            <w:tcW w:w="344" w:type="pct"/>
            <w:shd w:val="clear" w:color="auto" w:fill="auto"/>
            <w:noWrap/>
            <w:vAlign w:val="center"/>
          </w:tcPr>
          <w:p>
            <w:pPr>
              <w:pStyle w:val="35"/>
            </w:pPr>
            <w:r>
              <w:rPr>
                <w:rFonts w:hint="eastAsia"/>
              </w:rPr>
              <w:t>0.136</w:t>
            </w:r>
          </w:p>
        </w:tc>
        <w:tc>
          <w:tcPr>
            <w:tcW w:w="345" w:type="pct"/>
            <w:shd w:val="clear" w:color="auto" w:fill="auto"/>
            <w:noWrap/>
            <w:vAlign w:val="center"/>
          </w:tcPr>
          <w:p>
            <w:pPr>
              <w:pStyle w:val="35"/>
            </w:pPr>
            <w:r>
              <w:rPr>
                <w:rFonts w:hint="eastAsia"/>
              </w:rPr>
              <w:t>0.465</w:t>
            </w:r>
          </w:p>
        </w:tc>
        <w:tc>
          <w:tcPr>
            <w:tcW w:w="307" w:type="pct"/>
            <w:shd w:val="clear" w:color="auto" w:fill="auto"/>
            <w:noWrap/>
            <w:vAlign w:val="center"/>
          </w:tcPr>
          <w:p>
            <w:pPr>
              <w:pStyle w:val="35"/>
            </w:pPr>
            <w:r>
              <w:rPr>
                <w:rFonts w:hint="eastAsia"/>
              </w:rPr>
              <w:t>0.452</w:t>
            </w:r>
          </w:p>
        </w:tc>
        <w:tc>
          <w:tcPr>
            <w:tcW w:w="307" w:type="pct"/>
            <w:shd w:val="clear" w:color="auto" w:fill="auto"/>
            <w:noWrap/>
            <w:vAlign w:val="center"/>
          </w:tcPr>
          <w:p>
            <w:pPr>
              <w:pStyle w:val="35"/>
            </w:pPr>
            <w:r>
              <w:rPr>
                <w:rFonts w:hint="eastAsia"/>
              </w:rPr>
              <w:t>0.416</w:t>
            </w:r>
          </w:p>
        </w:tc>
        <w:tc>
          <w:tcPr>
            <w:tcW w:w="307" w:type="pct"/>
            <w:shd w:val="clear" w:color="auto" w:fill="auto"/>
            <w:noWrap/>
            <w:vAlign w:val="center"/>
          </w:tcPr>
          <w:p>
            <w:pPr>
              <w:pStyle w:val="35"/>
            </w:pPr>
            <w:r>
              <w:rPr>
                <w:rFonts w:hint="eastAsia"/>
              </w:rPr>
              <w:t>0.226</w:t>
            </w:r>
          </w:p>
        </w:tc>
        <w:tc>
          <w:tcPr>
            <w:tcW w:w="307" w:type="pct"/>
            <w:shd w:val="clear" w:color="auto" w:fill="auto"/>
            <w:noWrap/>
            <w:vAlign w:val="center"/>
          </w:tcPr>
          <w:p>
            <w:pPr>
              <w:pStyle w:val="35"/>
            </w:pPr>
            <w:r>
              <w:rPr>
                <w:rFonts w:hint="eastAsia"/>
              </w:rPr>
              <w:t>0.359</w:t>
            </w:r>
          </w:p>
        </w:tc>
        <w:tc>
          <w:tcPr>
            <w:tcW w:w="307" w:type="pct"/>
            <w:shd w:val="clear" w:color="auto" w:fill="auto"/>
            <w:noWrap/>
            <w:vAlign w:val="center"/>
          </w:tcPr>
          <w:p>
            <w:pPr>
              <w:pStyle w:val="35"/>
            </w:pPr>
            <w:r>
              <w:rPr>
                <w:rFonts w:hint="eastAsia"/>
              </w:rPr>
              <w:t>0.141</w:t>
            </w:r>
          </w:p>
        </w:tc>
        <w:tc>
          <w:tcPr>
            <w:tcW w:w="298" w:type="pct"/>
            <w:shd w:val="clear" w:color="auto" w:fill="auto"/>
            <w:noWrap/>
            <w:vAlign w:val="center"/>
          </w:tcPr>
          <w:p>
            <w:pPr>
              <w:pStyle w:val="35"/>
            </w:pPr>
            <w:r>
              <w:rPr>
                <w:rFonts w:hint="eastAsia"/>
              </w:rPr>
              <w:t>0.465</w:t>
            </w:r>
          </w:p>
        </w:tc>
        <w:tc>
          <w:tcPr>
            <w:tcW w:w="298" w:type="pct"/>
            <w:shd w:val="clear" w:color="auto" w:fill="auto"/>
            <w:noWrap/>
            <w:vAlign w:val="center"/>
          </w:tcPr>
          <w:p>
            <w:pPr>
              <w:pStyle w:val="35"/>
            </w:pPr>
            <w:r>
              <w:rPr>
                <w:rFonts w:hint="eastAsia"/>
              </w:rPr>
              <w:t>0.136</w:t>
            </w:r>
          </w:p>
        </w:tc>
        <w:tc>
          <w:tcPr>
            <w:tcW w:w="279" w:type="pct"/>
            <w:shd w:val="clear" w:color="auto" w:fill="auto"/>
            <w:noWrap/>
            <w:vAlign w:val="center"/>
          </w:tcPr>
          <w:p>
            <w:pPr>
              <w:pStyle w:val="35"/>
            </w:pPr>
            <w:r>
              <w:rPr>
                <w:rFonts w:hint="eastAsia"/>
              </w:rPr>
              <w:t>0.31</w:t>
            </w:r>
          </w:p>
        </w:tc>
        <w:tc>
          <w:tcPr>
            <w:tcW w:w="298" w:type="pct"/>
            <w:shd w:val="clear" w:color="auto" w:fill="auto"/>
            <w:noWrap/>
            <w:vAlign w:val="center"/>
          </w:tcPr>
          <w:p>
            <w:pPr>
              <w:pStyle w:val="35"/>
            </w:pPr>
            <w:r>
              <w:rPr>
                <w:rFonts w:hint="eastAsia"/>
              </w:rPr>
              <w:t>0.14</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挥发酚</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0.0006</w:t>
            </w:r>
          </w:p>
        </w:tc>
        <w:tc>
          <w:tcPr>
            <w:tcW w:w="307" w:type="pct"/>
            <w:shd w:val="clear" w:color="auto" w:fill="auto"/>
            <w:noWrap/>
            <w:vAlign w:val="center"/>
          </w:tcPr>
          <w:p>
            <w:pPr>
              <w:pStyle w:val="35"/>
            </w:pPr>
            <w:r>
              <w:rPr>
                <w:rFonts w:hint="eastAsia"/>
              </w:rPr>
              <w:t>0.001</w:t>
            </w:r>
          </w:p>
        </w:tc>
        <w:tc>
          <w:tcPr>
            <w:tcW w:w="307" w:type="pct"/>
            <w:shd w:val="clear" w:color="auto" w:fill="auto"/>
            <w:noWrap/>
            <w:vAlign w:val="center"/>
          </w:tcPr>
          <w:p>
            <w:pPr>
              <w:pStyle w:val="35"/>
            </w:pPr>
            <w:r>
              <w:rPr>
                <w:rFonts w:hint="eastAsia"/>
              </w:rPr>
              <w:t>0.001</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0.0004</w:t>
            </w:r>
          </w:p>
        </w:tc>
        <w:tc>
          <w:tcPr>
            <w:tcW w:w="298" w:type="pct"/>
            <w:shd w:val="clear" w:color="auto" w:fill="auto"/>
            <w:noWrap/>
            <w:vAlign w:val="center"/>
          </w:tcPr>
          <w:p>
            <w:pPr>
              <w:pStyle w:val="35"/>
            </w:pPr>
            <w:r>
              <w:rPr>
                <w:rFonts w:hint="eastAsia"/>
              </w:rPr>
              <w:t>0.001</w:t>
            </w:r>
          </w:p>
        </w:tc>
        <w:tc>
          <w:tcPr>
            <w:tcW w:w="298" w:type="pct"/>
            <w:shd w:val="clear" w:color="auto" w:fill="auto"/>
            <w:noWrap/>
            <w:vAlign w:val="center"/>
          </w:tcPr>
          <w:p>
            <w:pPr>
              <w:pStyle w:val="35"/>
            </w:pPr>
            <w:r>
              <w:rPr>
                <w:rFonts w:hint="eastAsia"/>
              </w:rPr>
              <w:t>0.0004</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57%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氰化物</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总硬度（以CaCO</w:t>
            </w:r>
            <w:r>
              <w:rPr>
                <w:rFonts w:hint="eastAsia"/>
                <w:vertAlign w:val="subscript"/>
              </w:rPr>
              <w:t>3</w:t>
            </w:r>
            <w:r>
              <w:rPr>
                <w:rFonts w:hint="eastAsia"/>
              </w:rPr>
              <w:t>计）</w:t>
            </w:r>
          </w:p>
        </w:tc>
        <w:tc>
          <w:tcPr>
            <w:tcW w:w="344" w:type="pct"/>
            <w:shd w:val="clear" w:color="auto" w:fill="auto"/>
            <w:noWrap/>
            <w:vAlign w:val="center"/>
          </w:tcPr>
          <w:p>
            <w:pPr>
              <w:pStyle w:val="35"/>
            </w:pPr>
            <w:r>
              <w:rPr>
                <w:rFonts w:hint="eastAsia"/>
              </w:rPr>
              <w:t>335</w:t>
            </w:r>
          </w:p>
        </w:tc>
        <w:tc>
          <w:tcPr>
            <w:tcW w:w="345" w:type="pct"/>
            <w:shd w:val="clear" w:color="auto" w:fill="auto"/>
            <w:noWrap/>
            <w:vAlign w:val="center"/>
          </w:tcPr>
          <w:p>
            <w:pPr>
              <w:pStyle w:val="35"/>
            </w:pPr>
            <w:r>
              <w:rPr>
                <w:rFonts w:hint="eastAsia"/>
              </w:rPr>
              <w:t>724</w:t>
            </w:r>
          </w:p>
        </w:tc>
        <w:tc>
          <w:tcPr>
            <w:tcW w:w="307" w:type="pct"/>
            <w:shd w:val="clear" w:color="auto" w:fill="auto"/>
            <w:noWrap/>
            <w:vAlign w:val="center"/>
          </w:tcPr>
          <w:p>
            <w:pPr>
              <w:pStyle w:val="35"/>
            </w:pPr>
            <w:r>
              <w:rPr>
                <w:rFonts w:hint="eastAsia"/>
              </w:rPr>
              <w:t>606</w:t>
            </w:r>
          </w:p>
        </w:tc>
        <w:tc>
          <w:tcPr>
            <w:tcW w:w="307" w:type="pct"/>
            <w:shd w:val="clear" w:color="auto" w:fill="auto"/>
            <w:noWrap/>
            <w:vAlign w:val="center"/>
          </w:tcPr>
          <w:p>
            <w:pPr>
              <w:pStyle w:val="35"/>
            </w:pPr>
            <w:r>
              <w:rPr>
                <w:rFonts w:hint="eastAsia"/>
              </w:rPr>
              <w:t>532</w:t>
            </w:r>
          </w:p>
        </w:tc>
        <w:tc>
          <w:tcPr>
            <w:tcW w:w="307" w:type="pct"/>
            <w:shd w:val="clear" w:color="auto" w:fill="auto"/>
            <w:noWrap/>
            <w:vAlign w:val="center"/>
          </w:tcPr>
          <w:p>
            <w:pPr>
              <w:pStyle w:val="35"/>
            </w:pPr>
            <w:r>
              <w:rPr>
                <w:rFonts w:hint="eastAsia"/>
              </w:rPr>
              <w:t>452</w:t>
            </w:r>
          </w:p>
        </w:tc>
        <w:tc>
          <w:tcPr>
            <w:tcW w:w="307" w:type="pct"/>
            <w:shd w:val="clear" w:color="auto" w:fill="auto"/>
            <w:noWrap/>
            <w:vAlign w:val="center"/>
          </w:tcPr>
          <w:p>
            <w:pPr>
              <w:pStyle w:val="35"/>
            </w:pPr>
            <w:r>
              <w:rPr>
                <w:rFonts w:hint="eastAsia"/>
              </w:rPr>
              <w:t>516</w:t>
            </w:r>
          </w:p>
        </w:tc>
        <w:tc>
          <w:tcPr>
            <w:tcW w:w="307" w:type="pct"/>
            <w:shd w:val="clear" w:color="auto" w:fill="auto"/>
            <w:noWrap/>
            <w:vAlign w:val="center"/>
          </w:tcPr>
          <w:p>
            <w:pPr>
              <w:pStyle w:val="35"/>
            </w:pPr>
            <w:r>
              <w:rPr>
                <w:rFonts w:hint="eastAsia"/>
              </w:rPr>
              <w:t>238</w:t>
            </w:r>
          </w:p>
        </w:tc>
        <w:tc>
          <w:tcPr>
            <w:tcW w:w="298" w:type="pct"/>
            <w:shd w:val="clear" w:color="auto" w:fill="auto"/>
            <w:noWrap/>
            <w:vAlign w:val="center"/>
          </w:tcPr>
          <w:p>
            <w:pPr>
              <w:pStyle w:val="35"/>
            </w:pPr>
            <w:r>
              <w:rPr>
                <w:rFonts w:hint="eastAsia"/>
              </w:rPr>
              <w:t>724</w:t>
            </w:r>
          </w:p>
        </w:tc>
        <w:tc>
          <w:tcPr>
            <w:tcW w:w="298" w:type="pct"/>
            <w:shd w:val="clear" w:color="auto" w:fill="auto"/>
            <w:noWrap/>
            <w:vAlign w:val="center"/>
          </w:tcPr>
          <w:p>
            <w:pPr>
              <w:pStyle w:val="35"/>
            </w:pPr>
            <w:r>
              <w:rPr>
                <w:rFonts w:hint="eastAsia"/>
              </w:rPr>
              <w:t>238</w:t>
            </w:r>
          </w:p>
        </w:tc>
        <w:tc>
          <w:tcPr>
            <w:tcW w:w="279" w:type="pct"/>
            <w:shd w:val="clear" w:color="auto" w:fill="auto"/>
            <w:noWrap/>
            <w:vAlign w:val="center"/>
          </w:tcPr>
          <w:p>
            <w:pPr>
              <w:pStyle w:val="35"/>
            </w:pPr>
            <w:r>
              <w:rPr>
                <w:rFonts w:hint="eastAsia"/>
              </w:rPr>
              <w:t>486.14</w:t>
            </w:r>
          </w:p>
        </w:tc>
        <w:tc>
          <w:tcPr>
            <w:tcW w:w="298" w:type="pct"/>
            <w:shd w:val="clear" w:color="auto" w:fill="auto"/>
            <w:noWrap/>
            <w:vAlign w:val="center"/>
          </w:tcPr>
          <w:p>
            <w:pPr>
              <w:pStyle w:val="35"/>
            </w:pPr>
            <w:r>
              <w:rPr>
                <w:rFonts w:hint="eastAsia"/>
              </w:rPr>
              <w:t>163.05</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溶解性总固体</w:t>
            </w:r>
          </w:p>
        </w:tc>
        <w:tc>
          <w:tcPr>
            <w:tcW w:w="344" w:type="pct"/>
            <w:shd w:val="clear" w:color="auto" w:fill="auto"/>
            <w:noWrap/>
            <w:vAlign w:val="center"/>
          </w:tcPr>
          <w:p>
            <w:pPr>
              <w:pStyle w:val="35"/>
            </w:pPr>
            <w:r>
              <w:rPr>
                <w:rFonts w:hint="eastAsia"/>
              </w:rPr>
              <w:t>508</w:t>
            </w:r>
          </w:p>
        </w:tc>
        <w:tc>
          <w:tcPr>
            <w:tcW w:w="345" w:type="pct"/>
            <w:shd w:val="clear" w:color="auto" w:fill="auto"/>
            <w:noWrap/>
            <w:vAlign w:val="center"/>
          </w:tcPr>
          <w:p>
            <w:pPr>
              <w:pStyle w:val="35"/>
            </w:pPr>
            <w:r>
              <w:rPr>
                <w:rFonts w:hint="eastAsia"/>
              </w:rPr>
              <w:t>877</w:t>
            </w:r>
          </w:p>
        </w:tc>
        <w:tc>
          <w:tcPr>
            <w:tcW w:w="307" w:type="pct"/>
            <w:shd w:val="clear" w:color="auto" w:fill="auto"/>
            <w:noWrap/>
            <w:vAlign w:val="center"/>
          </w:tcPr>
          <w:p>
            <w:pPr>
              <w:pStyle w:val="35"/>
            </w:pPr>
            <w:r>
              <w:rPr>
                <w:rFonts w:hint="eastAsia"/>
              </w:rPr>
              <w:t>723</w:t>
            </w:r>
          </w:p>
        </w:tc>
        <w:tc>
          <w:tcPr>
            <w:tcW w:w="307" w:type="pct"/>
            <w:shd w:val="clear" w:color="auto" w:fill="auto"/>
            <w:noWrap/>
            <w:vAlign w:val="center"/>
          </w:tcPr>
          <w:p>
            <w:pPr>
              <w:pStyle w:val="35"/>
            </w:pPr>
            <w:r>
              <w:rPr>
                <w:rFonts w:hint="eastAsia"/>
              </w:rPr>
              <w:t>682</w:t>
            </w:r>
          </w:p>
        </w:tc>
        <w:tc>
          <w:tcPr>
            <w:tcW w:w="307" w:type="pct"/>
            <w:shd w:val="clear" w:color="auto" w:fill="auto"/>
            <w:noWrap/>
            <w:vAlign w:val="center"/>
          </w:tcPr>
          <w:p>
            <w:pPr>
              <w:pStyle w:val="35"/>
            </w:pPr>
            <w:r>
              <w:rPr>
                <w:rFonts w:hint="eastAsia"/>
              </w:rPr>
              <w:t>648</w:t>
            </w:r>
          </w:p>
        </w:tc>
        <w:tc>
          <w:tcPr>
            <w:tcW w:w="307" w:type="pct"/>
            <w:shd w:val="clear" w:color="auto" w:fill="auto"/>
            <w:noWrap/>
            <w:vAlign w:val="center"/>
          </w:tcPr>
          <w:p>
            <w:pPr>
              <w:pStyle w:val="35"/>
            </w:pPr>
            <w:r>
              <w:rPr>
                <w:rFonts w:hint="eastAsia"/>
              </w:rPr>
              <w:t>764</w:t>
            </w:r>
          </w:p>
        </w:tc>
        <w:tc>
          <w:tcPr>
            <w:tcW w:w="307" w:type="pct"/>
            <w:shd w:val="clear" w:color="auto" w:fill="auto"/>
            <w:noWrap/>
            <w:vAlign w:val="center"/>
          </w:tcPr>
          <w:p>
            <w:pPr>
              <w:pStyle w:val="35"/>
            </w:pPr>
            <w:r>
              <w:rPr>
                <w:rFonts w:hint="eastAsia"/>
              </w:rPr>
              <w:t>864</w:t>
            </w:r>
          </w:p>
        </w:tc>
        <w:tc>
          <w:tcPr>
            <w:tcW w:w="298" w:type="pct"/>
            <w:shd w:val="clear" w:color="auto" w:fill="auto"/>
            <w:noWrap/>
            <w:vAlign w:val="center"/>
          </w:tcPr>
          <w:p>
            <w:pPr>
              <w:pStyle w:val="35"/>
            </w:pPr>
            <w:r>
              <w:rPr>
                <w:rFonts w:hint="eastAsia"/>
              </w:rPr>
              <w:t>877</w:t>
            </w:r>
          </w:p>
        </w:tc>
        <w:tc>
          <w:tcPr>
            <w:tcW w:w="298" w:type="pct"/>
            <w:shd w:val="clear" w:color="auto" w:fill="auto"/>
            <w:noWrap/>
            <w:vAlign w:val="center"/>
          </w:tcPr>
          <w:p>
            <w:pPr>
              <w:pStyle w:val="35"/>
            </w:pPr>
            <w:r>
              <w:rPr>
                <w:rFonts w:hint="eastAsia"/>
              </w:rPr>
              <w:t>508</w:t>
            </w:r>
          </w:p>
        </w:tc>
        <w:tc>
          <w:tcPr>
            <w:tcW w:w="279" w:type="pct"/>
            <w:shd w:val="clear" w:color="auto" w:fill="auto"/>
            <w:noWrap/>
            <w:vAlign w:val="center"/>
          </w:tcPr>
          <w:p>
            <w:pPr>
              <w:pStyle w:val="35"/>
            </w:pPr>
            <w:r>
              <w:rPr>
                <w:rFonts w:hint="eastAsia"/>
              </w:rPr>
              <w:t>723.71</w:t>
            </w:r>
          </w:p>
        </w:tc>
        <w:tc>
          <w:tcPr>
            <w:tcW w:w="298" w:type="pct"/>
            <w:shd w:val="clear" w:color="auto" w:fill="auto"/>
            <w:noWrap/>
            <w:vAlign w:val="center"/>
          </w:tcPr>
          <w:p>
            <w:pPr>
              <w:pStyle w:val="35"/>
            </w:pPr>
            <w:r>
              <w:rPr>
                <w:rFonts w:hint="eastAsia"/>
              </w:rPr>
              <w:t>128.33</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高锰酸盐指数</w:t>
            </w:r>
          </w:p>
        </w:tc>
        <w:tc>
          <w:tcPr>
            <w:tcW w:w="344" w:type="pct"/>
            <w:shd w:val="clear" w:color="auto" w:fill="auto"/>
            <w:noWrap/>
            <w:vAlign w:val="center"/>
          </w:tcPr>
          <w:p>
            <w:pPr>
              <w:pStyle w:val="35"/>
            </w:pPr>
            <w:r>
              <w:rPr>
                <w:rFonts w:hint="eastAsia"/>
              </w:rPr>
              <w:t>0.7</w:t>
            </w:r>
          </w:p>
        </w:tc>
        <w:tc>
          <w:tcPr>
            <w:tcW w:w="345" w:type="pct"/>
            <w:shd w:val="clear" w:color="auto" w:fill="auto"/>
            <w:noWrap/>
            <w:vAlign w:val="center"/>
          </w:tcPr>
          <w:p>
            <w:pPr>
              <w:pStyle w:val="35"/>
            </w:pPr>
            <w:r>
              <w:rPr>
                <w:rFonts w:hint="eastAsia"/>
              </w:rPr>
              <w:t>1</w:t>
            </w:r>
          </w:p>
        </w:tc>
        <w:tc>
          <w:tcPr>
            <w:tcW w:w="307" w:type="pct"/>
            <w:shd w:val="clear" w:color="auto" w:fill="auto"/>
            <w:noWrap/>
            <w:vAlign w:val="center"/>
          </w:tcPr>
          <w:p>
            <w:pPr>
              <w:pStyle w:val="35"/>
            </w:pPr>
            <w:r>
              <w:rPr>
                <w:rFonts w:hint="eastAsia"/>
              </w:rPr>
              <w:t>0.9</w:t>
            </w:r>
          </w:p>
        </w:tc>
        <w:tc>
          <w:tcPr>
            <w:tcW w:w="307" w:type="pct"/>
            <w:shd w:val="clear" w:color="auto" w:fill="auto"/>
            <w:noWrap/>
            <w:vAlign w:val="center"/>
          </w:tcPr>
          <w:p>
            <w:pPr>
              <w:pStyle w:val="35"/>
            </w:pPr>
            <w:r>
              <w:rPr>
                <w:rFonts w:hint="eastAsia"/>
              </w:rPr>
              <w:t>0.6</w:t>
            </w:r>
          </w:p>
        </w:tc>
        <w:tc>
          <w:tcPr>
            <w:tcW w:w="307" w:type="pct"/>
            <w:shd w:val="clear" w:color="auto" w:fill="auto"/>
            <w:noWrap/>
            <w:vAlign w:val="center"/>
          </w:tcPr>
          <w:p>
            <w:pPr>
              <w:pStyle w:val="35"/>
            </w:pPr>
            <w:r>
              <w:rPr>
                <w:rFonts w:hint="eastAsia"/>
              </w:rPr>
              <w:t>0.6</w:t>
            </w:r>
          </w:p>
        </w:tc>
        <w:tc>
          <w:tcPr>
            <w:tcW w:w="307" w:type="pct"/>
            <w:shd w:val="clear" w:color="auto" w:fill="auto"/>
            <w:noWrap/>
            <w:vAlign w:val="center"/>
          </w:tcPr>
          <w:p>
            <w:pPr>
              <w:pStyle w:val="35"/>
            </w:pPr>
            <w:r>
              <w:rPr>
                <w:rFonts w:hint="eastAsia"/>
              </w:rPr>
              <w:t>0.8</w:t>
            </w:r>
          </w:p>
        </w:tc>
        <w:tc>
          <w:tcPr>
            <w:tcW w:w="307" w:type="pct"/>
            <w:shd w:val="clear" w:color="auto" w:fill="auto"/>
            <w:noWrap/>
            <w:vAlign w:val="center"/>
          </w:tcPr>
          <w:p>
            <w:pPr>
              <w:pStyle w:val="35"/>
            </w:pPr>
            <w:r>
              <w:rPr>
                <w:rFonts w:hint="eastAsia"/>
              </w:rPr>
              <w:t>0.6</w:t>
            </w:r>
          </w:p>
        </w:tc>
        <w:tc>
          <w:tcPr>
            <w:tcW w:w="298" w:type="pct"/>
            <w:shd w:val="clear" w:color="auto" w:fill="auto"/>
            <w:noWrap/>
            <w:vAlign w:val="center"/>
          </w:tcPr>
          <w:p>
            <w:pPr>
              <w:pStyle w:val="35"/>
            </w:pPr>
            <w:r>
              <w:rPr>
                <w:rFonts w:hint="eastAsia"/>
              </w:rPr>
              <w:t>1</w:t>
            </w:r>
          </w:p>
        </w:tc>
        <w:tc>
          <w:tcPr>
            <w:tcW w:w="298" w:type="pct"/>
            <w:shd w:val="clear" w:color="auto" w:fill="auto"/>
            <w:noWrap/>
            <w:vAlign w:val="center"/>
          </w:tcPr>
          <w:p>
            <w:pPr>
              <w:pStyle w:val="35"/>
            </w:pPr>
            <w:r>
              <w:rPr>
                <w:rFonts w:hint="eastAsia"/>
              </w:rPr>
              <w:t>0.6</w:t>
            </w:r>
          </w:p>
        </w:tc>
        <w:tc>
          <w:tcPr>
            <w:tcW w:w="279" w:type="pct"/>
            <w:shd w:val="clear" w:color="auto" w:fill="auto"/>
            <w:noWrap/>
            <w:vAlign w:val="center"/>
          </w:tcPr>
          <w:p>
            <w:pPr>
              <w:pStyle w:val="35"/>
            </w:pPr>
            <w:r>
              <w:rPr>
                <w:rFonts w:hint="eastAsia"/>
              </w:rPr>
              <w:t>0.74</w:t>
            </w:r>
          </w:p>
        </w:tc>
        <w:tc>
          <w:tcPr>
            <w:tcW w:w="298" w:type="pct"/>
            <w:shd w:val="clear" w:color="auto" w:fill="auto"/>
            <w:noWrap/>
            <w:vAlign w:val="center"/>
          </w:tcPr>
          <w:p>
            <w:pPr>
              <w:pStyle w:val="35"/>
            </w:pPr>
            <w:r>
              <w:rPr>
                <w:rFonts w:hint="eastAsia"/>
              </w:rPr>
              <w:t>0.16</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总大肠菌群/（MPN/L）</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0.00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细菌总数/（CFU/ml）</w:t>
            </w:r>
          </w:p>
        </w:tc>
        <w:tc>
          <w:tcPr>
            <w:tcW w:w="344" w:type="pct"/>
            <w:shd w:val="clear" w:color="auto" w:fill="auto"/>
            <w:noWrap/>
            <w:vAlign w:val="center"/>
          </w:tcPr>
          <w:p>
            <w:pPr>
              <w:pStyle w:val="35"/>
            </w:pPr>
            <w:r>
              <w:rPr>
                <w:rFonts w:hint="eastAsia"/>
              </w:rPr>
              <w:t>22</w:t>
            </w:r>
          </w:p>
        </w:tc>
        <w:tc>
          <w:tcPr>
            <w:tcW w:w="345" w:type="pct"/>
            <w:shd w:val="clear" w:color="auto" w:fill="auto"/>
            <w:noWrap/>
            <w:vAlign w:val="center"/>
          </w:tcPr>
          <w:p>
            <w:pPr>
              <w:pStyle w:val="35"/>
            </w:pPr>
            <w:r>
              <w:rPr>
                <w:rFonts w:hint="eastAsia"/>
              </w:rPr>
              <w:t>27</w:t>
            </w:r>
          </w:p>
        </w:tc>
        <w:tc>
          <w:tcPr>
            <w:tcW w:w="307" w:type="pct"/>
            <w:shd w:val="clear" w:color="auto" w:fill="auto"/>
            <w:noWrap/>
            <w:vAlign w:val="center"/>
          </w:tcPr>
          <w:p>
            <w:pPr>
              <w:pStyle w:val="35"/>
            </w:pPr>
            <w:r>
              <w:rPr>
                <w:rFonts w:hint="eastAsia"/>
              </w:rPr>
              <w:t>24</w:t>
            </w:r>
          </w:p>
        </w:tc>
        <w:tc>
          <w:tcPr>
            <w:tcW w:w="307" w:type="pct"/>
            <w:shd w:val="clear" w:color="auto" w:fill="auto"/>
            <w:noWrap/>
            <w:vAlign w:val="center"/>
          </w:tcPr>
          <w:p>
            <w:pPr>
              <w:pStyle w:val="35"/>
            </w:pPr>
            <w:r>
              <w:rPr>
                <w:rFonts w:hint="eastAsia"/>
              </w:rPr>
              <w:t>43</w:t>
            </w:r>
          </w:p>
        </w:tc>
        <w:tc>
          <w:tcPr>
            <w:tcW w:w="307" w:type="pct"/>
            <w:shd w:val="clear" w:color="auto" w:fill="auto"/>
            <w:noWrap/>
            <w:vAlign w:val="center"/>
          </w:tcPr>
          <w:p>
            <w:pPr>
              <w:pStyle w:val="35"/>
            </w:pPr>
            <w:r>
              <w:rPr>
                <w:rFonts w:hint="eastAsia"/>
              </w:rPr>
              <w:t>12</w:t>
            </w:r>
          </w:p>
        </w:tc>
        <w:tc>
          <w:tcPr>
            <w:tcW w:w="307" w:type="pct"/>
            <w:shd w:val="clear" w:color="auto" w:fill="auto"/>
            <w:noWrap/>
            <w:vAlign w:val="center"/>
          </w:tcPr>
          <w:p>
            <w:pPr>
              <w:pStyle w:val="35"/>
            </w:pPr>
            <w:r>
              <w:rPr>
                <w:rFonts w:hint="eastAsia"/>
              </w:rPr>
              <w:t>51</w:t>
            </w:r>
          </w:p>
        </w:tc>
        <w:tc>
          <w:tcPr>
            <w:tcW w:w="307" w:type="pct"/>
            <w:shd w:val="clear" w:color="auto" w:fill="auto"/>
            <w:noWrap/>
            <w:vAlign w:val="center"/>
          </w:tcPr>
          <w:p>
            <w:pPr>
              <w:pStyle w:val="35"/>
            </w:pPr>
            <w:r>
              <w:rPr>
                <w:rFonts w:hint="eastAsia"/>
              </w:rPr>
              <w:t>2</w:t>
            </w:r>
          </w:p>
        </w:tc>
        <w:tc>
          <w:tcPr>
            <w:tcW w:w="298" w:type="pct"/>
            <w:shd w:val="clear" w:color="auto" w:fill="auto"/>
            <w:noWrap/>
            <w:vAlign w:val="center"/>
          </w:tcPr>
          <w:p>
            <w:pPr>
              <w:pStyle w:val="35"/>
            </w:pPr>
            <w:r>
              <w:rPr>
                <w:rFonts w:hint="eastAsia"/>
              </w:rPr>
              <w:t>51</w:t>
            </w:r>
          </w:p>
        </w:tc>
        <w:tc>
          <w:tcPr>
            <w:tcW w:w="298" w:type="pct"/>
            <w:shd w:val="clear" w:color="auto" w:fill="auto"/>
            <w:noWrap/>
            <w:vAlign w:val="center"/>
          </w:tcPr>
          <w:p>
            <w:pPr>
              <w:pStyle w:val="35"/>
            </w:pPr>
            <w:r>
              <w:rPr>
                <w:rFonts w:hint="eastAsia"/>
              </w:rPr>
              <w:t>2</w:t>
            </w:r>
          </w:p>
        </w:tc>
        <w:tc>
          <w:tcPr>
            <w:tcW w:w="279" w:type="pct"/>
            <w:shd w:val="clear" w:color="auto" w:fill="auto"/>
            <w:noWrap/>
            <w:vAlign w:val="center"/>
          </w:tcPr>
          <w:p>
            <w:pPr>
              <w:pStyle w:val="35"/>
            </w:pPr>
            <w:r>
              <w:rPr>
                <w:rFonts w:hint="eastAsia"/>
              </w:rPr>
              <w:t>25.86</w:t>
            </w:r>
          </w:p>
        </w:tc>
        <w:tc>
          <w:tcPr>
            <w:tcW w:w="298" w:type="pct"/>
            <w:shd w:val="clear" w:color="auto" w:fill="auto"/>
            <w:noWrap/>
            <w:vAlign w:val="center"/>
          </w:tcPr>
          <w:p>
            <w:pPr>
              <w:pStyle w:val="35"/>
            </w:pPr>
            <w:r>
              <w:rPr>
                <w:rFonts w:hint="eastAsia"/>
              </w:rPr>
              <w:t>16.87</w:t>
            </w:r>
          </w:p>
        </w:tc>
        <w:tc>
          <w:tcPr>
            <w:tcW w:w="298"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石油类</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5" w:type="pct"/>
            <w:shd w:val="clear" w:color="auto" w:fill="auto"/>
            <w:noWrap/>
            <w:vAlign w:val="center"/>
          </w:tcPr>
          <w:p>
            <w:pPr>
              <w:pStyle w:val="35"/>
            </w:pPr>
            <w:r>
              <w:rPr>
                <w:rFonts w:hint="eastAsia"/>
              </w:rPr>
              <w:t>硫化物</w:t>
            </w:r>
          </w:p>
        </w:tc>
        <w:tc>
          <w:tcPr>
            <w:tcW w:w="344" w:type="pct"/>
            <w:shd w:val="clear" w:color="auto" w:fill="auto"/>
            <w:noWrap/>
            <w:vAlign w:val="center"/>
          </w:tcPr>
          <w:p>
            <w:pPr>
              <w:pStyle w:val="35"/>
            </w:pPr>
            <w:r>
              <w:rPr>
                <w:rFonts w:hint="eastAsia"/>
              </w:rPr>
              <w:t>--</w:t>
            </w:r>
          </w:p>
        </w:tc>
        <w:tc>
          <w:tcPr>
            <w:tcW w:w="345"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307" w:type="pct"/>
            <w:shd w:val="clear" w:color="auto" w:fill="auto"/>
            <w:noWrap/>
            <w:vAlign w:val="center"/>
          </w:tcPr>
          <w:p>
            <w:pPr>
              <w:pStyle w:val="35"/>
            </w:pPr>
            <w:r>
              <w:rPr>
                <w:rFonts w:hint="eastAsia"/>
              </w:rPr>
              <w:t>--</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79"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c>
          <w:tcPr>
            <w:tcW w:w="298" w:type="pct"/>
            <w:shd w:val="clear" w:color="auto" w:fill="auto"/>
            <w:noWrap/>
            <w:vAlign w:val="center"/>
          </w:tcPr>
          <w:p>
            <w:pPr>
              <w:pStyle w:val="35"/>
            </w:pPr>
            <w:r>
              <w:rPr>
                <w:rFonts w:hint="eastAsia"/>
              </w:rPr>
              <w:t>0%</w:t>
            </w:r>
          </w:p>
        </w:tc>
      </w:tr>
    </w:tbl>
    <w:p>
      <w:pPr>
        <w:pStyle w:val="32"/>
        <w:tabs>
          <w:tab w:val="left" w:pos="4540"/>
        </w:tabs>
      </w:pPr>
      <w:bookmarkStart w:id="121" w:name="_Ref18430253"/>
      <w:r>
        <w:rPr>
          <w:rFonts w:hint="eastAsia"/>
        </w:rPr>
        <w:t>表4.3</w:t>
      </w:r>
      <w:r>
        <w:rPr>
          <w:rFonts w:hint="eastAsia"/>
        </w:rPr>
        <w:noBreakHyphen/>
      </w:r>
      <w:bookmarkEnd w:id="121"/>
      <w:r>
        <w:rPr>
          <w:rFonts w:hint="eastAsia"/>
        </w:rPr>
        <w:t>27                           2020年3月地下水质量现状监测评价结果表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88"/>
        <w:gridCol w:w="1106"/>
        <w:gridCol w:w="1107"/>
        <w:gridCol w:w="1107"/>
        <w:gridCol w:w="1110"/>
        <w:gridCol w:w="1110"/>
        <w:gridCol w:w="1110"/>
        <w:gridCol w:w="1118"/>
        <w:gridCol w:w="1972"/>
        <w:gridCol w:w="199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875" w:type="pct"/>
            <w:vMerge w:val="restart"/>
            <w:shd w:val="clear" w:color="auto" w:fill="auto"/>
            <w:noWrap/>
            <w:vAlign w:val="center"/>
          </w:tcPr>
          <w:p>
            <w:pPr>
              <w:pStyle w:val="35"/>
              <w:rPr>
                <w:b/>
                <w:bCs/>
              </w:rPr>
            </w:pPr>
            <w:r>
              <w:rPr>
                <w:rFonts w:hint="eastAsia"/>
                <w:b/>
                <w:bCs/>
              </w:rPr>
              <w:t>分析因子</w:t>
            </w:r>
          </w:p>
        </w:tc>
        <w:tc>
          <w:tcPr>
            <w:tcW w:w="2730" w:type="pct"/>
            <w:gridSpan w:val="7"/>
            <w:shd w:val="clear" w:color="auto" w:fill="auto"/>
            <w:noWrap/>
            <w:vAlign w:val="center"/>
          </w:tcPr>
          <w:p>
            <w:pPr>
              <w:pStyle w:val="35"/>
              <w:rPr>
                <w:b/>
                <w:bCs/>
              </w:rPr>
            </w:pPr>
            <w:r>
              <w:rPr>
                <w:rFonts w:hint="eastAsia"/>
                <w:b/>
                <w:bCs/>
              </w:rPr>
              <w:t>标准指数</w:t>
            </w:r>
          </w:p>
        </w:tc>
        <w:tc>
          <w:tcPr>
            <w:tcW w:w="693" w:type="pct"/>
            <w:vMerge w:val="restart"/>
            <w:shd w:val="clear" w:color="auto" w:fill="auto"/>
            <w:noWrap/>
            <w:vAlign w:val="center"/>
          </w:tcPr>
          <w:p>
            <w:pPr>
              <w:pStyle w:val="35"/>
              <w:rPr>
                <w:b/>
                <w:bCs/>
              </w:rPr>
            </w:pPr>
            <w:r>
              <w:rPr>
                <w:b/>
                <w:bCs/>
              </w:rPr>
              <w:t>最大标准指数</w:t>
            </w:r>
          </w:p>
        </w:tc>
        <w:tc>
          <w:tcPr>
            <w:tcW w:w="701" w:type="pct"/>
            <w:vMerge w:val="restart"/>
            <w:shd w:val="clear" w:color="auto" w:fill="auto"/>
            <w:noWrap/>
            <w:vAlign w:val="center"/>
          </w:tcPr>
          <w:p>
            <w:pPr>
              <w:pStyle w:val="35"/>
              <w:rPr>
                <w:b/>
                <w:bCs/>
              </w:rPr>
            </w:pPr>
            <w:r>
              <w:rPr>
                <w:b/>
                <w:bCs/>
              </w:rPr>
              <w:t>超标率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875" w:type="pct"/>
            <w:vMerge w:val="continue"/>
            <w:shd w:val="clear" w:color="auto" w:fill="auto"/>
            <w:noWrap/>
            <w:vAlign w:val="center"/>
          </w:tcPr>
          <w:p>
            <w:pPr>
              <w:pStyle w:val="35"/>
              <w:rPr>
                <w:b/>
                <w:bCs/>
              </w:rPr>
            </w:pPr>
          </w:p>
        </w:tc>
        <w:tc>
          <w:tcPr>
            <w:tcW w:w="389" w:type="pct"/>
            <w:shd w:val="clear" w:color="auto" w:fill="auto"/>
            <w:noWrap/>
            <w:vAlign w:val="center"/>
          </w:tcPr>
          <w:p>
            <w:pPr>
              <w:pStyle w:val="35"/>
              <w:rPr>
                <w:b/>
                <w:bCs/>
              </w:rPr>
            </w:pPr>
            <w:r>
              <w:rPr>
                <w:b/>
                <w:bCs/>
              </w:rPr>
              <w:t>SY1</w:t>
            </w:r>
          </w:p>
        </w:tc>
        <w:tc>
          <w:tcPr>
            <w:tcW w:w="389" w:type="pct"/>
            <w:shd w:val="clear" w:color="auto" w:fill="auto"/>
            <w:noWrap/>
            <w:vAlign w:val="center"/>
          </w:tcPr>
          <w:p>
            <w:pPr>
              <w:pStyle w:val="35"/>
              <w:rPr>
                <w:b/>
                <w:bCs/>
              </w:rPr>
            </w:pPr>
            <w:r>
              <w:rPr>
                <w:b/>
                <w:bCs/>
              </w:rPr>
              <w:t>SY2</w:t>
            </w:r>
          </w:p>
        </w:tc>
        <w:tc>
          <w:tcPr>
            <w:tcW w:w="389" w:type="pct"/>
            <w:shd w:val="clear" w:color="auto" w:fill="auto"/>
            <w:noWrap/>
            <w:vAlign w:val="center"/>
          </w:tcPr>
          <w:p>
            <w:pPr>
              <w:pStyle w:val="35"/>
              <w:rPr>
                <w:b/>
                <w:bCs/>
              </w:rPr>
            </w:pPr>
            <w:r>
              <w:rPr>
                <w:b/>
                <w:bCs/>
              </w:rPr>
              <w:t>SY3</w:t>
            </w:r>
          </w:p>
        </w:tc>
        <w:tc>
          <w:tcPr>
            <w:tcW w:w="390" w:type="pct"/>
            <w:shd w:val="clear" w:color="auto" w:fill="auto"/>
            <w:noWrap/>
            <w:vAlign w:val="center"/>
          </w:tcPr>
          <w:p>
            <w:pPr>
              <w:pStyle w:val="35"/>
              <w:rPr>
                <w:b/>
                <w:bCs/>
              </w:rPr>
            </w:pPr>
            <w:r>
              <w:rPr>
                <w:b/>
                <w:bCs/>
              </w:rPr>
              <w:t>SY4</w:t>
            </w:r>
          </w:p>
        </w:tc>
        <w:tc>
          <w:tcPr>
            <w:tcW w:w="390" w:type="pct"/>
            <w:shd w:val="clear" w:color="auto" w:fill="auto"/>
            <w:noWrap/>
            <w:vAlign w:val="center"/>
          </w:tcPr>
          <w:p>
            <w:pPr>
              <w:pStyle w:val="35"/>
              <w:rPr>
                <w:b/>
                <w:bCs/>
              </w:rPr>
            </w:pPr>
            <w:r>
              <w:rPr>
                <w:b/>
                <w:bCs/>
              </w:rPr>
              <w:t>SY5</w:t>
            </w:r>
          </w:p>
        </w:tc>
        <w:tc>
          <w:tcPr>
            <w:tcW w:w="390" w:type="pct"/>
            <w:shd w:val="clear" w:color="auto" w:fill="auto"/>
            <w:noWrap/>
            <w:vAlign w:val="center"/>
          </w:tcPr>
          <w:p>
            <w:pPr>
              <w:pStyle w:val="35"/>
              <w:rPr>
                <w:b/>
                <w:bCs/>
              </w:rPr>
            </w:pPr>
            <w:r>
              <w:rPr>
                <w:b/>
                <w:bCs/>
              </w:rPr>
              <w:t>SY6</w:t>
            </w:r>
          </w:p>
        </w:tc>
        <w:tc>
          <w:tcPr>
            <w:tcW w:w="391" w:type="pct"/>
            <w:shd w:val="clear" w:color="auto" w:fill="auto"/>
            <w:noWrap/>
            <w:vAlign w:val="center"/>
          </w:tcPr>
          <w:p>
            <w:pPr>
              <w:pStyle w:val="35"/>
              <w:rPr>
                <w:b/>
                <w:bCs/>
              </w:rPr>
            </w:pPr>
            <w:r>
              <w:rPr>
                <w:b/>
                <w:bCs/>
              </w:rPr>
              <w:t>SY7</w:t>
            </w:r>
          </w:p>
        </w:tc>
        <w:tc>
          <w:tcPr>
            <w:tcW w:w="693" w:type="pct"/>
            <w:vMerge w:val="continue"/>
            <w:shd w:val="clear" w:color="auto" w:fill="auto"/>
            <w:noWrap/>
            <w:vAlign w:val="center"/>
          </w:tcPr>
          <w:p>
            <w:pPr>
              <w:pStyle w:val="35"/>
              <w:rPr>
                <w:b/>
                <w:bCs/>
              </w:rPr>
            </w:pPr>
          </w:p>
        </w:tc>
        <w:tc>
          <w:tcPr>
            <w:tcW w:w="701" w:type="pct"/>
            <w:vMerge w:val="continue"/>
            <w:shd w:val="clear" w:color="auto" w:fill="auto"/>
            <w:noWrap/>
            <w:vAlign w:val="center"/>
          </w:tcPr>
          <w:p>
            <w:pPr>
              <w:pStyle w:val="35"/>
              <w:rPr>
                <w:b/>
                <w:bCs/>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钠</w:t>
            </w:r>
          </w:p>
        </w:tc>
        <w:tc>
          <w:tcPr>
            <w:tcW w:w="389" w:type="pct"/>
            <w:shd w:val="clear" w:color="auto" w:fill="auto"/>
            <w:noWrap/>
            <w:vAlign w:val="center"/>
          </w:tcPr>
          <w:p>
            <w:pPr>
              <w:pStyle w:val="35"/>
            </w:pPr>
            <w:r>
              <w:rPr>
                <w:rFonts w:hint="eastAsia"/>
              </w:rPr>
              <w:t>0.15</w:t>
            </w:r>
          </w:p>
        </w:tc>
        <w:tc>
          <w:tcPr>
            <w:tcW w:w="389" w:type="pct"/>
            <w:shd w:val="clear" w:color="auto" w:fill="auto"/>
            <w:noWrap/>
            <w:vAlign w:val="center"/>
          </w:tcPr>
          <w:p>
            <w:pPr>
              <w:pStyle w:val="35"/>
            </w:pPr>
            <w:r>
              <w:rPr>
                <w:rFonts w:hint="eastAsia"/>
              </w:rPr>
              <w:t>0.21</w:t>
            </w:r>
          </w:p>
        </w:tc>
        <w:tc>
          <w:tcPr>
            <w:tcW w:w="389" w:type="pct"/>
            <w:shd w:val="clear" w:color="auto" w:fill="auto"/>
            <w:noWrap/>
            <w:vAlign w:val="center"/>
          </w:tcPr>
          <w:p>
            <w:pPr>
              <w:pStyle w:val="35"/>
            </w:pPr>
            <w:r>
              <w:rPr>
                <w:rFonts w:hint="eastAsia"/>
              </w:rPr>
              <w:t>0.20</w:t>
            </w:r>
          </w:p>
        </w:tc>
        <w:tc>
          <w:tcPr>
            <w:tcW w:w="390" w:type="pct"/>
            <w:shd w:val="clear" w:color="auto" w:fill="auto"/>
            <w:noWrap/>
            <w:vAlign w:val="center"/>
          </w:tcPr>
          <w:p>
            <w:pPr>
              <w:pStyle w:val="35"/>
            </w:pPr>
            <w:r>
              <w:rPr>
                <w:rFonts w:hint="eastAsia"/>
              </w:rPr>
              <w:t>0.17</w:t>
            </w:r>
          </w:p>
        </w:tc>
        <w:tc>
          <w:tcPr>
            <w:tcW w:w="390" w:type="pct"/>
            <w:shd w:val="clear" w:color="auto" w:fill="auto"/>
            <w:noWrap/>
            <w:vAlign w:val="center"/>
          </w:tcPr>
          <w:p>
            <w:pPr>
              <w:pStyle w:val="35"/>
            </w:pPr>
            <w:r>
              <w:rPr>
                <w:rFonts w:hint="eastAsia"/>
              </w:rPr>
              <w:t>0.15</w:t>
            </w:r>
          </w:p>
        </w:tc>
        <w:tc>
          <w:tcPr>
            <w:tcW w:w="390" w:type="pct"/>
            <w:shd w:val="clear" w:color="auto" w:fill="auto"/>
            <w:noWrap/>
            <w:vAlign w:val="center"/>
          </w:tcPr>
          <w:p>
            <w:pPr>
              <w:pStyle w:val="35"/>
            </w:pPr>
            <w:r>
              <w:rPr>
                <w:rFonts w:hint="eastAsia"/>
              </w:rPr>
              <w:t>0.15</w:t>
            </w:r>
          </w:p>
        </w:tc>
        <w:tc>
          <w:tcPr>
            <w:tcW w:w="391" w:type="pct"/>
            <w:shd w:val="clear" w:color="auto" w:fill="auto"/>
            <w:noWrap/>
            <w:vAlign w:val="center"/>
          </w:tcPr>
          <w:p>
            <w:pPr>
              <w:pStyle w:val="35"/>
            </w:pPr>
            <w:r>
              <w:rPr>
                <w:rFonts w:hint="eastAsia"/>
              </w:rPr>
              <w:t>0.21</w:t>
            </w:r>
          </w:p>
        </w:tc>
        <w:tc>
          <w:tcPr>
            <w:tcW w:w="693" w:type="pct"/>
            <w:shd w:val="clear" w:color="auto" w:fill="auto"/>
            <w:noWrap/>
            <w:vAlign w:val="center"/>
          </w:tcPr>
          <w:p>
            <w:pPr>
              <w:pStyle w:val="35"/>
            </w:pPr>
            <w:r>
              <w:rPr>
                <w:rFonts w:hint="eastAsia"/>
              </w:rPr>
              <w:t>0.21</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镉</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铅</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铁</w:t>
            </w:r>
          </w:p>
        </w:tc>
        <w:tc>
          <w:tcPr>
            <w:tcW w:w="389" w:type="pct"/>
            <w:shd w:val="clear" w:color="auto" w:fill="auto"/>
            <w:noWrap/>
            <w:vAlign w:val="center"/>
          </w:tcPr>
          <w:p>
            <w:pPr>
              <w:pStyle w:val="35"/>
            </w:pPr>
            <w:r>
              <w:rPr>
                <w:rFonts w:hint="eastAsia"/>
              </w:rPr>
              <w:t>0.16</w:t>
            </w:r>
          </w:p>
        </w:tc>
        <w:tc>
          <w:tcPr>
            <w:tcW w:w="389" w:type="pct"/>
            <w:shd w:val="clear" w:color="auto" w:fill="auto"/>
            <w:noWrap/>
            <w:vAlign w:val="center"/>
          </w:tcPr>
          <w:p>
            <w:pPr>
              <w:pStyle w:val="35"/>
            </w:pPr>
            <w:r>
              <w:rPr>
                <w:rFonts w:hint="eastAsia"/>
              </w:rPr>
              <w:t>0.22</w:t>
            </w:r>
          </w:p>
        </w:tc>
        <w:tc>
          <w:tcPr>
            <w:tcW w:w="389" w:type="pct"/>
            <w:shd w:val="clear" w:color="auto" w:fill="auto"/>
            <w:noWrap/>
            <w:vAlign w:val="center"/>
          </w:tcPr>
          <w:p>
            <w:pPr>
              <w:pStyle w:val="35"/>
            </w:pPr>
            <w:r>
              <w:rPr>
                <w:rFonts w:hint="eastAsia"/>
              </w:rPr>
              <w:t>0.16</w:t>
            </w:r>
          </w:p>
        </w:tc>
        <w:tc>
          <w:tcPr>
            <w:tcW w:w="390" w:type="pct"/>
            <w:shd w:val="clear" w:color="auto" w:fill="auto"/>
            <w:noWrap/>
            <w:vAlign w:val="center"/>
          </w:tcPr>
          <w:p>
            <w:pPr>
              <w:pStyle w:val="35"/>
            </w:pPr>
            <w:r>
              <w:rPr>
                <w:rFonts w:hint="eastAsia"/>
              </w:rPr>
              <w:t>0.14</w:t>
            </w:r>
          </w:p>
        </w:tc>
        <w:tc>
          <w:tcPr>
            <w:tcW w:w="390" w:type="pct"/>
            <w:shd w:val="clear" w:color="auto" w:fill="auto"/>
            <w:noWrap/>
            <w:vAlign w:val="center"/>
          </w:tcPr>
          <w:p>
            <w:pPr>
              <w:pStyle w:val="35"/>
            </w:pPr>
            <w:r>
              <w:rPr>
                <w:rFonts w:hint="eastAsia"/>
              </w:rPr>
              <w:t>0.11</w:t>
            </w:r>
          </w:p>
        </w:tc>
        <w:tc>
          <w:tcPr>
            <w:tcW w:w="390" w:type="pct"/>
            <w:shd w:val="clear" w:color="auto" w:fill="auto"/>
            <w:noWrap/>
            <w:vAlign w:val="center"/>
          </w:tcPr>
          <w:p>
            <w:pPr>
              <w:pStyle w:val="35"/>
            </w:pPr>
            <w:r>
              <w:rPr>
                <w:rFonts w:hint="eastAsia"/>
              </w:rPr>
              <w:t>0.15</w:t>
            </w:r>
          </w:p>
        </w:tc>
        <w:tc>
          <w:tcPr>
            <w:tcW w:w="391" w:type="pct"/>
            <w:shd w:val="clear" w:color="auto" w:fill="auto"/>
            <w:noWrap/>
            <w:vAlign w:val="center"/>
          </w:tcPr>
          <w:p>
            <w:pPr>
              <w:pStyle w:val="35"/>
            </w:pPr>
            <w:r>
              <w:rPr>
                <w:rFonts w:hint="eastAsia"/>
              </w:rPr>
              <w:t>0.18</w:t>
            </w:r>
          </w:p>
        </w:tc>
        <w:tc>
          <w:tcPr>
            <w:tcW w:w="693" w:type="pct"/>
            <w:shd w:val="clear" w:color="auto" w:fill="auto"/>
            <w:noWrap/>
            <w:vAlign w:val="center"/>
          </w:tcPr>
          <w:p>
            <w:pPr>
              <w:pStyle w:val="35"/>
            </w:pPr>
            <w:r>
              <w:rPr>
                <w:rFonts w:hint="eastAsia"/>
              </w:rPr>
              <w:t>0.22</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锰</w:t>
            </w:r>
          </w:p>
        </w:tc>
        <w:tc>
          <w:tcPr>
            <w:tcW w:w="389" w:type="pct"/>
            <w:shd w:val="clear" w:color="auto" w:fill="auto"/>
            <w:noWrap/>
            <w:vAlign w:val="center"/>
          </w:tcPr>
          <w:p>
            <w:pPr>
              <w:pStyle w:val="35"/>
            </w:pPr>
            <w:r>
              <w:rPr>
                <w:rFonts w:hint="eastAsia"/>
              </w:rPr>
              <w:t>1.36</w:t>
            </w:r>
          </w:p>
        </w:tc>
        <w:tc>
          <w:tcPr>
            <w:tcW w:w="389" w:type="pct"/>
            <w:shd w:val="clear" w:color="auto" w:fill="auto"/>
            <w:noWrap/>
            <w:vAlign w:val="center"/>
          </w:tcPr>
          <w:p>
            <w:pPr>
              <w:pStyle w:val="35"/>
            </w:pPr>
            <w:r>
              <w:rPr>
                <w:rFonts w:hint="eastAsia"/>
              </w:rPr>
              <w:t>3.25</w:t>
            </w:r>
          </w:p>
        </w:tc>
        <w:tc>
          <w:tcPr>
            <w:tcW w:w="389" w:type="pct"/>
            <w:shd w:val="clear" w:color="auto" w:fill="auto"/>
            <w:noWrap/>
            <w:vAlign w:val="center"/>
          </w:tcPr>
          <w:p>
            <w:pPr>
              <w:pStyle w:val="35"/>
            </w:pPr>
            <w:r>
              <w:rPr>
                <w:rFonts w:hint="eastAsia"/>
              </w:rPr>
              <w:t>1.46</w:t>
            </w:r>
          </w:p>
        </w:tc>
        <w:tc>
          <w:tcPr>
            <w:tcW w:w="390" w:type="pct"/>
            <w:shd w:val="clear" w:color="auto" w:fill="auto"/>
            <w:noWrap/>
            <w:vAlign w:val="center"/>
          </w:tcPr>
          <w:p>
            <w:pPr>
              <w:pStyle w:val="35"/>
            </w:pPr>
            <w:r>
              <w:rPr>
                <w:rFonts w:hint="eastAsia"/>
              </w:rPr>
              <w:t>1.74</w:t>
            </w:r>
          </w:p>
        </w:tc>
        <w:tc>
          <w:tcPr>
            <w:tcW w:w="390" w:type="pct"/>
            <w:shd w:val="clear" w:color="auto" w:fill="auto"/>
            <w:noWrap/>
            <w:vAlign w:val="center"/>
          </w:tcPr>
          <w:p>
            <w:pPr>
              <w:pStyle w:val="35"/>
            </w:pPr>
            <w:r>
              <w:rPr>
                <w:rFonts w:hint="eastAsia"/>
              </w:rPr>
              <w:t>2.81</w:t>
            </w:r>
          </w:p>
        </w:tc>
        <w:tc>
          <w:tcPr>
            <w:tcW w:w="390" w:type="pct"/>
            <w:shd w:val="clear" w:color="auto" w:fill="auto"/>
            <w:noWrap/>
            <w:vAlign w:val="center"/>
          </w:tcPr>
          <w:p>
            <w:pPr>
              <w:pStyle w:val="35"/>
            </w:pPr>
            <w:r>
              <w:rPr>
                <w:rFonts w:hint="eastAsia"/>
              </w:rPr>
              <w:t>2.58</w:t>
            </w:r>
          </w:p>
        </w:tc>
        <w:tc>
          <w:tcPr>
            <w:tcW w:w="391" w:type="pct"/>
            <w:shd w:val="clear" w:color="auto" w:fill="auto"/>
            <w:noWrap/>
            <w:vAlign w:val="center"/>
          </w:tcPr>
          <w:p>
            <w:pPr>
              <w:pStyle w:val="35"/>
            </w:pPr>
            <w:r>
              <w:rPr>
                <w:rFonts w:hint="eastAsia"/>
              </w:rPr>
              <w:t>0.123</w:t>
            </w:r>
          </w:p>
        </w:tc>
        <w:tc>
          <w:tcPr>
            <w:tcW w:w="693" w:type="pct"/>
            <w:shd w:val="clear" w:color="auto" w:fill="auto"/>
            <w:noWrap/>
            <w:vAlign w:val="center"/>
          </w:tcPr>
          <w:p>
            <w:pPr>
              <w:pStyle w:val="35"/>
            </w:pPr>
            <w:r>
              <w:rPr>
                <w:rFonts w:hint="eastAsia"/>
              </w:rPr>
              <w:t>3.25</w:t>
            </w:r>
          </w:p>
        </w:tc>
        <w:tc>
          <w:tcPr>
            <w:tcW w:w="701" w:type="pct"/>
            <w:shd w:val="clear" w:color="auto" w:fill="auto"/>
            <w:noWrap/>
            <w:vAlign w:val="center"/>
          </w:tcPr>
          <w:p>
            <w:pPr>
              <w:pStyle w:val="35"/>
            </w:pPr>
            <w:r>
              <w:rPr>
                <w:rFonts w:hint="eastAsia"/>
              </w:rPr>
              <w:t>85%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砷</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汞</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六价铬</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氯离子</w:t>
            </w:r>
          </w:p>
        </w:tc>
        <w:tc>
          <w:tcPr>
            <w:tcW w:w="389" w:type="pct"/>
            <w:shd w:val="clear" w:color="auto" w:fill="auto"/>
            <w:noWrap/>
            <w:vAlign w:val="center"/>
          </w:tcPr>
          <w:p>
            <w:pPr>
              <w:pStyle w:val="35"/>
            </w:pPr>
            <w:r>
              <w:rPr>
                <w:rFonts w:hint="eastAsia"/>
              </w:rPr>
              <w:t>0.10</w:t>
            </w:r>
          </w:p>
        </w:tc>
        <w:tc>
          <w:tcPr>
            <w:tcW w:w="389" w:type="pct"/>
            <w:shd w:val="clear" w:color="auto" w:fill="auto"/>
            <w:noWrap/>
            <w:vAlign w:val="center"/>
          </w:tcPr>
          <w:p>
            <w:pPr>
              <w:pStyle w:val="35"/>
            </w:pPr>
            <w:r>
              <w:rPr>
                <w:rFonts w:hint="eastAsia"/>
              </w:rPr>
              <w:t>0.30</w:t>
            </w:r>
          </w:p>
        </w:tc>
        <w:tc>
          <w:tcPr>
            <w:tcW w:w="389" w:type="pct"/>
            <w:shd w:val="clear" w:color="auto" w:fill="auto"/>
            <w:noWrap/>
            <w:vAlign w:val="center"/>
          </w:tcPr>
          <w:p>
            <w:pPr>
              <w:pStyle w:val="35"/>
            </w:pPr>
            <w:r>
              <w:rPr>
                <w:rFonts w:hint="eastAsia"/>
              </w:rPr>
              <w:t>0.43</w:t>
            </w:r>
          </w:p>
        </w:tc>
        <w:tc>
          <w:tcPr>
            <w:tcW w:w="390" w:type="pct"/>
            <w:shd w:val="clear" w:color="auto" w:fill="auto"/>
            <w:noWrap/>
            <w:vAlign w:val="center"/>
          </w:tcPr>
          <w:p>
            <w:pPr>
              <w:pStyle w:val="35"/>
            </w:pPr>
            <w:r>
              <w:rPr>
                <w:rFonts w:hint="eastAsia"/>
              </w:rPr>
              <w:t>0.35</w:t>
            </w:r>
          </w:p>
        </w:tc>
        <w:tc>
          <w:tcPr>
            <w:tcW w:w="390" w:type="pct"/>
            <w:shd w:val="clear" w:color="auto" w:fill="auto"/>
            <w:noWrap/>
            <w:vAlign w:val="center"/>
          </w:tcPr>
          <w:p>
            <w:pPr>
              <w:pStyle w:val="35"/>
            </w:pPr>
            <w:r>
              <w:rPr>
                <w:rFonts w:hint="eastAsia"/>
              </w:rPr>
              <w:t>0.18</w:t>
            </w:r>
          </w:p>
        </w:tc>
        <w:tc>
          <w:tcPr>
            <w:tcW w:w="390" w:type="pct"/>
            <w:shd w:val="clear" w:color="auto" w:fill="auto"/>
            <w:noWrap/>
            <w:vAlign w:val="center"/>
          </w:tcPr>
          <w:p>
            <w:pPr>
              <w:pStyle w:val="35"/>
            </w:pPr>
            <w:r>
              <w:rPr>
                <w:rFonts w:hint="eastAsia"/>
              </w:rPr>
              <w:t>0.33</w:t>
            </w:r>
          </w:p>
        </w:tc>
        <w:tc>
          <w:tcPr>
            <w:tcW w:w="391" w:type="pct"/>
            <w:shd w:val="clear" w:color="auto" w:fill="auto"/>
            <w:noWrap/>
            <w:vAlign w:val="center"/>
          </w:tcPr>
          <w:p>
            <w:pPr>
              <w:pStyle w:val="35"/>
            </w:pPr>
            <w:r>
              <w:rPr>
                <w:rFonts w:hint="eastAsia"/>
              </w:rPr>
              <w:t>1.34</w:t>
            </w:r>
          </w:p>
        </w:tc>
        <w:tc>
          <w:tcPr>
            <w:tcW w:w="693" w:type="pct"/>
            <w:shd w:val="clear" w:color="auto" w:fill="auto"/>
            <w:noWrap/>
            <w:vAlign w:val="center"/>
          </w:tcPr>
          <w:p>
            <w:pPr>
              <w:pStyle w:val="35"/>
            </w:pPr>
            <w:r>
              <w:rPr>
                <w:rFonts w:hint="eastAsia"/>
              </w:rPr>
              <w:t>1.34</w:t>
            </w:r>
          </w:p>
        </w:tc>
        <w:tc>
          <w:tcPr>
            <w:tcW w:w="701" w:type="pct"/>
            <w:shd w:val="clear" w:color="auto" w:fill="auto"/>
            <w:noWrap/>
            <w:vAlign w:val="center"/>
          </w:tcPr>
          <w:p>
            <w:pPr>
              <w:pStyle w:val="35"/>
            </w:pPr>
            <w:r>
              <w:rPr>
                <w:rFonts w:hint="eastAsia"/>
              </w:rP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硫酸根</w:t>
            </w:r>
          </w:p>
        </w:tc>
        <w:tc>
          <w:tcPr>
            <w:tcW w:w="389" w:type="pct"/>
            <w:shd w:val="clear" w:color="auto" w:fill="auto"/>
            <w:noWrap/>
            <w:vAlign w:val="center"/>
          </w:tcPr>
          <w:p>
            <w:pPr>
              <w:pStyle w:val="35"/>
            </w:pPr>
            <w:r>
              <w:rPr>
                <w:rFonts w:hint="eastAsia"/>
              </w:rPr>
              <w:t>0.03</w:t>
            </w:r>
          </w:p>
        </w:tc>
        <w:tc>
          <w:tcPr>
            <w:tcW w:w="389" w:type="pct"/>
            <w:shd w:val="clear" w:color="auto" w:fill="auto"/>
            <w:noWrap/>
            <w:vAlign w:val="center"/>
          </w:tcPr>
          <w:p>
            <w:pPr>
              <w:pStyle w:val="35"/>
            </w:pPr>
            <w:r>
              <w:rPr>
                <w:rFonts w:hint="eastAsia"/>
              </w:rPr>
              <w:t>0.80</w:t>
            </w:r>
          </w:p>
        </w:tc>
        <w:tc>
          <w:tcPr>
            <w:tcW w:w="389" w:type="pct"/>
            <w:shd w:val="clear" w:color="auto" w:fill="auto"/>
            <w:noWrap/>
            <w:vAlign w:val="center"/>
          </w:tcPr>
          <w:p>
            <w:pPr>
              <w:pStyle w:val="35"/>
            </w:pPr>
            <w:r>
              <w:rPr>
                <w:rFonts w:hint="eastAsia"/>
              </w:rPr>
              <w:t>0.67</w:t>
            </w:r>
          </w:p>
        </w:tc>
        <w:tc>
          <w:tcPr>
            <w:tcW w:w="390" w:type="pct"/>
            <w:shd w:val="clear" w:color="auto" w:fill="auto"/>
            <w:noWrap/>
            <w:vAlign w:val="center"/>
          </w:tcPr>
          <w:p>
            <w:pPr>
              <w:pStyle w:val="35"/>
            </w:pPr>
            <w:r>
              <w:rPr>
                <w:rFonts w:hint="eastAsia"/>
              </w:rPr>
              <w:t>0.23</w:t>
            </w:r>
          </w:p>
        </w:tc>
        <w:tc>
          <w:tcPr>
            <w:tcW w:w="390" w:type="pct"/>
            <w:shd w:val="clear" w:color="auto" w:fill="auto"/>
            <w:noWrap/>
            <w:vAlign w:val="center"/>
          </w:tcPr>
          <w:p>
            <w:pPr>
              <w:pStyle w:val="35"/>
            </w:pPr>
            <w:r>
              <w:rPr>
                <w:rFonts w:hint="eastAsia"/>
              </w:rPr>
              <w:t>0.22</w:t>
            </w:r>
          </w:p>
        </w:tc>
        <w:tc>
          <w:tcPr>
            <w:tcW w:w="390" w:type="pct"/>
            <w:shd w:val="clear" w:color="auto" w:fill="auto"/>
            <w:noWrap/>
            <w:vAlign w:val="center"/>
          </w:tcPr>
          <w:p>
            <w:pPr>
              <w:pStyle w:val="35"/>
            </w:pPr>
            <w:r>
              <w:rPr>
                <w:rFonts w:hint="eastAsia"/>
              </w:rPr>
              <w:t>0.09</w:t>
            </w:r>
          </w:p>
        </w:tc>
        <w:tc>
          <w:tcPr>
            <w:tcW w:w="391" w:type="pct"/>
            <w:shd w:val="clear" w:color="auto" w:fill="auto"/>
            <w:noWrap/>
            <w:vAlign w:val="center"/>
          </w:tcPr>
          <w:p>
            <w:pPr>
              <w:pStyle w:val="35"/>
            </w:pPr>
            <w:r>
              <w:rPr>
                <w:rFonts w:hint="eastAsia"/>
              </w:rPr>
              <w:t>1.06</w:t>
            </w:r>
          </w:p>
        </w:tc>
        <w:tc>
          <w:tcPr>
            <w:tcW w:w="693" w:type="pct"/>
            <w:shd w:val="clear" w:color="auto" w:fill="auto"/>
            <w:noWrap/>
            <w:vAlign w:val="center"/>
          </w:tcPr>
          <w:p>
            <w:pPr>
              <w:pStyle w:val="35"/>
            </w:pPr>
            <w:r>
              <w:rPr>
                <w:rFonts w:hint="eastAsia"/>
              </w:rPr>
              <w:t>1.06</w:t>
            </w:r>
          </w:p>
        </w:tc>
        <w:tc>
          <w:tcPr>
            <w:tcW w:w="701" w:type="pct"/>
            <w:shd w:val="clear" w:color="auto" w:fill="auto"/>
            <w:noWrap/>
            <w:vAlign w:val="center"/>
          </w:tcPr>
          <w:p>
            <w:pPr>
              <w:pStyle w:val="35"/>
            </w:pPr>
            <w:r>
              <w:rPr>
                <w:rFonts w:hint="eastAsia"/>
              </w:rP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硝酸盐（以N计）</w:t>
            </w:r>
          </w:p>
        </w:tc>
        <w:tc>
          <w:tcPr>
            <w:tcW w:w="389" w:type="pct"/>
            <w:shd w:val="clear" w:color="auto" w:fill="auto"/>
            <w:noWrap/>
            <w:vAlign w:val="center"/>
          </w:tcPr>
          <w:p>
            <w:pPr>
              <w:pStyle w:val="35"/>
            </w:pPr>
            <w:r>
              <w:rPr>
                <w:rFonts w:hint="eastAsia"/>
              </w:rPr>
              <w:t>0.00</w:t>
            </w:r>
          </w:p>
        </w:tc>
        <w:tc>
          <w:tcPr>
            <w:tcW w:w="389" w:type="pct"/>
            <w:shd w:val="clear" w:color="auto" w:fill="auto"/>
            <w:noWrap/>
            <w:vAlign w:val="center"/>
          </w:tcPr>
          <w:p>
            <w:pPr>
              <w:pStyle w:val="35"/>
            </w:pPr>
            <w:r>
              <w:rPr>
                <w:rFonts w:hint="eastAsia"/>
              </w:rPr>
              <w:t>0.00</w:t>
            </w:r>
          </w:p>
        </w:tc>
        <w:tc>
          <w:tcPr>
            <w:tcW w:w="389" w:type="pct"/>
            <w:shd w:val="clear" w:color="auto" w:fill="auto"/>
            <w:noWrap/>
            <w:vAlign w:val="center"/>
          </w:tcPr>
          <w:p>
            <w:pPr>
              <w:pStyle w:val="35"/>
            </w:pPr>
            <w:r>
              <w:rPr>
                <w:rFonts w:hint="eastAsia"/>
              </w:rPr>
              <w:t>0.26</w:t>
            </w:r>
          </w:p>
        </w:tc>
        <w:tc>
          <w:tcPr>
            <w:tcW w:w="390" w:type="pct"/>
            <w:shd w:val="clear" w:color="auto" w:fill="auto"/>
            <w:noWrap/>
            <w:vAlign w:val="center"/>
          </w:tcPr>
          <w:p>
            <w:pPr>
              <w:pStyle w:val="35"/>
            </w:pPr>
            <w:r>
              <w:rPr>
                <w:rFonts w:hint="eastAsia"/>
              </w:rPr>
              <w:t>0.00</w:t>
            </w:r>
          </w:p>
        </w:tc>
        <w:tc>
          <w:tcPr>
            <w:tcW w:w="390" w:type="pct"/>
            <w:shd w:val="clear" w:color="auto" w:fill="auto"/>
            <w:noWrap/>
            <w:vAlign w:val="center"/>
          </w:tcPr>
          <w:p>
            <w:pPr>
              <w:pStyle w:val="35"/>
            </w:pPr>
            <w:r>
              <w:rPr>
                <w:rFonts w:hint="eastAsia"/>
              </w:rPr>
              <w:t>0.00</w:t>
            </w:r>
          </w:p>
        </w:tc>
        <w:tc>
          <w:tcPr>
            <w:tcW w:w="390" w:type="pct"/>
            <w:shd w:val="clear" w:color="auto" w:fill="auto"/>
            <w:noWrap/>
            <w:vAlign w:val="center"/>
          </w:tcPr>
          <w:p>
            <w:pPr>
              <w:pStyle w:val="35"/>
            </w:pPr>
            <w:r>
              <w:rPr>
                <w:rFonts w:hint="eastAsia"/>
              </w:rPr>
              <w:t>0.00</w:t>
            </w:r>
          </w:p>
        </w:tc>
        <w:tc>
          <w:tcPr>
            <w:tcW w:w="391" w:type="pct"/>
            <w:shd w:val="clear" w:color="auto" w:fill="auto"/>
            <w:noWrap/>
            <w:vAlign w:val="center"/>
          </w:tcPr>
          <w:p>
            <w:pPr>
              <w:pStyle w:val="35"/>
            </w:pPr>
            <w:r>
              <w:rPr>
                <w:rFonts w:hint="eastAsia"/>
              </w:rPr>
              <w:t>0.00</w:t>
            </w:r>
          </w:p>
        </w:tc>
        <w:tc>
          <w:tcPr>
            <w:tcW w:w="693" w:type="pct"/>
            <w:shd w:val="clear" w:color="auto" w:fill="auto"/>
            <w:noWrap/>
            <w:vAlign w:val="center"/>
          </w:tcPr>
          <w:p>
            <w:pPr>
              <w:pStyle w:val="35"/>
            </w:pPr>
            <w:r>
              <w:rPr>
                <w:rFonts w:hint="eastAsia"/>
              </w:rPr>
              <w:t>0.26</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亚硝酸盐（以N计）</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氟化物</w:t>
            </w:r>
          </w:p>
        </w:tc>
        <w:tc>
          <w:tcPr>
            <w:tcW w:w="389" w:type="pct"/>
            <w:shd w:val="clear" w:color="auto" w:fill="auto"/>
            <w:noWrap/>
            <w:vAlign w:val="center"/>
          </w:tcPr>
          <w:p>
            <w:pPr>
              <w:pStyle w:val="35"/>
            </w:pPr>
            <w:r>
              <w:rPr>
                <w:rFonts w:hint="eastAsia"/>
              </w:rPr>
              <w:t>4.62</w:t>
            </w:r>
          </w:p>
        </w:tc>
        <w:tc>
          <w:tcPr>
            <w:tcW w:w="389" w:type="pct"/>
            <w:shd w:val="clear" w:color="auto" w:fill="auto"/>
            <w:noWrap/>
            <w:vAlign w:val="center"/>
          </w:tcPr>
          <w:p>
            <w:pPr>
              <w:pStyle w:val="35"/>
            </w:pPr>
            <w:r>
              <w:rPr>
                <w:rFonts w:hint="eastAsia"/>
              </w:rPr>
              <w:t>1.84</w:t>
            </w:r>
          </w:p>
        </w:tc>
        <w:tc>
          <w:tcPr>
            <w:tcW w:w="389" w:type="pct"/>
            <w:shd w:val="clear" w:color="auto" w:fill="auto"/>
            <w:noWrap/>
            <w:vAlign w:val="center"/>
          </w:tcPr>
          <w:p>
            <w:pPr>
              <w:pStyle w:val="35"/>
            </w:pPr>
            <w:r>
              <w:rPr>
                <w:rFonts w:hint="eastAsia"/>
              </w:rPr>
              <w:t>1.76</w:t>
            </w:r>
          </w:p>
        </w:tc>
        <w:tc>
          <w:tcPr>
            <w:tcW w:w="390" w:type="pct"/>
            <w:shd w:val="clear" w:color="auto" w:fill="auto"/>
            <w:noWrap/>
            <w:vAlign w:val="center"/>
          </w:tcPr>
          <w:p>
            <w:pPr>
              <w:pStyle w:val="35"/>
            </w:pPr>
            <w:r>
              <w:rPr>
                <w:rFonts w:hint="eastAsia"/>
              </w:rPr>
              <w:t>1.28</w:t>
            </w:r>
          </w:p>
        </w:tc>
        <w:tc>
          <w:tcPr>
            <w:tcW w:w="390" w:type="pct"/>
            <w:shd w:val="clear" w:color="auto" w:fill="auto"/>
            <w:noWrap/>
            <w:vAlign w:val="center"/>
          </w:tcPr>
          <w:p>
            <w:pPr>
              <w:pStyle w:val="35"/>
            </w:pPr>
            <w:r>
              <w:rPr>
                <w:rFonts w:hint="eastAsia"/>
              </w:rPr>
              <w:t>2.2</w:t>
            </w:r>
          </w:p>
        </w:tc>
        <w:tc>
          <w:tcPr>
            <w:tcW w:w="390" w:type="pct"/>
            <w:shd w:val="clear" w:color="auto" w:fill="auto"/>
            <w:noWrap/>
            <w:vAlign w:val="center"/>
          </w:tcPr>
          <w:p>
            <w:pPr>
              <w:pStyle w:val="35"/>
            </w:pPr>
            <w:r>
              <w:rPr>
                <w:rFonts w:hint="eastAsia"/>
              </w:rPr>
              <w:t>2.14</w:t>
            </w:r>
          </w:p>
        </w:tc>
        <w:tc>
          <w:tcPr>
            <w:tcW w:w="391" w:type="pct"/>
            <w:shd w:val="clear" w:color="auto" w:fill="auto"/>
            <w:noWrap/>
            <w:vAlign w:val="center"/>
          </w:tcPr>
          <w:p>
            <w:pPr>
              <w:pStyle w:val="35"/>
            </w:pPr>
            <w:r>
              <w:rPr>
                <w:rFonts w:hint="eastAsia"/>
              </w:rPr>
              <w:t>1.7</w:t>
            </w:r>
          </w:p>
        </w:tc>
        <w:tc>
          <w:tcPr>
            <w:tcW w:w="693" w:type="pct"/>
            <w:shd w:val="clear" w:color="auto" w:fill="auto"/>
            <w:noWrap/>
            <w:vAlign w:val="center"/>
          </w:tcPr>
          <w:p>
            <w:pPr>
              <w:pStyle w:val="35"/>
            </w:pPr>
            <w:r>
              <w:rPr>
                <w:rFonts w:hint="eastAsia"/>
              </w:rPr>
              <w:t>4.62</w:t>
            </w:r>
          </w:p>
        </w:tc>
        <w:tc>
          <w:tcPr>
            <w:tcW w:w="701" w:type="pct"/>
            <w:shd w:val="clear" w:color="auto" w:fill="auto"/>
            <w:noWrap/>
            <w:vAlign w:val="center"/>
          </w:tcPr>
          <w:p>
            <w:pPr>
              <w:pStyle w:val="35"/>
            </w:pPr>
            <w:r>
              <w:rPr>
                <w:rFonts w:hint="eastAsi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pH值</w:t>
            </w:r>
          </w:p>
        </w:tc>
        <w:tc>
          <w:tcPr>
            <w:tcW w:w="389" w:type="pct"/>
            <w:shd w:val="clear" w:color="auto" w:fill="auto"/>
            <w:noWrap/>
            <w:vAlign w:val="center"/>
          </w:tcPr>
          <w:p>
            <w:pPr>
              <w:pStyle w:val="35"/>
            </w:pPr>
            <w:r>
              <w:rPr>
                <w:rFonts w:hint="eastAsia"/>
              </w:rPr>
              <w:t>0.54</w:t>
            </w:r>
          </w:p>
        </w:tc>
        <w:tc>
          <w:tcPr>
            <w:tcW w:w="389" w:type="pct"/>
            <w:shd w:val="clear" w:color="auto" w:fill="auto"/>
            <w:noWrap/>
            <w:vAlign w:val="center"/>
          </w:tcPr>
          <w:p>
            <w:pPr>
              <w:pStyle w:val="35"/>
            </w:pPr>
            <w:r>
              <w:rPr>
                <w:rFonts w:hint="eastAsia"/>
              </w:rPr>
              <w:t>0.2</w:t>
            </w:r>
          </w:p>
        </w:tc>
        <w:tc>
          <w:tcPr>
            <w:tcW w:w="389" w:type="pct"/>
            <w:shd w:val="clear" w:color="auto" w:fill="auto"/>
            <w:noWrap/>
            <w:vAlign w:val="center"/>
          </w:tcPr>
          <w:p>
            <w:pPr>
              <w:pStyle w:val="35"/>
            </w:pPr>
            <w:r>
              <w:rPr>
                <w:rFonts w:hint="eastAsia"/>
              </w:rPr>
              <w:t>0.42</w:t>
            </w:r>
          </w:p>
        </w:tc>
        <w:tc>
          <w:tcPr>
            <w:tcW w:w="390" w:type="pct"/>
            <w:shd w:val="clear" w:color="auto" w:fill="auto"/>
            <w:noWrap/>
            <w:vAlign w:val="center"/>
          </w:tcPr>
          <w:p>
            <w:pPr>
              <w:pStyle w:val="35"/>
            </w:pPr>
            <w:r>
              <w:rPr>
                <w:rFonts w:hint="eastAsia"/>
              </w:rPr>
              <w:t>0.27</w:t>
            </w:r>
          </w:p>
        </w:tc>
        <w:tc>
          <w:tcPr>
            <w:tcW w:w="390" w:type="pct"/>
            <w:shd w:val="clear" w:color="auto" w:fill="auto"/>
            <w:noWrap/>
            <w:vAlign w:val="center"/>
          </w:tcPr>
          <w:p>
            <w:pPr>
              <w:pStyle w:val="35"/>
            </w:pPr>
            <w:r>
              <w:rPr>
                <w:rFonts w:hint="eastAsia"/>
              </w:rPr>
              <w:t>0.35</w:t>
            </w:r>
          </w:p>
        </w:tc>
        <w:tc>
          <w:tcPr>
            <w:tcW w:w="390" w:type="pct"/>
            <w:shd w:val="clear" w:color="auto" w:fill="auto"/>
            <w:noWrap/>
            <w:vAlign w:val="center"/>
          </w:tcPr>
          <w:p>
            <w:pPr>
              <w:pStyle w:val="35"/>
            </w:pPr>
            <w:r>
              <w:rPr>
                <w:rFonts w:hint="eastAsia"/>
              </w:rPr>
              <w:t>0.38</w:t>
            </w:r>
          </w:p>
        </w:tc>
        <w:tc>
          <w:tcPr>
            <w:tcW w:w="391" w:type="pct"/>
            <w:shd w:val="clear" w:color="auto" w:fill="auto"/>
            <w:noWrap/>
            <w:vAlign w:val="center"/>
          </w:tcPr>
          <w:p>
            <w:pPr>
              <w:pStyle w:val="35"/>
            </w:pPr>
            <w:r>
              <w:rPr>
                <w:rFonts w:hint="eastAsia"/>
              </w:rPr>
              <w:t>0.76</w:t>
            </w:r>
          </w:p>
        </w:tc>
        <w:tc>
          <w:tcPr>
            <w:tcW w:w="693" w:type="pct"/>
            <w:shd w:val="clear" w:color="auto" w:fill="auto"/>
            <w:noWrap/>
            <w:vAlign w:val="center"/>
          </w:tcPr>
          <w:p>
            <w:pPr>
              <w:pStyle w:val="35"/>
            </w:pPr>
            <w:r>
              <w:rPr>
                <w:rFonts w:hint="eastAsia"/>
              </w:rPr>
              <w:t>0.76</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氨氮</w:t>
            </w:r>
          </w:p>
        </w:tc>
        <w:tc>
          <w:tcPr>
            <w:tcW w:w="389" w:type="pct"/>
            <w:shd w:val="clear" w:color="auto" w:fill="auto"/>
            <w:noWrap/>
            <w:vAlign w:val="center"/>
          </w:tcPr>
          <w:p>
            <w:pPr>
              <w:pStyle w:val="35"/>
            </w:pPr>
            <w:r>
              <w:rPr>
                <w:rFonts w:hint="eastAsia"/>
              </w:rPr>
              <w:t>0.272</w:t>
            </w:r>
          </w:p>
        </w:tc>
        <w:tc>
          <w:tcPr>
            <w:tcW w:w="389" w:type="pct"/>
            <w:shd w:val="clear" w:color="auto" w:fill="auto"/>
            <w:noWrap/>
            <w:vAlign w:val="center"/>
          </w:tcPr>
          <w:p>
            <w:pPr>
              <w:pStyle w:val="35"/>
            </w:pPr>
            <w:r>
              <w:rPr>
                <w:rFonts w:hint="eastAsia"/>
              </w:rPr>
              <w:t>0.93</w:t>
            </w:r>
          </w:p>
        </w:tc>
        <w:tc>
          <w:tcPr>
            <w:tcW w:w="389" w:type="pct"/>
            <w:shd w:val="clear" w:color="auto" w:fill="auto"/>
            <w:noWrap/>
            <w:vAlign w:val="center"/>
          </w:tcPr>
          <w:p>
            <w:pPr>
              <w:pStyle w:val="35"/>
            </w:pPr>
            <w:r>
              <w:rPr>
                <w:rFonts w:hint="eastAsia"/>
              </w:rPr>
              <w:t>0.904</w:t>
            </w:r>
          </w:p>
        </w:tc>
        <w:tc>
          <w:tcPr>
            <w:tcW w:w="390" w:type="pct"/>
            <w:shd w:val="clear" w:color="auto" w:fill="auto"/>
            <w:noWrap/>
            <w:vAlign w:val="center"/>
          </w:tcPr>
          <w:p>
            <w:pPr>
              <w:pStyle w:val="35"/>
            </w:pPr>
            <w:r>
              <w:rPr>
                <w:rFonts w:hint="eastAsia"/>
              </w:rPr>
              <w:t>0.832</w:t>
            </w:r>
          </w:p>
        </w:tc>
        <w:tc>
          <w:tcPr>
            <w:tcW w:w="390" w:type="pct"/>
            <w:shd w:val="clear" w:color="auto" w:fill="auto"/>
            <w:noWrap/>
            <w:vAlign w:val="center"/>
          </w:tcPr>
          <w:p>
            <w:pPr>
              <w:pStyle w:val="35"/>
            </w:pPr>
            <w:r>
              <w:rPr>
                <w:rFonts w:hint="eastAsia"/>
              </w:rPr>
              <w:t>0.452</w:t>
            </w:r>
          </w:p>
        </w:tc>
        <w:tc>
          <w:tcPr>
            <w:tcW w:w="390" w:type="pct"/>
            <w:shd w:val="clear" w:color="auto" w:fill="auto"/>
            <w:noWrap/>
            <w:vAlign w:val="center"/>
          </w:tcPr>
          <w:p>
            <w:pPr>
              <w:pStyle w:val="35"/>
            </w:pPr>
            <w:r>
              <w:rPr>
                <w:rFonts w:hint="eastAsia"/>
              </w:rPr>
              <w:t>0.718</w:t>
            </w:r>
          </w:p>
        </w:tc>
        <w:tc>
          <w:tcPr>
            <w:tcW w:w="391" w:type="pct"/>
            <w:shd w:val="clear" w:color="auto" w:fill="auto"/>
            <w:noWrap/>
            <w:vAlign w:val="center"/>
          </w:tcPr>
          <w:p>
            <w:pPr>
              <w:pStyle w:val="35"/>
            </w:pPr>
            <w:r>
              <w:rPr>
                <w:rFonts w:hint="eastAsia"/>
              </w:rPr>
              <w:t>0.282</w:t>
            </w:r>
          </w:p>
        </w:tc>
        <w:tc>
          <w:tcPr>
            <w:tcW w:w="693" w:type="pct"/>
            <w:shd w:val="clear" w:color="auto" w:fill="auto"/>
            <w:noWrap/>
            <w:vAlign w:val="center"/>
          </w:tcPr>
          <w:p>
            <w:pPr>
              <w:pStyle w:val="35"/>
            </w:pPr>
            <w:r>
              <w:rPr>
                <w:rFonts w:hint="eastAsia"/>
              </w:rPr>
              <w:t>0.93</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挥发酚</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0.3</w:t>
            </w:r>
          </w:p>
        </w:tc>
        <w:tc>
          <w:tcPr>
            <w:tcW w:w="390" w:type="pct"/>
            <w:shd w:val="clear" w:color="auto" w:fill="auto"/>
            <w:noWrap/>
            <w:vAlign w:val="center"/>
          </w:tcPr>
          <w:p>
            <w:pPr>
              <w:pStyle w:val="35"/>
            </w:pPr>
            <w:r>
              <w:rPr>
                <w:rFonts w:hint="eastAsia"/>
              </w:rPr>
              <w:t>0.5</w:t>
            </w:r>
          </w:p>
        </w:tc>
        <w:tc>
          <w:tcPr>
            <w:tcW w:w="390" w:type="pct"/>
            <w:shd w:val="clear" w:color="auto" w:fill="auto"/>
            <w:noWrap/>
            <w:vAlign w:val="center"/>
          </w:tcPr>
          <w:p>
            <w:pPr>
              <w:pStyle w:val="35"/>
            </w:pPr>
            <w:r>
              <w:rPr>
                <w:rFonts w:hint="eastAsia"/>
              </w:rPr>
              <w:t>0.5</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0.2</w:t>
            </w:r>
          </w:p>
        </w:tc>
        <w:tc>
          <w:tcPr>
            <w:tcW w:w="693" w:type="pct"/>
            <w:shd w:val="clear" w:color="auto" w:fill="auto"/>
            <w:noWrap/>
            <w:vAlign w:val="center"/>
          </w:tcPr>
          <w:p>
            <w:pPr>
              <w:pStyle w:val="35"/>
            </w:pPr>
            <w:r>
              <w:rPr>
                <w:rFonts w:hint="eastAsia"/>
              </w:rPr>
              <w:t>0.50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氰化物</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总硬度</w:t>
            </w:r>
          </w:p>
        </w:tc>
        <w:tc>
          <w:tcPr>
            <w:tcW w:w="389" w:type="pct"/>
            <w:shd w:val="clear" w:color="auto" w:fill="auto"/>
            <w:noWrap/>
            <w:vAlign w:val="center"/>
          </w:tcPr>
          <w:p>
            <w:pPr>
              <w:pStyle w:val="35"/>
            </w:pPr>
            <w:r>
              <w:rPr>
                <w:rFonts w:hint="eastAsia"/>
              </w:rPr>
              <w:t>0.74</w:t>
            </w:r>
          </w:p>
        </w:tc>
        <w:tc>
          <w:tcPr>
            <w:tcW w:w="389" w:type="pct"/>
            <w:shd w:val="clear" w:color="auto" w:fill="auto"/>
            <w:noWrap/>
            <w:vAlign w:val="center"/>
          </w:tcPr>
          <w:p>
            <w:pPr>
              <w:pStyle w:val="35"/>
            </w:pPr>
            <w:r>
              <w:rPr>
                <w:rFonts w:hint="eastAsia"/>
              </w:rPr>
              <w:t>1.61</w:t>
            </w:r>
          </w:p>
        </w:tc>
        <w:tc>
          <w:tcPr>
            <w:tcW w:w="389" w:type="pct"/>
            <w:shd w:val="clear" w:color="auto" w:fill="auto"/>
            <w:noWrap/>
            <w:vAlign w:val="center"/>
          </w:tcPr>
          <w:p>
            <w:pPr>
              <w:pStyle w:val="35"/>
            </w:pPr>
            <w:r>
              <w:rPr>
                <w:rFonts w:hint="eastAsia"/>
              </w:rPr>
              <w:t>1.35</w:t>
            </w:r>
          </w:p>
        </w:tc>
        <w:tc>
          <w:tcPr>
            <w:tcW w:w="390" w:type="pct"/>
            <w:shd w:val="clear" w:color="auto" w:fill="auto"/>
            <w:noWrap/>
            <w:vAlign w:val="center"/>
          </w:tcPr>
          <w:p>
            <w:pPr>
              <w:pStyle w:val="35"/>
            </w:pPr>
            <w:r>
              <w:rPr>
                <w:rFonts w:hint="eastAsia"/>
              </w:rPr>
              <w:t>1.18</w:t>
            </w:r>
          </w:p>
        </w:tc>
        <w:tc>
          <w:tcPr>
            <w:tcW w:w="390" w:type="pct"/>
            <w:shd w:val="clear" w:color="auto" w:fill="auto"/>
            <w:noWrap/>
            <w:vAlign w:val="center"/>
          </w:tcPr>
          <w:p>
            <w:pPr>
              <w:pStyle w:val="35"/>
            </w:pPr>
            <w:r>
              <w:rPr>
                <w:rFonts w:hint="eastAsia"/>
              </w:rPr>
              <w:t>1.00</w:t>
            </w:r>
          </w:p>
        </w:tc>
        <w:tc>
          <w:tcPr>
            <w:tcW w:w="390" w:type="pct"/>
            <w:shd w:val="clear" w:color="auto" w:fill="auto"/>
            <w:noWrap/>
            <w:vAlign w:val="center"/>
          </w:tcPr>
          <w:p>
            <w:pPr>
              <w:pStyle w:val="35"/>
            </w:pPr>
            <w:r>
              <w:rPr>
                <w:rFonts w:hint="eastAsia"/>
              </w:rPr>
              <w:t>1.15</w:t>
            </w:r>
          </w:p>
        </w:tc>
        <w:tc>
          <w:tcPr>
            <w:tcW w:w="391" w:type="pct"/>
            <w:shd w:val="clear" w:color="auto" w:fill="auto"/>
            <w:noWrap/>
            <w:vAlign w:val="center"/>
          </w:tcPr>
          <w:p>
            <w:pPr>
              <w:pStyle w:val="35"/>
            </w:pPr>
            <w:r>
              <w:rPr>
                <w:rFonts w:hint="eastAsia"/>
              </w:rPr>
              <w:t>0.53</w:t>
            </w:r>
          </w:p>
        </w:tc>
        <w:tc>
          <w:tcPr>
            <w:tcW w:w="693" w:type="pct"/>
            <w:shd w:val="clear" w:color="auto" w:fill="auto"/>
            <w:noWrap/>
            <w:vAlign w:val="center"/>
          </w:tcPr>
          <w:p>
            <w:pPr>
              <w:pStyle w:val="35"/>
            </w:pPr>
            <w:r>
              <w:rPr>
                <w:rFonts w:hint="eastAsia"/>
              </w:rPr>
              <w:t>1.61</w:t>
            </w:r>
          </w:p>
        </w:tc>
        <w:tc>
          <w:tcPr>
            <w:tcW w:w="701" w:type="pct"/>
            <w:shd w:val="clear" w:color="auto" w:fill="auto"/>
            <w:noWrap/>
            <w:vAlign w:val="center"/>
          </w:tcPr>
          <w:p>
            <w:pPr>
              <w:pStyle w:val="35"/>
            </w:pPr>
            <w:r>
              <w:rPr>
                <w:rFonts w:hint="eastAsia"/>
              </w:rPr>
              <w:t>71%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溶解性总固体</w:t>
            </w:r>
          </w:p>
        </w:tc>
        <w:tc>
          <w:tcPr>
            <w:tcW w:w="389" w:type="pct"/>
            <w:shd w:val="clear" w:color="auto" w:fill="auto"/>
            <w:noWrap/>
            <w:vAlign w:val="center"/>
          </w:tcPr>
          <w:p>
            <w:pPr>
              <w:pStyle w:val="35"/>
            </w:pPr>
            <w:r>
              <w:rPr>
                <w:rFonts w:hint="eastAsia"/>
              </w:rPr>
              <w:t>0.51</w:t>
            </w:r>
          </w:p>
        </w:tc>
        <w:tc>
          <w:tcPr>
            <w:tcW w:w="389" w:type="pct"/>
            <w:shd w:val="clear" w:color="auto" w:fill="auto"/>
            <w:noWrap/>
            <w:vAlign w:val="center"/>
          </w:tcPr>
          <w:p>
            <w:pPr>
              <w:pStyle w:val="35"/>
            </w:pPr>
            <w:r>
              <w:rPr>
                <w:rFonts w:hint="eastAsia"/>
              </w:rPr>
              <w:t>0.88</w:t>
            </w:r>
          </w:p>
        </w:tc>
        <w:tc>
          <w:tcPr>
            <w:tcW w:w="389" w:type="pct"/>
            <w:shd w:val="clear" w:color="auto" w:fill="auto"/>
            <w:noWrap/>
            <w:vAlign w:val="center"/>
          </w:tcPr>
          <w:p>
            <w:pPr>
              <w:pStyle w:val="35"/>
            </w:pPr>
            <w:r>
              <w:rPr>
                <w:rFonts w:hint="eastAsia"/>
              </w:rPr>
              <w:t>0.72</w:t>
            </w:r>
          </w:p>
        </w:tc>
        <w:tc>
          <w:tcPr>
            <w:tcW w:w="390" w:type="pct"/>
            <w:shd w:val="clear" w:color="auto" w:fill="auto"/>
            <w:noWrap/>
            <w:vAlign w:val="center"/>
          </w:tcPr>
          <w:p>
            <w:pPr>
              <w:pStyle w:val="35"/>
            </w:pPr>
            <w:r>
              <w:rPr>
                <w:rFonts w:hint="eastAsia"/>
              </w:rPr>
              <w:t>0.68</w:t>
            </w:r>
          </w:p>
        </w:tc>
        <w:tc>
          <w:tcPr>
            <w:tcW w:w="390" w:type="pct"/>
            <w:shd w:val="clear" w:color="auto" w:fill="auto"/>
            <w:noWrap/>
            <w:vAlign w:val="center"/>
          </w:tcPr>
          <w:p>
            <w:pPr>
              <w:pStyle w:val="35"/>
            </w:pPr>
            <w:r>
              <w:rPr>
                <w:rFonts w:hint="eastAsia"/>
              </w:rPr>
              <w:t>0.65</w:t>
            </w:r>
          </w:p>
        </w:tc>
        <w:tc>
          <w:tcPr>
            <w:tcW w:w="390" w:type="pct"/>
            <w:shd w:val="clear" w:color="auto" w:fill="auto"/>
            <w:noWrap/>
            <w:vAlign w:val="center"/>
          </w:tcPr>
          <w:p>
            <w:pPr>
              <w:pStyle w:val="35"/>
            </w:pPr>
            <w:r>
              <w:rPr>
                <w:rFonts w:hint="eastAsia"/>
              </w:rPr>
              <w:t>0.76</w:t>
            </w:r>
          </w:p>
        </w:tc>
        <w:tc>
          <w:tcPr>
            <w:tcW w:w="391" w:type="pct"/>
            <w:shd w:val="clear" w:color="auto" w:fill="auto"/>
            <w:noWrap/>
            <w:vAlign w:val="center"/>
          </w:tcPr>
          <w:p>
            <w:pPr>
              <w:pStyle w:val="35"/>
            </w:pPr>
            <w:r>
              <w:rPr>
                <w:rFonts w:hint="eastAsia"/>
              </w:rPr>
              <w:t>0.86</w:t>
            </w:r>
          </w:p>
        </w:tc>
        <w:tc>
          <w:tcPr>
            <w:tcW w:w="693" w:type="pct"/>
            <w:shd w:val="clear" w:color="auto" w:fill="auto"/>
            <w:noWrap/>
            <w:vAlign w:val="center"/>
          </w:tcPr>
          <w:p>
            <w:pPr>
              <w:pStyle w:val="35"/>
            </w:pPr>
            <w:r>
              <w:rPr>
                <w:rFonts w:hint="eastAsia"/>
              </w:rPr>
              <w:t>0.88</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高锰酸盐指数</w:t>
            </w:r>
          </w:p>
        </w:tc>
        <w:tc>
          <w:tcPr>
            <w:tcW w:w="389" w:type="pct"/>
            <w:shd w:val="clear" w:color="auto" w:fill="auto"/>
            <w:noWrap/>
            <w:vAlign w:val="center"/>
          </w:tcPr>
          <w:p>
            <w:pPr>
              <w:pStyle w:val="35"/>
            </w:pPr>
            <w:r>
              <w:rPr>
                <w:rFonts w:hint="eastAsia"/>
              </w:rPr>
              <w:t>0.2</w:t>
            </w:r>
          </w:p>
        </w:tc>
        <w:tc>
          <w:tcPr>
            <w:tcW w:w="389" w:type="pct"/>
            <w:shd w:val="clear" w:color="auto" w:fill="auto"/>
            <w:noWrap/>
            <w:vAlign w:val="center"/>
          </w:tcPr>
          <w:p>
            <w:pPr>
              <w:pStyle w:val="35"/>
            </w:pPr>
            <w:r>
              <w:rPr>
                <w:rFonts w:hint="eastAsia"/>
              </w:rPr>
              <w:t>0.3</w:t>
            </w:r>
          </w:p>
        </w:tc>
        <w:tc>
          <w:tcPr>
            <w:tcW w:w="389" w:type="pct"/>
            <w:shd w:val="clear" w:color="auto" w:fill="auto"/>
            <w:noWrap/>
            <w:vAlign w:val="center"/>
          </w:tcPr>
          <w:p>
            <w:pPr>
              <w:pStyle w:val="35"/>
            </w:pPr>
            <w:r>
              <w:rPr>
                <w:rFonts w:hint="eastAsia"/>
              </w:rPr>
              <w:t>0.3</w:t>
            </w:r>
          </w:p>
        </w:tc>
        <w:tc>
          <w:tcPr>
            <w:tcW w:w="390" w:type="pct"/>
            <w:shd w:val="clear" w:color="auto" w:fill="auto"/>
            <w:noWrap/>
            <w:vAlign w:val="center"/>
          </w:tcPr>
          <w:p>
            <w:pPr>
              <w:pStyle w:val="35"/>
            </w:pPr>
            <w:r>
              <w:rPr>
                <w:rFonts w:hint="eastAsia"/>
              </w:rPr>
              <w:t>0.2</w:t>
            </w:r>
          </w:p>
        </w:tc>
        <w:tc>
          <w:tcPr>
            <w:tcW w:w="390" w:type="pct"/>
            <w:shd w:val="clear" w:color="auto" w:fill="auto"/>
            <w:noWrap/>
            <w:vAlign w:val="center"/>
          </w:tcPr>
          <w:p>
            <w:pPr>
              <w:pStyle w:val="35"/>
            </w:pPr>
            <w:r>
              <w:rPr>
                <w:rFonts w:hint="eastAsia"/>
              </w:rPr>
              <w:t>0.2</w:t>
            </w:r>
          </w:p>
        </w:tc>
        <w:tc>
          <w:tcPr>
            <w:tcW w:w="390" w:type="pct"/>
            <w:shd w:val="clear" w:color="auto" w:fill="auto"/>
            <w:noWrap/>
            <w:vAlign w:val="center"/>
          </w:tcPr>
          <w:p>
            <w:pPr>
              <w:pStyle w:val="35"/>
            </w:pPr>
            <w:r>
              <w:rPr>
                <w:rFonts w:hint="eastAsia"/>
              </w:rPr>
              <w:t>0.3</w:t>
            </w:r>
          </w:p>
        </w:tc>
        <w:tc>
          <w:tcPr>
            <w:tcW w:w="391" w:type="pct"/>
            <w:shd w:val="clear" w:color="auto" w:fill="auto"/>
            <w:noWrap/>
            <w:vAlign w:val="center"/>
          </w:tcPr>
          <w:p>
            <w:pPr>
              <w:pStyle w:val="35"/>
            </w:pPr>
            <w:r>
              <w:rPr>
                <w:rFonts w:hint="eastAsia"/>
              </w:rPr>
              <w:t>0.2</w:t>
            </w:r>
          </w:p>
        </w:tc>
        <w:tc>
          <w:tcPr>
            <w:tcW w:w="693" w:type="pct"/>
            <w:shd w:val="clear" w:color="auto" w:fill="auto"/>
            <w:noWrap/>
            <w:vAlign w:val="center"/>
          </w:tcPr>
          <w:p>
            <w:pPr>
              <w:pStyle w:val="35"/>
            </w:pPr>
            <w:r>
              <w:rPr>
                <w:rFonts w:hint="eastAsia"/>
              </w:rPr>
              <w:t>0.30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总大肠菌群</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细菌总数</w:t>
            </w:r>
          </w:p>
        </w:tc>
        <w:tc>
          <w:tcPr>
            <w:tcW w:w="389" w:type="pct"/>
            <w:shd w:val="clear" w:color="auto" w:fill="auto"/>
            <w:noWrap/>
            <w:vAlign w:val="center"/>
          </w:tcPr>
          <w:p>
            <w:pPr>
              <w:pStyle w:val="35"/>
            </w:pPr>
            <w:r>
              <w:rPr>
                <w:rFonts w:hint="eastAsia"/>
              </w:rPr>
              <w:t>0.22</w:t>
            </w:r>
          </w:p>
        </w:tc>
        <w:tc>
          <w:tcPr>
            <w:tcW w:w="389" w:type="pct"/>
            <w:shd w:val="clear" w:color="auto" w:fill="auto"/>
            <w:noWrap/>
            <w:vAlign w:val="center"/>
          </w:tcPr>
          <w:p>
            <w:pPr>
              <w:pStyle w:val="35"/>
            </w:pPr>
            <w:r>
              <w:rPr>
                <w:rFonts w:hint="eastAsia"/>
              </w:rPr>
              <w:t>0.27</w:t>
            </w:r>
          </w:p>
        </w:tc>
        <w:tc>
          <w:tcPr>
            <w:tcW w:w="389" w:type="pct"/>
            <w:shd w:val="clear" w:color="auto" w:fill="auto"/>
            <w:noWrap/>
            <w:vAlign w:val="center"/>
          </w:tcPr>
          <w:p>
            <w:pPr>
              <w:pStyle w:val="35"/>
            </w:pPr>
            <w:r>
              <w:rPr>
                <w:rFonts w:hint="eastAsia"/>
              </w:rPr>
              <w:t>0.24</w:t>
            </w:r>
          </w:p>
        </w:tc>
        <w:tc>
          <w:tcPr>
            <w:tcW w:w="390" w:type="pct"/>
            <w:shd w:val="clear" w:color="auto" w:fill="auto"/>
            <w:noWrap/>
            <w:vAlign w:val="center"/>
          </w:tcPr>
          <w:p>
            <w:pPr>
              <w:pStyle w:val="35"/>
            </w:pPr>
            <w:r>
              <w:rPr>
                <w:rFonts w:hint="eastAsia"/>
              </w:rPr>
              <w:t>0.43</w:t>
            </w:r>
          </w:p>
        </w:tc>
        <w:tc>
          <w:tcPr>
            <w:tcW w:w="390" w:type="pct"/>
            <w:shd w:val="clear" w:color="auto" w:fill="auto"/>
            <w:noWrap/>
            <w:vAlign w:val="center"/>
          </w:tcPr>
          <w:p>
            <w:pPr>
              <w:pStyle w:val="35"/>
            </w:pPr>
            <w:r>
              <w:rPr>
                <w:rFonts w:hint="eastAsia"/>
              </w:rPr>
              <w:t>0.12</w:t>
            </w:r>
          </w:p>
        </w:tc>
        <w:tc>
          <w:tcPr>
            <w:tcW w:w="390" w:type="pct"/>
            <w:shd w:val="clear" w:color="auto" w:fill="auto"/>
            <w:noWrap/>
            <w:vAlign w:val="center"/>
          </w:tcPr>
          <w:p>
            <w:pPr>
              <w:pStyle w:val="35"/>
            </w:pPr>
            <w:r>
              <w:rPr>
                <w:rFonts w:hint="eastAsia"/>
              </w:rPr>
              <w:t>0.51</w:t>
            </w:r>
          </w:p>
        </w:tc>
        <w:tc>
          <w:tcPr>
            <w:tcW w:w="391" w:type="pct"/>
            <w:shd w:val="clear" w:color="auto" w:fill="auto"/>
            <w:noWrap/>
            <w:vAlign w:val="center"/>
          </w:tcPr>
          <w:p>
            <w:pPr>
              <w:pStyle w:val="35"/>
            </w:pPr>
            <w:r>
              <w:rPr>
                <w:rFonts w:hint="eastAsia"/>
              </w:rPr>
              <w:t>0.02</w:t>
            </w:r>
          </w:p>
        </w:tc>
        <w:tc>
          <w:tcPr>
            <w:tcW w:w="693" w:type="pct"/>
            <w:shd w:val="clear" w:color="auto" w:fill="auto"/>
            <w:noWrap/>
            <w:vAlign w:val="center"/>
          </w:tcPr>
          <w:p>
            <w:pPr>
              <w:pStyle w:val="35"/>
            </w:pPr>
            <w:r>
              <w:rPr>
                <w:rFonts w:hint="eastAsia"/>
              </w:rPr>
              <w:t>0.51</w:t>
            </w:r>
          </w:p>
        </w:tc>
        <w:tc>
          <w:tcPr>
            <w:tcW w:w="701" w:type="pct"/>
            <w:shd w:val="clear" w:color="auto" w:fill="auto"/>
            <w:noWrap/>
            <w:vAlign w:val="center"/>
          </w:tcPr>
          <w:p>
            <w:pPr>
              <w:pStyle w:val="35"/>
            </w:pPr>
            <w:r>
              <w:rPr>
                <w:rFonts w:hint="eastAsia"/>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75" w:type="pct"/>
            <w:shd w:val="clear" w:color="auto" w:fill="auto"/>
            <w:noWrap/>
            <w:vAlign w:val="center"/>
          </w:tcPr>
          <w:p>
            <w:pPr>
              <w:pStyle w:val="35"/>
            </w:pPr>
            <w:r>
              <w:rPr>
                <w:rFonts w:hint="eastAsia"/>
              </w:rPr>
              <w:t>硫化物</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89"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0" w:type="pct"/>
            <w:shd w:val="clear" w:color="auto" w:fill="auto"/>
            <w:noWrap/>
            <w:vAlign w:val="center"/>
          </w:tcPr>
          <w:p>
            <w:pPr>
              <w:pStyle w:val="35"/>
            </w:pPr>
            <w:r>
              <w:rPr>
                <w:rFonts w:hint="eastAsia"/>
              </w:rPr>
              <w:t>--</w:t>
            </w:r>
          </w:p>
        </w:tc>
        <w:tc>
          <w:tcPr>
            <w:tcW w:w="391" w:type="pct"/>
            <w:shd w:val="clear" w:color="auto" w:fill="auto"/>
            <w:noWrap/>
            <w:vAlign w:val="center"/>
          </w:tcPr>
          <w:p>
            <w:pPr>
              <w:pStyle w:val="35"/>
            </w:pPr>
            <w:r>
              <w:rPr>
                <w:rFonts w:hint="eastAsia"/>
              </w:rPr>
              <w:t>--</w:t>
            </w:r>
          </w:p>
        </w:tc>
        <w:tc>
          <w:tcPr>
            <w:tcW w:w="693" w:type="pct"/>
            <w:shd w:val="clear" w:color="auto" w:fill="auto"/>
            <w:noWrap/>
            <w:vAlign w:val="center"/>
          </w:tcPr>
          <w:p>
            <w:pPr>
              <w:pStyle w:val="35"/>
            </w:pPr>
            <w:r>
              <w:rPr>
                <w:rFonts w:hint="eastAsia"/>
              </w:rPr>
              <w:t>0.00</w:t>
            </w:r>
          </w:p>
        </w:tc>
        <w:tc>
          <w:tcPr>
            <w:tcW w:w="701" w:type="pct"/>
            <w:shd w:val="clear" w:color="auto" w:fill="auto"/>
            <w:noWrap/>
            <w:vAlign w:val="center"/>
          </w:tcPr>
          <w:p>
            <w:pPr>
              <w:pStyle w:val="35"/>
            </w:pPr>
            <w:r>
              <w:rPr>
                <w:rFonts w:hint="eastAsia"/>
              </w:rPr>
              <w:t>0%</w:t>
            </w:r>
          </w:p>
        </w:tc>
      </w:tr>
    </w:tbl>
    <w:p>
      <w:pPr>
        <w:pStyle w:val="59"/>
        <w:ind w:firstLine="420" w:firstLineChars="200"/>
        <w:sectPr>
          <w:pgSz w:w="16840" w:h="11910" w:orient="landscape"/>
          <w:pgMar w:top="1418" w:right="1417" w:bottom="1417" w:left="1417" w:header="850" w:footer="850" w:gutter="0"/>
          <w:cols w:space="720" w:num="1"/>
          <w:docGrid w:linePitch="326" w:charSpace="0"/>
        </w:sectPr>
      </w:pPr>
      <w:r>
        <w:rPr>
          <w:rFonts w:hint="eastAsia"/>
        </w:rPr>
        <w:t>注：</w:t>
      </w:r>
      <w:r>
        <w:t>--</w:t>
      </w:r>
      <w:r>
        <w:rPr>
          <w:rFonts w:hint="eastAsia"/>
        </w:rPr>
        <w:t>为未检出</w:t>
      </w:r>
    </w:p>
    <w:p>
      <w:pPr>
        <w:pStyle w:val="27"/>
        <w:ind w:firstLine="560"/>
      </w:pPr>
      <w:r>
        <w:rPr>
          <w:rFonts w:hint="eastAsia"/>
        </w:rPr>
        <w:t>根据评价因子和评价标准，按照单因子指数法对监测结果进行评级，结果</w:t>
      </w:r>
      <w:r>
        <w:t>表</w:t>
      </w:r>
      <w:r>
        <w:rPr>
          <w:rFonts w:hint="eastAsia"/>
        </w:rPr>
        <w:t>明，监测</w:t>
      </w:r>
      <w:r>
        <w:t>点位</w:t>
      </w:r>
      <w:r>
        <w:rPr>
          <w:rFonts w:hint="eastAsia"/>
        </w:rPr>
        <w:t>中锰、总硬度、氟化物普遍</w:t>
      </w:r>
      <w:r>
        <w:t>超标</w:t>
      </w:r>
      <w:r>
        <w:rPr>
          <w:rFonts w:hint="eastAsia"/>
        </w:rPr>
        <w:t>，</w:t>
      </w:r>
      <w:r>
        <w:t>超标率分别为</w:t>
      </w:r>
      <w:r>
        <w:rPr>
          <w:rFonts w:hint="eastAsia"/>
        </w:rPr>
        <w:t>8</w:t>
      </w:r>
      <w:r>
        <w:t>5%、71%、100%。</w:t>
      </w:r>
      <w:r>
        <w:rPr>
          <w:rFonts w:hint="eastAsia"/>
        </w:rPr>
        <w:t>其中</w:t>
      </w:r>
      <w:r>
        <w:t>7</w:t>
      </w:r>
      <w:r>
        <w:rPr>
          <w:rFonts w:hint="eastAsia"/>
        </w:rPr>
        <w:t>号点中另有氯离子、硫酸根指标</w:t>
      </w:r>
      <w:r>
        <w:t>超标。</w:t>
      </w:r>
    </w:p>
    <w:p>
      <w:pPr>
        <w:pStyle w:val="27"/>
        <w:ind w:firstLine="560"/>
      </w:pPr>
      <w:r>
        <w:rPr>
          <w:rFonts w:hint="eastAsia"/>
        </w:rPr>
        <w:t>经分析</w:t>
      </w:r>
      <w:r>
        <w:t>发现</w:t>
      </w:r>
      <w:r>
        <w:rPr>
          <w:rFonts w:hint="eastAsia"/>
        </w:rPr>
        <w:t>超标原因</w:t>
      </w:r>
      <w:r>
        <w:t>主要</w:t>
      </w:r>
      <w:r>
        <w:rPr>
          <w:rFonts w:hint="eastAsia"/>
        </w:rPr>
        <w:t>与地质原生背景关系较大。</w:t>
      </w:r>
      <w:r>
        <w:t>经查阅</w:t>
      </w:r>
      <w:r>
        <w:rPr>
          <w:rFonts w:hint="eastAsia"/>
        </w:rPr>
        <w:t>资料</w:t>
      </w:r>
      <w:r>
        <w:t>，</w:t>
      </w:r>
      <w:r>
        <w:rPr>
          <w:rFonts w:hint="eastAsia"/>
        </w:rPr>
        <w:t>黄淮海平原粉质黏土层中普遍含大量铁锰结核，引起锰、总硬度超标。氟化物、氯离子、硫酸根指标</w:t>
      </w:r>
      <w:r>
        <w:t>超标原因主要由于调查区位于黄河冲积平原，受河水及蒸发浓缩作用影响，造成此类指标超标。（</w:t>
      </w:r>
      <w:r>
        <w:rPr>
          <w:rFonts w:hint="eastAsia"/>
        </w:rPr>
        <w:t>豫东黄河冲积平原高氟地下水与饮水安全，蒋辉，《勘察科学技术》，2008年2期，等）</w:t>
      </w:r>
    </w:p>
    <w:p>
      <w:pPr>
        <w:pStyle w:val="27"/>
        <w:ind w:firstLine="560"/>
      </w:pPr>
      <w:r>
        <w:rPr>
          <w:rFonts w:hint="eastAsia"/>
        </w:rPr>
        <w:t>其他</w:t>
      </w:r>
      <w:r>
        <w:t>评价</w:t>
      </w:r>
      <w:r>
        <w:rPr>
          <w:rFonts w:hint="eastAsia"/>
        </w:rPr>
        <w:t>指标均满足《地下水质量标准》</w:t>
      </w:r>
      <w:r>
        <w:t>(GB/T 14848</w:t>
      </w:r>
      <w:r>
        <w:rPr>
          <w:rFonts w:hint="eastAsia"/>
        </w:rPr>
        <w:t>－</w:t>
      </w:r>
      <w:r>
        <w:t>2017)</w:t>
      </w:r>
      <w:r>
        <w:rPr>
          <w:rFonts w:hint="eastAsia"/>
        </w:rPr>
        <w:t>Ⅲ类标准。</w:t>
      </w:r>
      <w:bookmarkStart w:id="122" w:name="bookmark47"/>
      <w:bookmarkEnd w:id="122"/>
    </w:p>
    <w:p>
      <w:pPr>
        <w:pStyle w:val="62"/>
      </w:pPr>
      <w:r>
        <w:rPr>
          <w:rFonts w:hint="eastAsia"/>
        </w:rPr>
        <w:t>4.4 区域污染源调查</w:t>
      </w:r>
    </w:p>
    <w:p>
      <w:pPr>
        <w:pStyle w:val="27"/>
        <w:ind w:firstLine="560"/>
      </w:pPr>
      <w:r>
        <w:rPr>
          <w:rFonts w:hint="eastAsia"/>
        </w:rPr>
        <w:t>本项目周边企业污染物排放基本情况见表4.4-1~表4.4-2。</w:t>
      </w:r>
    </w:p>
    <w:p>
      <w:pPr>
        <w:pStyle w:val="32"/>
      </w:pPr>
      <w:r>
        <w:rPr>
          <w:rFonts w:hint="eastAsia"/>
        </w:rPr>
        <w:t>表4.4-1            评价区内废气主要污染源调查表            单位：</w:t>
      </w:r>
      <w:r>
        <w:t>t/a</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913"/>
        <w:gridCol w:w="1336"/>
        <w:gridCol w:w="1004"/>
        <w:gridCol w:w="40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blHeader/>
        </w:trPr>
        <w:tc>
          <w:tcPr>
            <w:tcW w:w="376" w:type="pct"/>
            <w:tcMar>
              <w:left w:w="28" w:type="dxa"/>
              <w:right w:w="28" w:type="dxa"/>
            </w:tcMar>
            <w:vAlign w:val="center"/>
          </w:tcPr>
          <w:p>
            <w:pPr>
              <w:pStyle w:val="34"/>
            </w:pPr>
            <w:r>
              <w:t>序号</w:t>
            </w:r>
          </w:p>
        </w:tc>
        <w:tc>
          <w:tcPr>
            <w:tcW w:w="1060" w:type="pct"/>
            <w:tcMar>
              <w:left w:w="28" w:type="dxa"/>
              <w:right w:w="28" w:type="dxa"/>
            </w:tcMar>
            <w:vAlign w:val="center"/>
          </w:tcPr>
          <w:p>
            <w:pPr>
              <w:pStyle w:val="34"/>
            </w:pPr>
            <w:r>
              <w:t>企业名称</w:t>
            </w:r>
          </w:p>
        </w:tc>
        <w:tc>
          <w:tcPr>
            <w:tcW w:w="741" w:type="pct"/>
            <w:tcMar>
              <w:left w:w="28" w:type="dxa"/>
              <w:right w:w="28" w:type="dxa"/>
            </w:tcMar>
            <w:vAlign w:val="center"/>
          </w:tcPr>
          <w:p>
            <w:pPr>
              <w:pStyle w:val="34"/>
            </w:pPr>
            <w:r>
              <w:t>烟（粉）尘</w:t>
            </w:r>
          </w:p>
        </w:tc>
        <w:tc>
          <w:tcPr>
            <w:tcW w:w="557" w:type="pct"/>
            <w:tcMar>
              <w:left w:w="28" w:type="dxa"/>
              <w:right w:w="28" w:type="dxa"/>
            </w:tcMar>
            <w:vAlign w:val="center"/>
          </w:tcPr>
          <w:p>
            <w:pPr>
              <w:pStyle w:val="34"/>
            </w:pPr>
            <w:r>
              <w:t>SO</w:t>
            </w:r>
            <w:r>
              <w:rPr>
                <w:vertAlign w:val="subscript"/>
              </w:rPr>
              <w:t>2</w:t>
            </w:r>
          </w:p>
        </w:tc>
        <w:tc>
          <w:tcPr>
            <w:tcW w:w="2263" w:type="pct"/>
            <w:tcMar>
              <w:left w:w="28" w:type="dxa"/>
              <w:right w:w="28" w:type="dxa"/>
            </w:tcMar>
            <w:vAlign w:val="center"/>
          </w:tcPr>
          <w:p>
            <w:pPr>
              <w:pStyle w:val="34"/>
            </w:pPr>
            <w:r>
              <w:t>特征污染物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bookmarkStart w:id="123" w:name="_Hlk257789724"/>
            <w:r>
              <w:t>1</w:t>
            </w:r>
          </w:p>
        </w:tc>
        <w:tc>
          <w:tcPr>
            <w:tcW w:w="1060" w:type="pct"/>
            <w:tcMar>
              <w:left w:w="28" w:type="dxa"/>
              <w:right w:w="28" w:type="dxa"/>
            </w:tcMar>
            <w:vAlign w:val="center"/>
          </w:tcPr>
          <w:p>
            <w:pPr>
              <w:pStyle w:val="35"/>
            </w:pPr>
            <w:r>
              <w:t>瑞森化工</w:t>
            </w:r>
          </w:p>
        </w:tc>
        <w:tc>
          <w:tcPr>
            <w:tcW w:w="741" w:type="pct"/>
            <w:tcMar>
              <w:left w:w="28" w:type="dxa"/>
              <w:right w:w="28" w:type="dxa"/>
            </w:tcMar>
            <w:vAlign w:val="center"/>
          </w:tcPr>
          <w:p>
            <w:pPr>
              <w:pStyle w:val="35"/>
            </w:pPr>
            <w:r>
              <w:t>1.42</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非甲烷总烃（1.2）、二甲苯</w:t>
            </w:r>
          </w:p>
        </w:tc>
      </w:tr>
      <w:bookmarkEnd w:id="123"/>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2</w:t>
            </w:r>
          </w:p>
        </w:tc>
        <w:tc>
          <w:tcPr>
            <w:tcW w:w="1060" w:type="pct"/>
            <w:tcMar>
              <w:left w:w="28" w:type="dxa"/>
              <w:right w:w="28" w:type="dxa"/>
            </w:tcMar>
            <w:vAlign w:val="center"/>
          </w:tcPr>
          <w:p>
            <w:pPr>
              <w:pStyle w:val="35"/>
            </w:pPr>
            <w:r>
              <w:t>鹏鑫化工</w:t>
            </w:r>
          </w:p>
        </w:tc>
        <w:tc>
          <w:tcPr>
            <w:tcW w:w="741" w:type="pct"/>
            <w:tcMar>
              <w:left w:w="28" w:type="dxa"/>
              <w:right w:w="28" w:type="dxa"/>
            </w:tcMar>
            <w:vAlign w:val="center"/>
          </w:tcPr>
          <w:p>
            <w:pPr>
              <w:pStyle w:val="35"/>
            </w:pPr>
            <w:r>
              <w:t>0.45</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甲醇、甲醛、乙醛、丁醛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3</w:t>
            </w:r>
          </w:p>
        </w:tc>
        <w:tc>
          <w:tcPr>
            <w:tcW w:w="1060" w:type="pct"/>
            <w:tcMar>
              <w:left w:w="28" w:type="dxa"/>
              <w:right w:w="28" w:type="dxa"/>
            </w:tcMar>
            <w:vAlign w:val="center"/>
          </w:tcPr>
          <w:p>
            <w:pPr>
              <w:pStyle w:val="35"/>
            </w:pPr>
            <w:r>
              <w:t>宏健化工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非甲烷总烃（2.4）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4</w:t>
            </w:r>
          </w:p>
        </w:tc>
        <w:tc>
          <w:tcPr>
            <w:tcW w:w="1060" w:type="pct"/>
            <w:tcMar>
              <w:left w:w="28" w:type="dxa"/>
              <w:right w:w="28" w:type="dxa"/>
            </w:tcMar>
            <w:vAlign w:val="center"/>
          </w:tcPr>
          <w:p>
            <w:pPr>
              <w:pStyle w:val="35"/>
            </w:pPr>
            <w:r>
              <w:t>强胜石油支撑剂</w:t>
            </w:r>
          </w:p>
        </w:tc>
        <w:tc>
          <w:tcPr>
            <w:tcW w:w="741" w:type="pct"/>
            <w:tcMar>
              <w:left w:w="28" w:type="dxa"/>
              <w:right w:w="28" w:type="dxa"/>
            </w:tcMar>
            <w:vAlign w:val="center"/>
          </w:tcPr>
          <w:p>
            <w:pPr>
              <w:pStyle w:val="35"/>
            </w:pPr>
            <w:r>
              <w:t>2.16</w:t>
            </w:r>
          </w:p>
        </w:tc>
        <w:tc>
          <w:tcPr>
            <w:tcW w:w="557" w:type="pct"/>
            <w:tcMar>
              <w:left w:w="28" w:type="dxa"/>
              <w:right w:w="28" w:type="dxa"/>
            </w:tcMar>
            <w:vAlign w:val="center"/>
          </w:tcPr>
          <w:p>
            <w:pPr>
              <w:pStyle w:val="35"/>
            </w:pPr>
            <w:r>
              <w:t>9.6</w:t>
            </w:r>
          </w:p>
        </w:tc>
        <w:tc>
          <w:tcPr>
            <w:tcW w:w="2263" w:type="pct"/>
            <w:tcMar>
              <w:left w:w="28" w:type="dxa"/>
              <w:right w:w="28" w:type="dxa"/>
            </w:tcMar>
            <w:vAlign w:val="center"/>
          </w:tcPr>
          <w:p>
            <w:pPr>
              <w:pStyle w:val="35"/>
              <w:jc w:val="left"/>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5</w:t>
            </w:r>
          </w:p>
        </w:tc>
        <w:tc>
          <w:tcPr>
            <w:tcW w:w="1060" w:type="pct"/>
            <w:tcMar>
              <w:left w:w="28" w:type="dxa"/>
              <w:right w:w="28" w:type="dxa"/>
            </w:tcMar>
            <w:vAlign w:val="center"/>
          </w:tcPr>
          <w:p>
            <w:pPr>
              <w:pStyle w:val="35"/>
            </w:pPr>
            <w:r>
              <w:t>星海化工</w:t>
            </w:r>
          </w:p>
        </w:tc>
        <w:tc>
          <w:tcPr>
            <w:tcW w:w="741" w:type="pct"/>
            <w:tcMar>
              <w:left w:w="28" w:type="dxa"/>
              <w:right w:w="28" w:type="dxa"/>
            </w:tcMar>
            <w:vAlign w:val="center"/>
          </w:tcPr>
          <w:p>
            <w:pPr>
              <w:pStyle w:val="35"/>
            </w:pPr>
            <w:r>
              <w:t>68</w:t>
            </w:r>
            <w:r>
              <w:rPr>
                <w:rFonts w:hint="eastAsia"/>
              </w:rPr>
              <w:t>.</w:t>
            </w:r>
            <w:r>
              <w:t>3</w:t>
            </w:r>
          </w:p>
        </w:tc>
        <w:tc>
          <w:tcPr>
            <w:tcW w:w="557" w:type="pct"/>
            <w:tcMar>
              <w:left w:w="28" w:type="dxa"/>
              <w:right w:w="28" w:type="dxa"/>
            </w:tcMar>
            <w:vAlign w:val="center"/>
          </w:tcPr>
          <w:p>
            <w:pPr>
              <w:pStyle w:val="35"/>
            </w:pPr>
            <w:r>
              <w:t>21.0</w:t>
            </w:r>
          </w:p>
        </w:tc>
        <w:tc>
          <w:tcPr>
            <w:tcW w:w="2263" w:type="pct"/>
            <w:tcMar>
              <w:left w:w="28" w:type="dxa"/>
              <w:right w:w="28" w:type="dxa"/>
            </w:tcMar>
            <w:vAlign w:val="center"/>
          </w:tcPr>
          <w:p>
            <w:pPr>
              <w:pStyle w:val="35"/>
              <w:jc w:val="left"/>
            </w:pPr>
            <w:r>
              <w:t>甲醇、MMA、环己烷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6</w:t>
            </w:r>
          </w:p>
        </w:tc>
        <w:tc>
          <w:tcPr>
            <w:tcW w:w="1060" w:type="pct"/>
            <w:tcMar>
              <w:left w:w="28" w:type="dxa"/>
              <w:right w:w="28" w:type="dxa"/>
            </w:tcMar>
            <w:vAlign w:val="center"/>
          </w:tcPr>
          <w:p>
            <w:pPr>
              <w:pStyle w:val="35"/>
            </w:pPr>
            <w:r>
              <w:t>万泉化工</w:t>
            </w:r>
          </w:p>
        </w:tc>
        <w:tc>
          <w:tcPr>
            <w:tcW w:w="741" w:type="pct"/>
            <w:tcMar>
              <w:left w:w="28" w:type="dxa"/>
              <w:right w:w="28" w:type="dxa"/>
            </w:tcMar>
            <w:vAlign w:val="center"/>
          </w:tcPr>
          <w:p>
            <w:pPr>
              <w:pStyle w:val="35"/>
            </w:pPr>
            <w:r>
              <w:t>1.1</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聚醚、TDI、MDI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7</w:t>
            </w:r>
          </w:p>
        </w:tc>
        <w:tc>
          <w:tcPr>
            <w:tcW w:w="1060" w:type="pct"/>
            <w:tcMar>
              <w:left w:w="28" w:type="dxa"/>
              <w:right w:w="28" w:type="dxa"/>
            </w:tcMar>
            <w:vAlign w:val="center"/>
          </w:tcPr>
          <w:p>
            <w:pPr>
              <w:pStyle w:val="35"/>
            </w:pPr>
            <w:r>
              <w:t>天宁化工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甲醛、甲醇、甲酸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8</w:t>
            </w:r>
          </w:p>
        </w:tc>
        <w:tc>
          <w:tcPr>
            <w:tcW w:w="1060" w:type="pct"/>
            <w:tcMar>
              <w:left w:w="28" w:type="dxa"/>
              <w:right w:w="28" w:type="dxa"/>
            </w:tcMar>
            <w:vAlign w:val="center"/>
          </w:tcPr>
          <w:p>
            <w:pPr>
              <w:pStyle w:val="35"/>
            </w:pPr>
            <w:r>
              <w:t>千瑞达化工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氨气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9</w:t>
            </w:r>
          </w:p>
        </w:tc>
        <w:tc>
          <w:tcPr>
            <w:tcW w:w="1060" w:type="pct"/>
            <w:tcMar>
              <w:left w:w="28" w:type="dxa"/>
              <w:right w:w="28" w:type="dxa"/>
            </w:tcMar>
            <w:vAlign w:val="center"/>
          </w:tcPr>
          <w:p>
            <w:pPr>
              <w:pStyle w:val="35"/>
            </w:pPr>
            <w:r>
              <w:t>立信化工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甲醛、甲醇、甲酸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10</w:t>
            </w:r>
          </w:p>
        </w:tc>
        <w:tc>
          <w:tcPr>
            <w:tcW w:w="1060" w:type="pct"/>
            <w:tcMar>
              <w:left w:w="28" w:type="dxa"/>
              <w:right w:w="28" w:type="dxa"/>
            </w:tcMar>
            <w:vAlign w:val="center"/>
          </w:tcPr>
          <w:p>
            <w:pPr>
              <w:pStyle w:val="35"/>
            </w:pPr>
            <w:r>
              <w:t>四方化工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rPr>
                <w:spacing w:val="-20"/>
              </w:rPr>
              <w:t>甲醇、乙醇、脂肪酸、甲酯、氨气、环氧乙烷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11</w:t>
            </w:r>
          </w:p>
        </w:tc>
        <w:tc>
          <w:tcPr>
            <w:tcW w:w="1060" w:type="pct"/>
            <w:tcMar>
              <w:left w:w="28" w:type="dxa"/>
              <w:right w:w="28" w:type="dxa"/>
            </w:tcMar>
            <w:vAlign w:val="center"/>
          </w:tcPr>
          <w:p>
            <w:pPr>
              <w:pStyle w:val="35"/>
            </w:pPr>
            <w:r>
              <w:t>海化石油机械</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二甲苯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12</w:t>
            </w:r>
          </w:p>
        </w:tc>
        <w:tc>
          <w:tcPr>
            <w:tcW w:w="1060" w:type="pct"/>
            <w:tcMar>
              <w:left w:w="28" w:type="dxa"/>
              <w:right w:w="28" w:type="dxa"/>
            </w:tcMar>
            <w:vAlign w:val="center"/>
          </w:tcPr>
          <w:p>
            <w:pPr>
              <w:pStyle w:val="35"/>
            </w:pPr>
            <w:r>
              <w:t>贝英数控</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HCl、苯、甲苯、二甲苯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13</w:t>
            </w:r>
          </w:p>
        </w:tc>
        <w:tc>
          <w:tcPr>
            <w:tcW w:w="1060" w:type="pct"/>
            <w:tcMar>
              <w:left w:w="28" w:type="dxa"/>
              <w:right w:w="28" w:type="dxa"/>
            </w:tcMar>
            <w:vAlign w:val="center"/>
          </w:tcPr>
          <w:p>
            <w:pPr>
              <w:pStyle w:val="35"/>
            </w:pPr>
            <w:r>
              <w:t>华龙香料</w:t>
            </w:r>
          </w:p>
        </w:tc>
        <w:tc>
          <w:tcPr>
            <w:tcW w:w="741" w:type="pct"/>
            <w:tcMar>
              <w:left w:w="28" w:type="dxa"/>
              <w:right w:w="28" w:type="dxa"/>
            </w:tcMar>
            <w:vAlign w:val="center"/>
          </w:tcPr>
          <w:p>
            <w:pPr>
              <w:pStyle w:val="35"/>
            </w:pPr>
            <w:r>
              <w:t>0.55</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乙醛、甲醇、环己烷、硫酸雾、三乙胺、乙酸、乙醇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14</w:t>
            </w:r>
          </w:p>
        </w:tc>
        <w:tc>
          <w:tcPr>
            <w:tcW w:w="1060" w:type="pct"/>
            <w:tcMar>
              <w:left w:w="28" w:type="dxa"/>
              <w:right w:w="28" w:type="dxa"/>
            </w:tcMar>
            <w:vAlign w:val="center"/>
          </w:tcPr>
          <w:p>
            <w:pPr>
              <w:pStyle w:val="35"/>
            </w:pPr>
            <w:r>
              <w:t>迈奇化</w:t>
            </w:r>
            <w:r>
              <w:rPr>
                <w:rFonts w:hint="eastAsia"/>
              </w:rPr>
              <w:t>学</w:t>
            </w:r>
          </w:p>
        </w:tc>
        <w:tc>
          <w:tcPr>
            <w:tcW w:w="741" w:type="pct"/>
            <w:tcMar>
              <w:left w:w="28" w:type="dxa"/>
              <w:right w:w="28" w:type="dxa"/>
            </w:tcMar>
            <w:vAlign w:val="center"/>
          </w:tcPr>
          <w:p>
            <w:pPr>
              <w:pStyle w:val="35"/>
            </w:pPr>
            <w:r>
              <w:t>0.9</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甲胺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15</w:t>
            </w:r>
          </w:p>
        </w:tc>
        <w:tc>
          <w:tcPr>
            <w:tcW w:w="1060" w:type="pct"/>
            <w:tcMar>
              <w:left w:w="28" w:type="dxa"/>
              <w:right w:w="28" w:type="dxa"/>
            </w:tcMar>
            <w:vAlign w:val="center"/>
          </w:tcPr>
          <w:p>
            <w:pPr>
              <w:pStyle w:val="35"/>
            </w:pPr>
            <w:r>
              <w:t>泓天威药业</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NH3、乙酸乙酯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16</w:t>
            </w:r>
          </w:p>
        </w:tc>
        <w:tc>
          <w:tcPr>
            <w:tcW w:w="1060" w:type="pct"/>
            <w:tcMar>
              <w:left w:w="28" w:type="dxa"/>
              <w:right w:w="28" w:type="dxa"/>
            </w:tcMar>
            <w:vAlign w:val="center"/>
          </w:tcPr>
          <w:p>
            <w:pPr>
              <w:pStyle w:val="35"/>
            </w:pPr>
            <w:r>
              <w:t>诚科化工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NH3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17</w:t>
            </w:r>
          </w:p>
        </w:tc>
        <w:tc>
          <w:tcPr>
            <w:tcW w:w="1060" w:type="pct"/>
            <w:tcMar>
              <w:left w:w="28" w:type="dxa"/>
              <w:right w:w="28" w:type="dxa"/>
            </w:tcMar>
            <w:vAlign w:val="center"/>
          </w:tcPr>
          <w:p>
            <w:pPr>
              <w:pStyle w:val="35"/>
            </w:pPr>
            <w:r>
              <w:t>普天化工</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乙酸、氯气、氯化氢、甲醇、甲醛、甲缩醛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1</w:t>
            </w:r>
            <w:r>
              <w:rPr>
                <w:rFonts w:hint="eastAsia"/>
              </w:rPr>
              <w:t>8</w:t>
            </w:r>
          </w:p>
        </w:tc>
        <w:tc>
          <w:tcPr>
            <w:tcW w:w="1060" w:type="pct"/>
            <w:tcMar>
              <w:left w:w="28" w:type="dxa"/>
              <w:right w:w="28" w:type="dxa"/>
            </w:tcMar>
            <w:vAlign w:val="center"/>
          </w:tcPr>
          <w:p>
            <w:pPr>
              <w:pStyle w:val="35"/>
            </w:pPr>
            <w:r>
              <w:rPr>
                <w:rFonts w:hint="eastAsia"/>
              </w:rPr>
              <w:t>龙丰热电</w:t>
            </w:r>
          </w:p>
        </w:tc>
        <w:tc>
          <w:tcPr>
            <w:tcW w:w="741" w:type="pct"/>
            <w:tcMar>
              <w:left w:w="28" w:type="dxa"/>
              <w:right w:w="28" w:type="dxa"/>
            </w:tcMar>
            <w:vAlign w:val="center"/>
          </w:tcPr>
          <w:p>
            <w:pPr>
              <w:pStyle w:val="35"/>
            </w:pPr>
            <w:r>
              <w:rPr>
                <w:rFonts w:hint="eastAsia"/>
              </w:rPr>
              <w:t>1008</w:t>
            </w:r>
          </w:p>
        </w:tc>
        <w:tc>
          <w:tcPr>
            <w:tcW w:w="557" w:type="pct"/>
            <w:tcMar>
              <w:left w:w="28" w:type="dxa"/>
              <w:right w:w="28" w:type="dxa"/>
            </w:tcMar>
            <w:vAlign w:val="center"/>
          </w:tcPr>
          <w:p>
            <w:pPr>
              <w:pStyle w:val="35"/>
            </w:pPr>
            <w:r>
              <w:rPr>
                <w:rFonts w:hint="eastAsia"/>
              </w:rPr>
              <w:t>2820</w:t>
            </w:r>
          </w:p>
        </w:tc>
        <w:tc>
          <w:tcPr>
            <w:tcW w:w="2263" w:type="pct"/>
            <w:tcMar>
              <w:left w:w="28" w:type="dxa"/>
              <w:right w:w="28" w:type="dxa"/>
            </w:tcMar>
            <w:vAlign w:val="center"/>
          </w:tcPr>
          <w:p>
            <w:pPr>
              <w:pStyle w:val="35"/>
              <w:jc w:val="left"/>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rPr>
                <w:rFonts w:hint="eastAsia"/>
              </w:rPr>
              <w:t>19</w:t>
            </w:r>
          </w:p>
        </w:tc>
        <w:tc>
          <w:tcPr>
            <w:tcW w:w="1060" w:type="pct"/>
            <w:tcMar>
              <w:left w:w="28" w:type="dxa"/>
              <w:right w:w="28" w:type="dxa"/>
            </w:tcMar>
            <w:vAlign w:val="center"/>
          </w:tcPr>
          <w:p>
            <w:pPr>
              <w:pStyle w:val="35"/>
            </w:pPr>
            <w:r>
              <w:t>惠成</w:t>
            </w:r>
            <w:r>
              <w:rPr>
                <w:rFonts w:hint="eastAsia"/>
              </w:rPr>
              <w:t>电子</w:t>
            </w:r>
          </w:p>
        </w:tc>
        <w:tc>
          <w:tcPr>
            <w:tcW w:w="741" w:type="pct"/>
            <w:tcMar>
              <w:left w:w="28" w:type="dxa"/>
              <w:right w:w="28" w:type="dxa"/>
            </w:tcMar>
            <w:vAlign w:val="center"/>
          </w:tcPr>
          <w:p>
            <w:pPr>
              <w:pStyle w:val="35"/>
            </w:pPr>
            <w:r>
              <w:t>/</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2</w:t>
            </w:r>
            <w:r>
              <w:rPr>
                <w:rFonts w:hint="eastAsia"/>
              </w:rPr>
              <w:t>0</w:t>
            </w:r>
          </w:p>
        </w:tc>
        <w:tc>
          <w:tcPr>
            <w:tcW w:w="1060" w:type="pct"/>
            <w:tcMar>
              <w:left w:w="28" w:type="dxa"/>
              <w:right w:w="28" w:type="dxa"/>
            </w:tcMar>
            <w:vAlign w:val="center"/>
          </w:tcPr>
          <w:p>
            <w:pPr>
              <w:pStyle w:val="35"/>
            </w:pPr>
            <w:r>
              <w:t>中原乙烯</w:t>
            </w:r>
          </w:p>
        </w:tc>
        <w:tc>
          <w:tcPr>
            <w:tcW w:w="741" w:type="pct"/>
            <w:tcMar>
              <w:left w:w="28" w:type="dxa"/>
              <w:right w:w="28" w:type="dxa"/>
            </w:tcMar>
            <w:vAlign w:val="center"/>
          </w:tcPr>
          <w:p>
            <w:pPr>
              <w:pStyle w:val="35"/>
            </w:pPr>
            <w:r>
              <w:t>547.1</w:t>
            </w:r>
          </w:p>
        </w:tc>
        <w:tc>
          <w:tcPr>
            <w:tcW w:w="557" w:type="pct"/>
            <w:tcMar>
              <w:left w:w="28" w:type="dxa"/>
              <w:right w:w="28" w:type="dxa"/>
            </w:tcMar>
            <w:vAlign w:val="center"/>
          </w:tcPr>
          <w:p>
            <w:pPr>
              <w:pStyle w:val="35"/>
            </w:pPr>
            <w:r>
              <w:t>475.8</w:t>
            </w:r>
          </w:p>
        </w:tc>
        <w:tc>
          <w:tcPr>
            <w:tcW w:w="2263" w:type="pct"/>
            <w:tcMar>
              <w:left w:w="28" w:type="dxa"/>
              <w:right w:w="28" w:type="dxa"/>
            </w:tcMar>
            <w:vAlign w:val="center"/>
          </w:tcPr>
          <w:p>
            <w:pPr>
              <w:pStyle w:val="35"/>
              <w:jc w:val="left"/>
            </w:pPr>
            <w:r>
              <w:t>总有机碳、非甲烷总烃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rPr>
                <w:rFonts w:hint="eastAsia"/>
              </w:rPr>
              <w:t>21</w:t>
            </w:r>
          </w:p>
        </w:tc>
        <w:tc>
          <w:tcPr>
            <w:tcW w:w="1060" w:type="pct"/>
            <w:tcMar>
              <w:left w:w="28" w:type="dxa"/>
              <w:right w:w="28" w:type="dxa"/>
            </w:tcMar>
            <w:vAlign w:val="center"/>
          </w:tcPr>
          <w:p>
            <w:pPr>
              <w:pStyle w:val="35"/>
            </w:pPr>
            <w:r>
              <w:t>中原大化</w:t>
            </w:r>
          </w:p>
        </w:tc>
        <w:tc>
          <w:tcPr>
            <w:tcW w:w="741" w:type="pct"/>
            <w:tcMar>
              <w:left w:w="28" w:type="dxa"/>
              <w:right w:w="28" w:type="dxa"/>
            </w:tcMar>
            <w:vAlign w:val="center"/>
          </w:tcPr>
          <w:p>
            <w:pPr>
              <w:pStyle w:val="35"/>
            </w:pPr>
            <w:r>
              <w:t>375.08</w:t>
            </w:r>
          </w:p>
        </w:tc>
        <w:tc>
          <w:tcPr>
            <w:tcW w:w="557" w:type="pct"/>
            <w:tcMar>
              <w:left w:w="28" w:type="dxa"/>
              <w:right w:w="28" w:type="dxa"/>
            </w:tcMar>
            <w:vAlign w:val="center"/>
          </w:tcPr>
          <w:p>
            <w:pPr>
              <w:pStyle w:val="35"/>
            </w:pPr>
            <w:r>
              <w:t>375.41</w:t>
            </w:r>
          </w:p>
        </w:tc>
        <w:tc>
          <w:tcPr>
            <w:tcW w:w="2263" w:type="pct"/>
            <w:tcMar>
              <w:left w:w="28" w:type="dxa"/>
              <w:right w:w="28" w:type="dxa"/>
            </w:tcMar>
            <w:vAlign w:val="center"/>
          </w:tcPr>
          <w:p>
            <w:pPr>
              <w:pStyle w:val="35"/>
              <w:jc w:val="left"/>
            </w:pPr>
            <w:r>
              <w:t>NH3、芳烃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t>22</w:t>
            </w:r>
          </w:p>
        </w:tc>
        <w:tc>
          <w:tcPr>
            <w:tcW w:w="1060" w:type="pct"/>
            <w:tcMar>
              <w:left w:w="28" w:type="dxa"/>
              <w:right w:w="28" w:type="dxa"/>
            </w:tcMar>
            <w:vAlign w:val="center"/>
          </w:tcPr>
          <w:p>
            <w:pPr>
              <w:pStyle w:val="35"/>
            </w:pPr>
            <w:r>
              <w:t>龙宇化工</w:t>
            </w:r>
          </w:p>
        </w:tc>
        <w:tc>
          <w:tcPr>
            <w:tcW w:w="741" w:type="pct"/>
            <w:tcMar>
              <w:left w:w="28" w:type="dxa"/>
              <w:right w:w="28" w:type="dxa"/>
            </w:tcMar>
            <w:vAlign w:val="center"/>
          </w:tcPr>
          <w:p>
            <w:pPr>
              <w:pStyle w:val="35"/>
            </w:pPr>
            <w:r>
              <w:t>23.63</w:t>
            </w:r>
          </w:p>
        </w:tc>
        <w:tc>
          <w:tcPr>
            <w:tcW w:w="557" w:type="pct"/>
            <w:tcMar>
              <w:left w:w="28" w:type="dxa"/>
              <w:right w:w="28" w:type="dxa"/>
            </w:tcMar>
            <w:vAlign w:val="center"/>
          </w:tcPr>
          <w:p>
            <w:pPr>
              <w:pStyle w:val="35"/>
            </w:pPr>
            <w:r>
              <w:t>90.21</w:t>
            </w:r>
          </w:p>
        </w:tc>
        <w:tc>
          <w:tcPr>
            <w:tcW w:w="2263" w:type="pct"/>
            <w:tcMar>
              <w:left w:w="28" w:type="dxa"/>
              <w:right w:w="28" w:type="dxa"/>
            </w:tcMar>
            <w:vAlign w:val="center"/>
          </w:tcPr>
          <w:p>
            <w:pPr>
              <w:pStyle w:val="35"/>
              <w:jc w:val="left"/>
            </w:pPr>
            <w:r>
              <w:t>甲醇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rPr>
                <w:rFonts w:hint="eastAsia"/>
              </w:rPr>
              <w:t>23</w:t>
            </w:r>
          </w:p>
        </w:tc>
        <w:tc>
          <w:tcPr>
            <w:tcW w:w="1060" w:type="pct"/>
            <w:tcMar>
              <w:left w:w="28" w:type="dxa"/>
              <w:right w:w="28" w:type="dxa"/>
            </w:tcMar>
            <w:vAlign w:val="center"/>
          </w:tcPr>
          <w:p>
            <w:pPr>
              <w:pStyle w:val="35"/>
            </w:pPr>
            <w:r>
              <w:t>同力水泥</w:t>
            </w:r>
          </w:p>
        </w:tc>
        <w:tc>
          <w:tcPr>
            <w:tcW w:w="741" w:type="pct"/>
            <w:tcMar>
              <w:left w:w="28" w:type="dxa"/>
              <w:right w:w="28" w:type="dxa"/>
            </w:tcMar>
            <w:vAlign w:val="center"/>
          </w:tcPr>
          <w:p>
            <w:pPr>
              <w:pStyle w:val="35"/>
            </w:pPr>
            <w:r>
              <w:t>132.62</w:t>
            </w:r>
          </w:p>
        </w:tc>
        <w:tc>
          <w:tcPr>
            <w:tcW w:w="557" w:type="pct"/>
            <w:tcMar>
              <w:left w:w="28" w:type="dxa"/>
              <w:right w:w="28" w:type="dxa"/>
            </w:tcMar>
            <w:vAlign w:val="center"/>
          </w:tcPr>
          <w:p>
            <w:pPr>
              <w:pStyle w:val="35"/>
            </w:pPr>
            <w:r>
              <w:t>/</w:t>
            </w:r>
          </w:p>
        </w:tc>
        <w:tc>
          <w:tcPr>
            <w:tcW w:w="2263" w:type="pct"/>
            <w:tcMar>
              <w:left w:w="28" w:type="dxa"/>
              <w:right w:w="28" w:type="dxa"/>
            </w:tcMar>
            <w:vAlign w:val="center"/>
          </w:tcPr>
          <w:p>
            <w:pPr>
              <w:pStyle w:val="35"/>
              <w:jc w:val="left"/>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rPr>
                <w:rFonts w:hint="eastAsia"/>
              </w:rPr>
              <w:t>24</w:t>
            </w:r>
          </w:p>
        </w:tc>
        <w:tc>
          <w:tcPr>
            <w:tcW w:w="1060" w:type="pct"/>
            <w:tcMar>
              <w:left w:w="28" w:type="dxa"/>
              <w:right w:w="28" w:type="dxa"/>
            </w:tcMar>
            <w:vAlign w:val="center"/>
          </w:tcPr>
          <w:p>
            <w:pPr>
              <w:pStyle w:val="35"/>
            </w:pPr>
            <w:r>
              <w:t>国热热力公司</w:t>
            </w:r>
          </w:p>
        </w:tc>
        <w:tc>
          <w:tcPr>
            <w:tcW w:w="741" w:type="pct"/>
            <w:tcMar>
              <w:left w:w="28" w:type="dxa"/>
              <w:right w:w="28" w:type="dxa"/>
            </w:tcMar>
            <w:vAlign w:val="center"/>
          </w:tcPr>
          <w:p>
            <w:pPr>
              <w:pStyle w:val="35"/>
            </w:pPr>
            <w:r>
              <w:t>314</w:t>
            </w:r>
          </w:p>
        </w:tc>
        <w:tc>
          <w:tcPr>
            <w:tcW w:w="557" w:type="pct"/>
            <w:tcMar>
              <w:left w:w="28" w:type="dxa"/>
              <w:right w:w="28" w:type="dxa"/>
            </w:tcMar>
            <w:vAlign w:val="center"/>
          </w:tcPr>
          <w:p>
            <w:pPr>
              <w:pStyle w:val="35"/>
            </w:pPr>
            <w:r>
              <w:t>814</w:t>
            </w:r>
          </w:p>
        </w:tc>
        <w:tc>
          <w:tcPr>
            <w:tcW w:w="2263" w:type="pct"/>
            <w:tcMar>
              <w:left w:w="28" w:type="dxa"/>
              <w:right w:w="28" w:type="dxa"/>
            </w:tcMar>
            <w:vAlign w:val="center"/>
          </w:tcPr>
          <w:p>
            <w:pPr>
              <w:pStyle w:val="35"/>
              <w:jc w:val="left"/>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76" w:type="pct"/>
            <w:tcMar>
              <w:left w:w="28" w:type="dxa"/>
              <w:right w:w="28" w:type="dxa"/>
            </w:tcMar>
            <w:vAlign w:val="center"/>
          </w:tcPr>
          <w:p>
            <w:pPr>
              <w:pStyle w:val="35"/>
            </w:pPr>
            <w:r>
              <w:rPr>
                <w:rFonts w:hint="eastAsia"/>
              </w:rPr>
              <w:t>25</w:t>
            </w:r>
          </w:p>
        </w:tc>
        <w:tc>
          <w:tcPr>
            <w:tcW w:w="1060" w:type="pct"/>
            <w:tcMar>
              <w:left w:w="28" w:type="dxa"/>
              <w:right w:w="28" w:type="dxa"/>
            </w:tcMar>
            <w:vAlign w:val="center"/>
          </w:tcPr>
          <w:p>
            <w:pPr>
              <w:pStyle w:val="35"/>
            </w:pPr>
            <w:r>
              <w:t>市热电厂</w:t>
            </w:r>
          </w:p>
        </w:tc>
        <w:tc>
          <w:tcPr>
            <w:tcW w:w="741" w:type="pct"/>
            <w:tcMar>
              <w:left w:w="28" w:type="dxa"/>
              <w:right w:w="28" w:type="dxa"/>
            </w:tcMar>
            <w:vAlign w:val="center"/>
          </w:tcPr>
          <w:p>
            <w:pPr>
              <w:pStyle w:val="35"/>
            </w:pPr>
            <w:r>
              <w:t>2468.18</w:t>
            </w:r>
          </w:p>
        </w:tc>
        <w:tc>
          <w:tcPr>
            <w:tcW w:w="557" w:type="pct"/>
            <w:tcMar>
              <w:left w:w="28" w:type="dxa"/>
              <w:right w:w="28" w:type="dxa"/>
            </w:tcMar>
            <w:vAlign w:val="center"/>
          </w:tcPr>
          <w:p>
            <w:pPr>
              <w:pStyle w:val="35"/>
            </w:pPr>
            <w:r>
              <w:t>1010</w:t>
            </w:r>
          </w:p>
        </w:tc>
        <w:tc>
          <w:tcPr>
            <w:tcW w:w="2263" w:type="pct"/>
            <w:tcMar>
              <w:left w:w="28" w:type="dxa"/>
              <w:right w:w="28" w:type="dxa"/>
            </w:tcMar>
            <w:vAlign w:val="center"/>
          </w:tcPr>
          <w:p>
            <w:pPr>
              <w:pStyle w:val="35"/>
              <w:jc w:val="left"/>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437" w:type="pct"/>
            <w:gridSpan w:val="2"/>
            <w:tcMar>
              <w:left w:w="28" w:type="dxa"/>
              <w:right w:w="28" w:type="dxa"/>
            </w:tcMar>
            <w:vAlign w:val="center"/>
          </w:tcPr>
          <w:p>
            <w:pPr>
              <w:pStyle w:val="35"/>
            </w:pPr>
            <w:r>
              <w:rPr>
                <w:rFonts w:hint="eastAsia"/>
              </w:rPr>
              <w:t>合</w:t>
            </w:r>
            <w:r>
              <w:t>计</w:t>
            </w:r>
          </w:p>
        </w:tc>
        <w:tc>
          <w:tcPr>
            <w:tcW w:w="741" w:type="pct"/>
            <w:tcMar>
              <w:left w:w="28" w:type="dxa"/>
              <w:right w:w="28" w:type="dxa"/>
            </w:tcMar>
            <w:vAlign w:val="center"/>
          </w:tcPr>
          <w:p>
            <w:pPr>
              <w:pStyle w:val="35"/>
            </w:pPr>
            <w:r>
              <w:fldChar w:fldCharType="begin"/>
            </w:r>
            <w:r>
              <w:instrText xml:space="preserve"> </w:instrText>
            </w:r>
            <w:r>
              <w:rPr>
                <w:rFonts w:hint="eastAsia"/>
              </w:rPr>
              <w:instrText xml:space="preserve">=SUM(ABOVE)</w:instrText>
            </w:r>
            <w:r>
              <w:instrText xml:space="preserve"> </w:instrText>
            </w:r>
            <w:r>
              <w:fldChar w:fldCharType="separate"/>
            </w:r>
            <w:r>
              <w:t>3860.61</w:t>
            </w:r>
            <w:r>
              <w:fldChar w:fldCharType="end"/>
            </w:r>
          </w:p>
        </w:tc>
        <w:tc>
          <w:tcPr>
            <w:tcW w:w="557" w:type="pct"/>
            <w:tcMar>
              <w:left w:w="28" w:type="dxa"/>
              <w:right w:w="28" w:type="dxa"/>
            </w:tcMar>
            <w:vAlign w:val="center"/>
          </w:tcPr>
          <w:p>
            <w:pPr>
              <w:pStyle w:val="35"/>
            </w:pPr>
            <w:r>
              <w:fldChar w:fldCharType="begin"/>
            </w:r>
            <w:r>
              <w:instrText xml:space="preserve"> </w:instrText>
            </w:r>
            <w:r>
              <w:rPr>
                <w:rFonts w:hint="eastAsia"/>
              </w:rPr>
              <w:instrText xml:space="preserve">=SUM(ABOVE)</w:instrText>
            </w:r>
            <w:r>
              <w:instrText xml:space="preserve"> </w:instrText>
            </w:r>
            <w:r>
              <w:fldChar w:fldCharType="separate"/>
            </w:r>
            <w:r>
              <w:t>1824</w:t>
            </w:r>
            <w:r>
              <w:fldChar w:fldCharType="end"/>
            </w:r>
          </w:p>
        </w:tc>
        <w:tc>
          <w:tcPr>
            <w:tcW w:w="2263" w:type="pct"/>
            <w:tcMar>
              <w:left w:w="28" w:type="dxa"/>
              <w:right w:w="28" w:type="dxa"/>
            </w:tcMar>
            <w:vAlign w:val="center"/>
          </w:tcPr>
          <w:p>
            <w:pPr>
              <w:pStyle w:val="35"/>
              <w:jc w:val="left"/>
            </w:pPr>
            <w:r>
              <w:t>/</w:t>
            </w:r>
          </w:p>
        </w:tc>
      </w:tr>
    </w:tbl>
    <w:p>
      <w:pPr>
        <w:pStyle w:val="32"/>
      </w:pPr>
      <w:r>
        <w:rPr>
          <w:rFonts w:hint="eastAsia"/>
        </w:rPr>
        <w:t>表4.4-2            评价区内废水主要污染源调查表</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3114"/>
        <w:gridCol w:w="2521"/>
        <w:gridCol w:w="26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blHeader/>
        </w:trPr>
        <w:tc>
          <w:tcPr>
            <w:tcW w:w="469" w:type="pct"/>
            <w:vAlign w:val="center"/>
          </w:tcPr>
          <w:p>
            <w:pPr>
              <w:pStyle w:val="34"/>
            </w:pPr>
            <w:r>
              <w:t>序号</w:t>
            </w:r>
          </w:p>
        </w:tc>
        <w:tc>
          <w:tcPr>
            <w:tcW w:w="1697" w:type="pct"/>
            <w:vAlign w:val="center"/>
          </w:tcPr>
          <w:p>
            <w:pPr>
              <w:pStyle w:val="34"/>
            </w:pPr>
            <w:r>
              <w:t>企业名称</w:t>
            </w:r>
          </w:p>
        </w:tc>
        <w:tc>
          <w:tcPr>
            <w:tcW w:w="1374" w:type="pct"/>
            <w:vAlign w:val="center"/>
          </w:tcPr>
          <w:p>
            <w:pPr>
              <w:pStyle w:val="34"/>
            </w:pPr>
            <w:r>
              <w:t>废水量</w:t>
            </w:r>
            <w:r>
              <w:rPr>
                <w:rFonts w:hint="eastAsia"/>
              </w:rPr>
              <w:t>（</w:t>
            </w:r>
            <w:r>
              <w:t>t/a</w:t>
            </w:r>
            <w:r>
              <w:rPr>
                <w:rFonts w:hint="eastAsia"/>
              </w:rPr>
              <w:t>）</w:t>
            </w:r>
          </w:p>
        </w:tc>
        <w:tc>
          <w:tcPr>
            <w:tcW w:w="1458" w:type="pct"/>
            <w:vAlign w:val="center"/>
          </w:tcPr>
          <w:p>
            <w:pPr>
              <w:pStyle w:val="34"/>
            </w:pPr>
            <w:r>
              <w:t>COD</w:t>
            </w:r>
            <w:r>
              <w:rPr>
                <w:rFonts w:hint="eastAsia"/>
              </w:rPr>
              <w:t>（</w:t>
            </w:r>
            <w:r>
              <w:t>t/a</w:t>
            </w: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bookmarkStart w:id="124" w:name="_Hlk257013318"/>
            <w:r>
              <w:t>1</w:t>
            </w:r>
          </w:p>
        </w:tc>
        <w:tc>
          <w:tcPr>
            <w:tcW w:w="1697" w:type="pct"/>
            <w:vAlign w:val="center"/>
          </w:tcPr>
          <w:p>
            <w:pPr>
              <w:pStyle w:val="35"/>
            </w:pPr>
            <w:r>
              <w:t>瑞森化工</w:t>
            </w:r>
          </w:p>
        </w:tc>
        <w:tc>
          <w:tcPr>
            <w:tcW w:w="1374" w:type="pct"/>
            <w:vAlign w:val="center"/>
          </w:tcPr>
          <w:p>
            <w:pPr>
              <w:pStyle w:val="35"/>
            </w:pPr>
            <w:r>
              <w:t>27951</w:t>
            </w:r>
          </w:p>
        </w:tc>
        <w:tc>
          <w:tcPr>
            <w:tcW w:w="1458" w:type="pct"/>
            <w:vAlign w:val="center"/>
          </w:tcPr>
          <w:p>
            <w:pPr>
              <w:pStyle w:val="35"/>
            </w:pPr>
            <w:r>
              <w:t>1.43</w:t>
            </w:r>
          </w:p>
        </w:tc>
      </w:tr>
      <w:bookmarkEnd w:id="124"/>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2</w:t>
            </w:r>
          </w:p>
        </w:tc>
        <w:tc>
          <w:tcPr>
            <w:tcW w:w="1697" w:type="pct"/>
            <w:vAlign w:val="center"/>
          </w:tcPr>
          <w:p>
            <w:pPr>
              <w:pStyle w:val="35"/>
            </w:pPr>
            <w:r>
              <w:t>鹏鑫化工</w:t>
            </w:r>
          </w:p>
        </w:tc>
        <w:tc>
          <w:tcPr>
            <w:tcW w:w="1374" w:type="pct"/>
            <w:vAlign w:val="center"/>
          </w:tcPr>
          <w:p>
            <w:pPr>
              <w:pStyle w:val="35"/>
            </w:pPr>
            <w:r>
              <w:t>326000</w:t>
            </w:r>
          </w:p>
        </w:tc>
        <w:tc>
          <w:tcPr>
            <w:tcW w:w="1458" w:type="pct"/>
            <w:vAlign w:val="center"/>
          </w:tcPr>
          <w:p>
            <w:pPr>
              <w:pStyle w:val="35"/>
            </w:pPr>
            <w: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3</w:t>
            </w:r>
          </w:p>
        </w:tc>
        <w:tc>
          <w:tcPr>
            <w:tcW w:w="1697" w:type="pct"/>
            <w:vAlign w:val="center"/>
          </w:tcPr>
          <w:p>
            <w:pPr>
              <w:pStyle w:val="35"/>
            </w:pPr>
            <w:r>
              <w:t>宏健化工</w:t>
            </w:r>
          </w:p>
        </w:tc>
        <w:tc>
          <w:tcPr>
            <w:tcW w:w="1374" w:type="pct"/>
            <w:vAlign w:val="center"/>
          </w:tcPr>
          <w:p>
            <w:pPr>
              <w:pStyle w:val="35"/>
            </w:pPr>
            <w:r>
              <w:t>31000</w:t>
            </w:r>
          </w:p>
        </w:tc>
        <w:tc>
          <w:tcPr>
            <w:tcW w:w="1458" w:type="pct"/>
            <w:vAlign w:val="center"/>
          </w:tcPr>
          <w:p>
            <w:pPr>
              <w:pStyle w:val="35"/>
            </w:pPr>
            <w:r>
              <w:t>4.03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4</w:t>
            </w:r>
          </w:p>
        </w:tc>
        <w:tc>
          <w:tcPr>
            <w:tcW w:w="1697" w:type="pct"/>
            <w:vAlign w:val="center"/>
          </w:tcPr>
          <w:p>
            <w:pPr>
              <w:pStyle w:val="35"/>
            </w:pPr>
            <w:r>
              <w:t>强胜石油支撑剂</w:t>
            </w:r>
          </w:p>
        </w:tc>
        <w:tc>
          <w:tcPr>
            <w:tcW w:w="1374" w:type="pct"/>
            <w:vAlign w:val="center"/>
          </w:tcPr>
          <w:p>
            <w:pPr>
              <w:pStyle w:val="35"/>
            </w:pPr>
            <w:r>
              <w:rPr>
                <w:rFonts w:hint="eastAsia"/>
              </w:rPr>
              <w:t>324000</w:t>
            </w:r>
          </w:p>
        </w:tc>
        <w:tc>
          <w:tcPr>
            <w:tcW w:w="1458" w:type="pct"/>
            <w:vAlign w:val="center"/>
          </w:tcPr>
          <w:p>
            <w:pPr>
              <w:pStyle w:val="35"/>
            </w:pPr>
            <w:r>
              <w:rPr>
                <w:rFonts w:hint="eastAsia"/>
              </w:rPr>
              <w:t>38.9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5</w:t>
            </w:r>
          </w:p>
        </w:tc>
        <w:tc>
          <w:tcPr>
            <w:tcW w:w="1697" w:type="pct"/>
            <w:vAlign w:val="center"/>
          </w:tcPr>
          <w:p>
            <w:pPr>
              <w:pStyle w:val="35"/>
            </w:pPr>
            <w:r>
              <w:t>星海化工</w:t>
            </w:r>
          </w:p>
        </w:tc>
        <w:tc>
          <w:tcPr>
            <w:tcW w:w="1374" w:type="pct"/>
            <w:vAlign w:val="center"/>
          </w:tcPr>
          <w:p>
            <w:pPr>
              <w:pStyle w:val="35"/>
            </w:pPr>
            <w:r>
              <w:t>600</w:t>
            </w:r>
          </w:p>
        </w:tc>
        <w:tc>
          <w:tcPr>
            <w:tcW w:w="1458" w:type="pct"/>
            <w:vAlign w:val="center"/>
          </w:tcPr>
          <w:p>
            <w:pPr>
              <w:pStyle w:val="35"/>
            </w:pPr>
            <w:r>
              <w:t>0.079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6</w:t>
            </w:r>
          </w:p>
        </w:tc>
        <w:tc>
          <w:tcPr>
            <w:tcW w:w="1697" w:type="pct"/>
            <w:vAlign w:val="center"/>
          </w:tcPr>
          <w:p>
            <w:pPr>
              <w:pStyle w:val="35"/>
            </w:pPr>
            <w:r>
              <w:t>万泉化工</w:t>
            </w:r>
          </w:p>
        </w:tc>
        <w:tc>
          <w:tcPr>
            <w:tcW w:w="1374" w:type="pct"/>
            <w:vAlign w:val="center"/>
          </w:tcPr>
          <w:p>
            <w:pPr>
              <w:pStyle w:val="35"/>
            </w:pPr>
            <w:r>
              <w:t>691</w:t>
            </w:r>
          </w:p>
        </w:tc>
        <w:tc>
          <w:tcPr>
            <w:tcW w:w="1458" w:type="pct"/>
            <w:vAlign w:val="center"/>
          </w:tcPr>
          <w:p>
            <w:pPr>
              <w:pStyle w:val="35"/>
            </w:pPr>
            <w: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7</w:t>
            </w:r>
          </w:p>
        </w:tc>
        <w:tc>
          <w:tcPr>
            <w:tcW w:w="1697" w:type="pct"/>
            <w:vAlign w:val="center"/>
          </w:tcPr>
          <w:p>
            <w:pPr>
              <w:pStyle w:val="35"/>
            </w:pPr>
            <w:r>
              <w:t>天宁化工</w:t>
            </w:r>
          </w:p>
        </w:tc>
        <w:tc>
          <w:tcPr>
            <w:tcW w:w="1374" w:type="pct"/>
            <w:vAlign w:val="center"/>
          </w:tcPr>
          <w:p>
            <w:pPr>
              <w:pStyle w:val="35"/>
            </w:pPr>
            <w:r>
              <w:t>6300</w:t>
            </w:r>
          </w:p>
        </w:tc>
        <w:tc>
          <w:tcPr>
            <w:tcW w:w="1458" w:type="pct"/>
            <w:vAlign w:val="center"/>
          </w:tcPr>
          <w:p>
            <w:pPr>
              <w:pStyle w:val="35"/>
            </w:pPr>
            <w:r>
              <w:t>0.255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8</w:t>
            </w:r>
          </w:p>
        </w:tc>
        <w:tc>
          <w:tcPr>
            <w:tcW w:w="1697" w:type="pct"/>
            <w:vAlign w:val="center"/>
          </w:tcPr>
          <w:p>
            <w:pPr>
              <w:pStyle w:val="35"/>
            </w:pPr>
            <w:r>
              <w:t>千瑞达化工</w:t>
            </w:r>
          </w:p>
        </w:tc>
        <w:tc>
          <w:tcPr>
            <w:tcW w:w="1374" w:type="pct"/>
            <w:vAlign w:val="center"/>
          </w:tcPr>
          <w:p>
            <w:pPr>
              <w:pStyle w:val="35"/>
            </w:pPr>
            <w:r>
              <w:t>22680</w:t>
            </w:r>
          </w:p>
        </w:tc>
        <w:tc>
          <w:tcPr>
            <w:tcW w:w="1458" w:type="pct"/>
            <w:vAlign w:val="center"/>
          </w:tcPr>
          <w:p>
            <w:pPr>
              <w:pStyle w:val="35"/>
            </w:pPr>
            <w:r>
              <w:t>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9</w:t>
            </w:r>
          </w:p>
        </w:tc>
        <w:tc>
          <w:tcPr>
            <w:tcW w:w="1697" w:type="pct"/>
            <w:vAlign w:val="center"/>
          </w:tcPr>
          <w:p>
            <w:pPr>
              <w:pStyle w:val="35"/>
            </w:pPr>
            <w:r>
              <w:t>立信化工</w:t>
            </w:r>
          </w:p>
        </w:tc>
        <w:tc>
          <w:tcPr>
            <w:tcW w:w="1374" w:type="pct"/>
            <w:vAlign w:val="center"/>
          </w:tcPr>
          <w:p>
            <w:pPr>
              <w:pStyle w:val="35"/>
            </w:pPr>
            <w:r>
              <w:t>10300</w:t>
            </w:r>
          </w:p>
        </w:tc>
        <w:tc>
          <w:tcPr>
            <w:tcW w:w="1458" w:type="pct"/>
            <w:vAlign w:val="center"/>
          </w:tcPr>
          <w:p>
            <w:pPr>
              <w:pStyle w:val="35"/>
            </w:pPr>
            <w: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10</w:t>
            </w:r>
          </w:p>
        </w:tc>
        <w:tc>
          <w:tcPr>
            <w:tcW w:w="1697" w:type="pct"/>
            <w:vAlign w:val="center"/>
          </w:tcPr>
          <w:p>
            <w:pPr>
              <w:pStyle w:val="35"/>
            </w:pPr>
            <w:r>
              <w:t>四方化工</w:t>
            </w:r>
          </w:p>
        </w:tc>
        <w:tc>
          <w:tcPr>
            <w:tcW w:w="1374" w:type="pct"/>
            <w:vAlign w:val="center"/>
          </w:tcPr>
          <w:p>
            <w:pPr>
              <w:pStyle w:val="35"/>
            </w:pPr>
            <w:r>
              <w:t>17394</w:t>
            </w:r>
          </w:p>
        </w:tc>
        <w:tc>
          <w:tcPr>
            <w:tcW w:w="1458" w:type="pct"/>
            <w:vAlign w:val="center"/>
          </w:tcPr>
          <w:p>
            <w:pPr>
              <w:pStyle w:val="35"/>
            </w:pPr>
            <w:r>
              <w:t>0.517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11</w:t>
            </w:r>
          </w:p>
        </w:tc>
        <w:tc>
          <w:tcPr>
            <w:tcW w:w="1697" w:type="pct"/>
            <w:vAlign w:val="center"/>
          </w:tcPr>
          <w:p>
            <w:pPr>
              <w:pStyle w:val="35"/>
            </w:pPr>
            <w:r>
              <w:t>海化石油机械</w:t>
            </w:r>
          </w:p>
        </w:tc>
        <w:tc>
          <w:tcPr>
            <w:tcW w:w="1374" w:type="pct"/>
            <w:vAlign w:val="center"/>
          </w:tcPr>
          <w:p>
            <w:pPr>
              <w:pStyle w:val="35"/>
            </w:pPr>
            <w:r>
              <w:t>960</w:t>
            </w:r>
          </w:p>
        </w:tc>
        <w:tc>
          <w:tcPr>
            <w:tcW w:w="1458" w:type="pct"/>
            <w:vAlign w:val="center"/>
          </w:tcPr>
          <w:p>
            <w:pPr>
              <w:pStyle w:val="35"/>
            </w:pPr>
            <w: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12</w:t>
            </w:r>
          </w:p>
        </w:tc>
        <w:tc>
          <w:tcPr>
            <w:tcW w:w="1697" w:type="pct"/>
            <w:vAlign w:val="center"/>
          </w:tcPr>
          <w:p>
            <w:pPr>
              <w:pStyle w:val="35"/>
            </w:pPr>
            <w:r>
              <w:t>贝英数控</w:t>
            </w:r>
          </w:p>
        </w:tc>
        <w:tc>
          <w:tcPr>
            <w:tcW w:w="1374" w:type="pct"/>
            <w:vAlign w:val="center"/>
          </w:tcPr>
          <w:p>
            <w:pPr>
              <w:pStyle w:val="35"/>
            </w:pPr>
            <w:r>
              <w:t>1800</w:t>
            </w:r>
          </w:p>
        </w:tc>
        <w:tc>
          <w:tcPr>
            <w:tcW w:w="1458" w:type="pct"/>
            <w:vAlign w:val="center"/>
          </w:tcPr>
          <w:p>
            <w:pPr>
              <w:pStyle w:val="35"/>
            </w:pPr>
            <w:r>
              <w:t>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13</w:t>
            </w:r>
          </w:p>
        </w:tc>
        <w:tc>
          <w:tcPr>
            <w:tcW w:w="1697" w:type="pct"/>
            <w:vAlign w:val="center"/>
          </w:tcPr>
          <w:p>
            <w:pPr>
              <w:pStyle w:val="35"/>
            </w:pPr>
            <w:r>
              <w:t>华龙香料</w:t>
            </w:r>
          </w:p>
        </w:tc>
        <w:tc>
          <w:tcPr>
            <w:tcW w:w="1374" w:type="pct"/>
            <w:vAlign w:val="center"/>
          </w:tcPr>
          <w:p>
            <w:pPr>
              <w:pStyle w:val="35"/>
            </w:pPr>
            <w:r>
              <w:t>86400</w:t>
            </w:r>
          </w:p>
        </w:tc>
        <w:tc>
          <w:tcPr>
            <w:tcW w:w="1458" w:type="pct"/>
            <w:vAlign w:val="center"/>
          </w:tcPr>
          <w:p>
            <w:pPr>
              <w:pStyle w:val="35"/>
            </w:pPr>
            <w:r>
              <w:t>7.25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14</w:t>
            </w:r>
          </w:p>
        </w:tc>
        <w:tc>
          <w:tcPr>
            <w:tcW w:w="1697" w:type="pct"/>
            <w:vAlign w:val="center"/>
          </w:tcPr>
          <w:p>
            <w:pPr>
              <w:pStyle w:val="35"/>
            </w:pPr>
            <w:r>
              <w:t>迈奇化</w:t>
            </w:r>
            <w:r>
              <w:rPr>
                <w:rFonts w:hint="eastAsia"/>
              </w:rPr>
              <w:t>学</w:t>
            </w:r>
          </w:p>
        </w:tc>
        <w:tc>
          <w:tcPr>
            <w:tcW w:w="1374" w:type="pct"/>
            <w:vAlign w:val="center"/>
          </w:tcPr>
          <w:p>
            <w:pPr>
              <w:pStyle w:val="35"/>
            </w:pPr>
            <w:r>
              <w:t>22050</w:t>
            </w:r>
          </w:p>
        </w:tc>
        <w:tc>
          <w:tcPr>
            <w:tcW w:w="1458" w:type="pct"/>
            <w:vAlign w:val="center"/>
          </w:tcPr>
          <w:p>
            <w:pPr>
              <w:pStyle w:val="35"/>
            </w:pPr>
            <w: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15</w:t>
            </w:r>
          </w:p>
        </w:tc>
        <w:tc>
          <w:tcPr>
            <w:tcW w:w="1697" w:type="pct"/>
            <w:vAlign w:val="center"/>
          </w:tcPr>
          <w:p>
            <w:pPr>
              <w:pStyle w:val="35"/>
            </w:pPr>
            <w:r>
              <w:t>泓天威药业</w:t>
            </w:r>
          </w:p>
        </w:tc>
        <w:tc>
          <w:tcPr>
            <w:tcW w:w="1374" w:type="pct"/>
            <w:vAlign w:val="center"/>
          </w:tcPr>
          <w:p>
            <w:pPr>
              <w:pStyle w:val="35"/>
            </w:pPr>
            <w:r>
              <w:t>76700</w:t>
            </w:r>
          </w:p>
        </w:tc>
        <w:tc>
          <w:tcPr>
            <w:tcW w:w="1458" w:type="pct"/>
            <w:vAlign w:val="center"/>
          </w:tcPr>
          <w:p>
            <w:pPr>
              <w:pStyle w:val="35"/>
            </w:pPr>
            <w:r>
              <w:t>11.287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16</w:t>
            </w:r>
          </w:p>
        </w:tc>
        <w:tc>
          <w:tcPr>
            <w:tcW w:w="1697" w:type="pct"/>
            <w:vAlign w:val="center"/>
          </w:tcPr>
          <w:p>
            <w:pPr>
              <w:pStyle w:val="35"/>
            </w:pPr>
            <w:r>
              <w:t>诚科化工</w:t>
            </w:r>
          </w:p>
        </w:tc>
        <w:tc>
          <w:tcPr>
            <w:tcW w:w="1374" w:type="pct"/>
            <w:vAlign w:val="center"/>
          </w:tcPr>
          <w:p>
            <w:pPr>
              <w:pStyle w:val="35"/>
            </w:pPr>
            <w:r>
              <w:t>300</w:t>
            </w:r>
          </w:p>
        </w:tc>
        <w:tc>
          <w:tcPr>
            <w:tcW w:w="1458" w:type="pct"/>
            <w:vAlign w:val="center"/>
          </w:tcPr>
          <w:p>
            <w:pPr>
              <w:pStyle w:val="35"/>
            </w:pPr>
            <w: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t>17</w:t>
            </w:r>
          </w:p>
        </w:tc>
        <w:tc>
          <w:tcPr>
            <w:tcW w:w="1697" w:type="pct"/>
            <w:vAlign w:val="center"/>
          </w:tcPr>
          <w:p>
            <w:pPr>
              <w:pStyle w:val="35"/>
            </w:pPr>
            <w:r>
              <w:t>濮中化工</w:t>
            </w:r>
          </w:p>
        </w:tc>
        <w:tc>
          <w:tcPr>
            <w:tcW w:w="1374" w:type="pct"/>
            <w:vAlign w:val="center"/>
          </w:tcPr>
          <w:p>
            <w:pPr>
              <w:pStyle w:val="35"/>
            </w:pPr>
            <w:r>
              <w:t>845</w:t>
            </w:r>
          </w:p>
        </w:tc>
        <w:tc>
          <w:tcPr>
            <w:tcW w:w="1458" w:type="pct"/>
            <w:vAlign w:val="center"/>
          </w:tcPr>
          <w:p>
            <w:pPr>
              <w:pStyle w:val="35"/>
            </w:pPr>
            <w: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18</w:t>
            </w:r>
          </w:p>
        </w:tc>
        <w:tc>
          <w:tcPr>
            <w:tcW w:w="1697" w:type="pct"/>
            <w:vAlign w:val="center"/>
          </w:tcPr>
          <w:p>
            <w:pPr>
              <w:pStyle w:val="35"/>
            </w:pPr>
            <w:r>
              <w:t>龙丰纸业</w:t>
            </w:r>
          </w:p>
        </w:tc>
        <w:tc>
          <w:tcPr>
            <w:tcW w:w="1374" w:type="pct"/>
            <w:vAlign w:val="center"/>
          </w:tcPr>
          <w:p>
            <w:pPr>
              <w:pStyle w:val="35"/>
            </w:pPr>
            <w:r>
              <w:t>6154000</w:t>
            </w:r>
          </w:p>
        </w:tc>
        <w:tc>
          <w:tcPr>
            <w:tcW w:w="1458" w:type="pct"/>
            <w:vAlign w:val="center"/>
          </w:tcPr>
          <w:p>
            <w:pPr>
              <w:pStyle w:val="35"/>
            </w:pPr>
            <w:r>
              <w:t>553.86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19</w:t>
            </w:r>
          </w:p>
        </w:tc>
        <w:tc>
          <w:tcPr>
            <w:tcW w:w="1697" w:type="pct"/>
            <w:vAlign w:val="center"/>
          </w:tcPr>
          <w:p>
            <w:pPr>
              <w:pStyle w:val="35"/>
            </w:pPr>
            <w:r>
              <w:t>龙丰热电</w:t>
            </w:r>
          </w:p>
        </w:tc>
        <w:tc>
          <w:tcPr>
            <w:tcW w:w="1374" w:type="pct"/>
            <w:vAlign w:val="center"/>
          </w:tcPr>
          <w:p>
            <w:pPr>
              <w:pStyle w:val="35"/>
            </w:pPr>
            <w:r>
              <w:t>252000</w:t>
            </w:r>
          </w:p>
        </w:tc>
        <w:tc>
          <w:tcPr>
            <w:tcW w:w="1458" w:type="pct"/>
            <w:vAlign w:val="center"/>
          </w:tcPr>
          <w:p>
            <w:pPr>
              <w:pStyle w:val="35"/>
            </w:pPr>
            <w: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20</w:t>
            </w:r>
          </w:p>
        </w:tc>
        <w:tc>
          <w:tcPr>
            <w:tcW w:w="1697" w:type="pct"/>
            <w:vAlign w:val="center"/>
          </w:tcPr>
          <w:p>
            <w:pPr>
              <w:pStyle w:val="35"/>
            </w:pPr>
            <w:r>
              <w:t>中原乙烯</w:t>
            </w:r>
          </w:p>
        </w:tc>
        <w:tc>
          <w:tcPr>
            <w:tcW w:w="1374" w:type="pct"/>
            <w:vAlign w:val="center"/>
          </w:tcPr>
          <w:p>
            <w:pPr>
              <w:pStyle w:val="35"/>
            </w:pPr>
            <w:r>
              <w:t>1237600</w:t>
            </w:r>
          </w:p>
        </w:tc>
        <w:tc>
          <w:tcPr>
            <w:tcW w:w="1458" w:type="pct"/>
            <w:vAlign w:val="center"/>
          </w:tcPr>
          <w:p>
            <w:pPr>
              <w:pStyle w:val="35"/>
            </w:pPr>
            <w:r>
              <w:t>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21</w:t>
            </w:r>
          </w:p>
        </w:tc>
        <w:tc>
          <w:tcPr>
            <w:tcW w:w="1697" w:type="pct"/>
            <w:vAlign w:val="center"/>
          </w:tcPr>
          <w:p>
            <w:pPr>
              <w:pStyle w:val="35"/>
            </w:pPr>
            <w:r>
              <w:t>中原大化</w:t>
            </w:r>
          </w:p>
        </w:tc>
        <w:tc>
          <w:tcPr>
            <w:tcW w:w="1374" w:type="pct"/>
            <w:vAlign w:val="center"/>
          </w:tcPr>
          <w:p>
            <w:pPr>
              <w:pStyle w:val="35"/>
            </w:pPr>
            <w:r>
              <w:t>1840100</w:t>
            </w:r>
          </w:p>
        </w:tc>
        <w:tc>
          <w:tcPr>
            <w:tcW w:w="1458" w:type="pct"/>
            <w:vAlign w:val="center"/>
          </w:tcPr>
          <w:p>
            <w:pPr>
              <w:pStyle w:val="35"/>
            </w:pPr>
            <w:r>
              <w:t>257.6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22</w:t>
            </w:r>
          </w:p>
        </w:tc>
        <w:tc>
          <w:tcPr>
            <w:tcW w:w="1697" w:type="pct"/>
            <w:vAlign w:val="center"/>
          </w:tcPr>
          <w:p>
            <w:pPr>
              <w:pStyle w:val="35"/>
            </w:pPr>
            <w:r>
              <w:t>龙宇化工</w:t>
            </w:r>
          </w:p>
        </w:tc>
        <w:tc>
          <w:tcPr>
            <w:tcW w:w="1374" w:type="pct"/>
            <w:vAlign w:val="center"/>
          </w:tcPr>
          <w:p>
            <w:pPr>
              <w:pStyle w:val="35"/>
            </w:pPr>
            <w:r>
              <w:t>379200</w:t>
            </w:r>
          </w:p>
        </w:tc>
        <w:tc>
          <w:tcPr>
            <w:tcW w:w="1458" w:type="pct"/>
            <w:vAlign w:val="center"/>
          </w:tcPr>
          <w:p>
            <w:pPr>
              <w:pStyle w:val="35"/>
            </w:pPr>
            <w:r>
              <w:t>84.09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23</w:t>
            </w:r>
          </w:p>
        </w:tc>
        <w:tc>
          <w:tcPr>
            <w:tcW w:w="1697" w:type="pct"/>
            <w:vAlign w:val="center"/>
          </w:tcPr>
          <w:p>
            <w:pPr>
              <w:pStyle w:val="35"/>
            </w:pPr>
            <w:r>
              <w:t>国热热力公司</w:t>
            </w:r>
          </w:p>
        </w:tc>
        <w:tc>
          <w:tcPr>
            <w:tcW w:w="1374" w:type="pct"/>
            <w:vAlign w:val="center"/>
          </w:tcPr>
          <w:p>
            <w:pPr>
              <w:pStyle w:val="35"/>
            </w:pPr>
            <w:r>
              <w:t>633000</w:t>
            </w:r>
          </w:p>
        </w:tc>
        <w:tc>
          <w:tcPr>
            <w:tcW w:w="1458" w:type="pct"/>
            <w:vAlign w:val="center"/>
          </w:tcPr>
          <w:p>
            <w:pPr>
              <w:pStyle w:val="35"/>
            </w:pPr>
            <w:r>
              <w:t>31.3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24</w:t>
            </w:r>
          </w:p>
        </w:tc>
        <w:tc>
          <w:tcPr>
            <w:tcW w:w="1697" w:type="pct"/>
            <w:vAlign w:val="center"/>
          </w:tcPr>
          <w:p>
            <w:pPr>
              <w:pStyle w:val="35"/>
            </w:pPr>
            <w:r>
              <w:t>濮耐材料</w:t>
            </w:r>
          </w:p>
        </w:tc>
        <w:tc>
          <w:tcPr>
            <w:tcW w:w="1374" w:type="pct"/>
            <w:vAlign w:val="center"/>
          </w:tcPr>
          <w:p>
            <w:pPr>
              <w:pStyle w:val="35"/>
            </w:pPr>
            <w:r>
              <w:t>28530</w:t>
            </w:r>
          </w:p>
        </w:tc>
        <w:tc>
          <w:tcPr>
            <w:tcW w:w="1458" w:type="pct"/>
            <w:vAlign w:val="center"/>
          </w:tcPr>
          <w:p>
            <w:pPr>
              <w:pStyle w:val="35"/>
            </w:pPr>
            <w: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25</w:t>
            </w:r>
          </w:p>
        </w:tc>
        <w:tc>
          <w:tcPr>
            <w:tcW w:w="1697" w:type="pct"/>
            <w:vAlign w:val="center"/>
          </w:tcPr>
          <w:p>
            <w:pPr>
              <w:pStyle w:val="35"/>
            </w:pPr>
            <w:r>
              <w:t>汇元制药</w:t>
            </w:r>
          </w:p>
        </w:tc>
        <w:tc>
          <w:tcPr>
            <w:tcW w:w="1374" w:type="pct"/>
            <w:vAlign w:val="center"/>
          </w:tcPr>
          <w:p>
            <w:pPr>
              <w:pStyle w:val="35"/>
            </w:pPr>
            <w:r>
              <w:t>13680</w:t>
            </w:r>
          </w:p>
        </w:tc>
        <w:tc>
          <w:tcPr>
            <w:tcW w:w="1458" w:type="pct"/>
            <w:vAlign w:val="center"/>
          </w:tcPr>
          <w:p>
            <w:pPr>
              <w:pStyle w:val="35"/>
            </w:pPr>
            <w: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26</w:t>
            </w:r>
          </w:p>
        </w:tc>
        <w:tc>
          <w:tcPr>
            <w:tcW w:w="1697" w:type="pct"/>
            <w:vAlign w:val="center"/>
          </w:tcPr>
          <w:p>
            <w:pPr>
              <w:pStyle w:val="35"/>
            </w:pPr>
            <w:r>
              <w:t>华峰制药</w:t>
            </w:r>
          </w:p>
        </w:tc>
        <w:tc>
          <w:tcPr>
            <w:tcW w:w="1374" w:type="pct"/>
            <w:vAlign w:val="center"/>
          </w:tcPr>
          <w:p>
            <w:pPr>
              <w:pStyle w:val="35"/>
            </w:pPr>
            <w:r>
              <w:t>900</w:t>
            </w:r>
          </w:p>
        </w:tc>
        <w:tc>
          <w:tcPr>
            <w:tcW w:w="1458" w:type="pct"/>
            <w:vAlign w:val="center"/>
          </w:tcPr>
          <w:p>
            <w:pPr>
              <w:pStyle w:val="35"/>
            </w:pPr>
            <w: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27</w:t>
            </w:r>
          </w:p>
        </w:tc>
        <w:tc>
          <w:tcPr>
            <w:tcW w:w="1697" w:type="pct"/>
            <w:vAlign w:val="center"/>
          </w:tcPr>
          <w:p>
            <w:pPr>
              <w:pStyle w:val="35"/>
            </w:pPr>
            <w:r>
              <w:t>仲亿药业</w:t>
            </w:r>
          </w:p>
        </w:tc>
        <w:tc>
          <w:tcPr>
            <w:tcW w:w="1374" w:type="pct"/>
            <w:vAlign w:val="center"/>
          </w:tcPr>
          <w:p>
            <w:pPr>
              <w:pStyle w:val="35"/>
            </w:pPr>
            <w:r>
              <w:t>4030</w:t>
            </w:r>
          </w:p>
        </w:tc>
        <w:tc>
          <w:tcPr>
            <w:tcW w:w="1458" w:type="pct"/>
            <w:vAlign w:val="center"/>
          </w:tcPr>
          <w:p>
            <w:pPr>
              <w:pStyle w:val="35"/>
            </w:pPr>
            <w: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28</w:t>
            </w:r>
          </w:p>
        </w:tc>
        <w:tc>
          <w:tcPr>
            <w:tcW w:w="1697" w:type="pct"/>
            <w:vAlign w:val="center"/>
          </w:tcPr>
          <w:p>
            <w:pPr>
              <w:pStyle w:val="35"/>
            </w:pPr>
            <w:r>
              <w:t>市热电厂</w:t>
            </w:r>
          </w:p>
        </w:tc>
        <w:tc>
          <w:tcPr>
            <w:tcW w:w="1374" w:type="pct"/>
            <w:vAlign w:val="center"/>
          </w:tcPr>
          <w:p>
            <w:pPr>
              <w:pStyle w:val="35"/>
            </w:pPr>
            <w:r>
              <w:t>248800</w:t>
            </w:r>
          </w:p>
        </w:tc>
        <w:tc>
          <w:tcPr>
            <w:tcW w:w="1458" w:type="pct"/>
            <w:vAlign w:val="center"/>
          </w:tcPr>
          <w:p>
            <w:pPr>
              <w:pStyle w:val="35"/>
            </w:pPr>
            <w:r>
              <w:t>12.49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29</w:t>
            </w:r>
          </w:p>
        </w:tc>
        <w:tc>
          <w:tcPr>
            <w:tcW w:w="1697" w:type="pct"/>
            <w:vAlign w:val="center"/>
          </w:tcPr>
          <w:p>
            <w:pPr>
              <w:pStyle w:val="35"/>
            </w:pPr>
            <w:r>
              <w:t>濮阳市第一污水厂</w:t>
            </w:r>
          </w:p>
        </w:tc>
        <w:tc>
          <w:tcPr>
            <w:tcW w:w="1374" w:type="pct"/>
            <w:vAlign w:val="center"/>
          </w:tcPr>
          <w:p>
            <w:pPr>
              <w:pStyle w:val="35"/>
            </w:pPr>
            <w:r>
              <w:t>23080000</w:t>
            </w:r>
          </w:p>
        </w:tc>
        <w:tc>
          <w:tcPr>
            <w:tcW w:w="1458" w:type="pct"/>
            <w:vAlign w:val="center"/>
          </w:tcPr>
          <w:p>
            <w:pPr>
              <w:pStyle w:val="35"/>
            </w:pPr>
            <w:r>
              <w:t>1072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469" w:type="pct"/>
            <w:vAlign w:val="center"/>
          </w:tcPr>
          <w:p>
            <w:pPr>
              <w:pStyle w:val="35"/>
            </w:pPr>
            <w:r>
              <w:rPr>
                <w:rFonts w:hint="eastAsia"/>
              </w:rPr>
              <w:t>30</w:t>
            </w:r>
          </w:p>
        </w:tc>
        <w:tc>
          <w:tcPr>
            <w:tcW w:w="1697" w:type="pct"/>
            <w:vAlign w:val="center"/>
          </w:tcPr>
          <w:p>
            <w:pPr>
              <w:pStyle w:val="35"/>
            </w:pPr>
            <w:r>
              <w:t>濮阳市第二污水厂</w:t>
            </w:r>
          </w:p>
        </w:tc>
        <w:tc>
          <w:tcPr>
            <w:tcW w:w="1374" w:type="pct"/>
            <w:vAlign w:val="center"/>
          </w:tcPr>
          <w:p>
            <w:pPr>
              <w:pStyle w:val="35"/>
            </w:pPr>
            <w:r>
              <w:rPr>
                <w:rFonts w:hint="eastAsia"/>
              </w:rPr>
              <w:t>16650000</w:t>
            </w:r>
          </w:p>
        </w:tc>
        <w:tc>
          <w:tcPr>
            <w:tcW w:w="1458" w:type="pct"/>
            <w:vAlign w:val="center"/>
          </w:tcPr>
          <w:p>
            <w:pPr>
              <w:pStyle w:val="35"/>
            </w:pPr>
            <w:r>
              <w:t>698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166" w:type="pct"/>
            <w:gridSpan w:val="2"/>
            <w:vAlign w:val="center"/>
          </w:tcPr>
          <w:p>
            <w:pPr>
              <w:pStyle w:val="35"/>
            </w:pPr>
            <w:r>
              <w:t>合计</w:t>
            </w:r>
          </w:p>
        </w:tc>
        <w:tc>
          <w:tcPr>
            <w:tcW w:w="1374" w:type="pct"/>
            <w:vAlign w:val="center"/>
          </w:tcPr>
          <w:p>
            <w:pPr>
              <w:pStyle w:val="35"/>
            </w:pPr>
            <w:r>
              <w:fldChar w:fldCharType="begin"/>
            </w:r>
            <w:r>
              <w:instrText xml:space="preserve"> =SUM(ABOVE) </w:instrText>
            </w:r>
            <w:r>
              <w:fldChar w:fldCharType="separate"/>
            </w:r>
            <w:r>
              <w:t>51477811</w:t>
            </w:r>
            <w:r>
              <w:fldChar w:fldCharType="end"/>
            </w:r>
          </w:p>
        </w:tc>
        <w:tc>
          <w:tcPr>
            <w:tcW w:w="1458" w:type="pct"/>
            <w:vAlign w:val="center"/>
          </w:tcPr>
          <w:p>
            <w:pPr>
              <w:pStyle w:val="35"/>
            </w:pPr>
            <w:r>
              <w:fldChar w:fldCharType="begin"/>
            </w:r>
            <w:r>
              <w:instrText xml:space="preserve"> =SUM(ABOVE) </w:instrText>
            </w:r>
            <w:r>
              <w:fldChar w:fldCharType="separate"/>
            </w:r>
            <w:r>
              <w:t>2890.218</w:t>
            </w:r>
            <w:r>
              <w:fldChar w:fldCharType="end"/>
            </w:r>
          </w:p>
        </w:tc>
      </w:tr>
    </w:tbl>
    <w:p>
      <w:pPr>
        <w:adjustRightInd w:val="0"/>
        <w:snapToGrid w:val="0"/>
        <w:spacing w:line="520" w:lineRule="exact"/>
        <w:ind w:firstLine="560" w:firstLineChars="200"/>
        <w:rPr>
          <w:sz w:val="28"/>
          <w:szCs w:val="22"/>
        </w:rPr>
      </w:pPr>
    </w:p>
    <w:p>
      <w:pPr>
        <w:adjustRightInd w:val="0"/>
        <w:snapToGrid w:val="0"/>
        <w:spacing w:line="520" w:lineRule="exact"/>
        <w:ind w:firstLine="560" w:firstLineChars="200"/>
        <w:rPr>
          <w:sz w:val="28"/>
          <w:szCs w:val="22"/>
        </w:rPr>
      </w:pPr>
    </w:p>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3"/>
        <w:spacing w:before="340" w:after="0" w:line="578" w:lineRule="atLeast"/>
        <w:rPr>
          <w:sz w:val="44"/>
          <w:szCs w:val="44"/>
        </w:rPr>
      </w:pPr>
      <w:r>
        <w:rPr>
          <w:sz w:val="44"/>
          <w:szCs w:val="44"/>
        </w:rPr>
        <w:t>第5章  环境质量影响预测与分析</w:t>
      </w:r>
    </w:p>
    <w:p>
      <w:pPr>
        <w:pStyle w:val="4"/>
        <w:spacing w:before="0" w:after="0" w:line="520" w:lineRule="exact"/>
        <w:rPr>
          <w:rFonts w:ascii="Times New Roman" w:hAnsi="Times New Roman"/>
          <w:bCs/>
          <w:szCs w:val="28"/>
        </w:rPr>
      </w:pPr>
      <w:r>
        <w:rPr>
          <w:rFonts w:ascii="Times New Roman" w:hAnsi="Times New Roman"/>
          <w:bCs/>
          <w:szCs w:val="28"/>
        </w:rPr>
        <w:t>5.1  大气环境影响预测与评价</w:t>
      </w:r>
    </w:p>
    <w:p>
      <w:pPr>
        <w:pStyle w:val="5"/>
        <w:spacing w:before="0" w:after="0" w:line="520" w:lineRule="exact"/>
        <w:jc w:val="left"/>
        <w:rPr>
          <w:rFonts w:eastAsia="楷体_GB2312"/>
          <w:bCs/>
          <w:kern w:val="0"/>
          <w:sz w:val="28"/>
          <w:szCs w:val="32"/>
        </w:rPr>
      </w:pPr>
      <w:r>
        <w:rPr>
          <w:rFonts w:eastAsia="楷体_GB2312"/>
          <w:bCs/>
          <w:kern w:val="0"/>
          <w:sz w:val="28"/>
          <w:szCs w:val="32"/>
        </w:rPr>
        <w:t>5.1.1  评价因子和评价标准筛选</w:t>
      </w:r>
    </w:p>
    <w:p>
      <w:pPr>
        <w:pStyle w:val="27"/>
        <w:ind w:firstLine="560"/>
      </w:pPr>
      <w:r>
        <w:t>目前乙二醇、丙二醇均无相关环境质量标准，因此本次评价选取NMHC作为大气环境影响评价因子，各废气排放源NMHC的源强以乙二醇、丙二醇的排放源强之和计。评价因子脑及评价标准详见下表。</w:t>
      </w:r>
    </w:p>
    <w:p>
      <w:pPr>
        <w:pStyle w:val="32"/>
        <w:ind w:right="240"/>
      </w:pPr>
      <w:r>
        <w:t>表5.1-1        大气环境评价因子和评价标准一览表        单位：μg/m</w:t>
      </w:r>
      <w:r>
        <w:rPr>
          <w:vertAlign w:val="superscript"/>
        </w:rPr>
        <w:t>3</w:t>
      </w:r>
      <w:r>
        <w:t xml:space="preserve"> </w:t>
      </w:r>
    </w:p>
    <w:tbl>
      <w:tblPr>
        <w:tblStyle w:val="21"/>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1148"/>
        <w:gridCol w:w="1194"/>
        <w:gridCol w:w="1227"/>
        <w:gridCol w:w="441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48" w:type="pct"/>
            <w:vMerge w:val="restart"/>
            <w:vAlign w:val="center"/>
          </w:tcPr>
          <w:p>
            <w:pPr>
              <w:pStyle w:val="35"/>
              <w:rPr>
                <w:b/>
                <w:bCs/>
              </w:rPr>
            </w:pPr>
            <w:r>
              <w:rPr>
                <w:b/>
                <w:bCs/>
              </w:rPr>
              <w:t>评价因子</w:t>
            </w:r>
          </w:p>
        </w:tc>
        <w:tc>
          <w:tcPr>
            <w:tcW w:w="1946" w:type="pct"/>
            <w:gridSpan w:val="3"/>
            <w:vAlign w:val="center"/>
          </w:tcPr>
          <w:p>
            <w:pPr>
              <w:pStyle w:val="35"/>
              <w:rPr>
                <w:b/>
                <w:bCs/>
              </w:rPr>
            </w:pPr>
            <w:r>
              <w:rPr>
                <w:b/>
                <w:bCs/>
              </w:rPr>
              <w:t>标准限值</w:t>
            </w:r>
          </w:p>
        </w:tc>
        <w:tc>
          <w:tcPr>
            <w:tcW w:w="2405" w:type="pct"/>
            <w:vMerge w:val="restart"/>
            <w:vAlign w:val="center"/>
          </w:tcPr>
          <w:p>
            <w:pPr>
              <w:pStyle w:val="35"/>
              <w:rPr>
                <w:b/>
                <w:bCs/>
              </w:rPr>
            </w:pPr>
            <w:r>
              <w:rPr>
                <w:b/>
                <w:bCs/>
              </w:rPr>
              <w:t>标准来源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48" w:type="pct"/>
            <w:vMerge w:val="continue"/>
            <w:vAlign w:val="center"/>
          </w:tcPr>
          <w:p>
            <w:pPr>
              <w:pStyle w:val="35"/>
              <w:rPr>
                <w:b/>
                <w:bCs/>
              </w:rPr>
            </w:pPr>
          </w:p>
        </w:tc>
        <w:tc>
          <w:tcPr>
            <w:tcW w:w="626" w:type="pct"/>
            <w:vAlign w:val="center"/>
          </w:tcPr>
          <w:p>
            <w:pPr>
              <w:pStyle w:val="35"/>
              <w:rPr>
                <w:b/>
                <w:bCs/>
              </w:rPr>
            </w:pPr>
            <w:r>
              <w:rPr>
                <w:b/>
                <w:bCs/>
              </w:rPr>
              <w:t>小时平均</w:t>
            </w:r>
          </w:p>
        </w:tc>
        <w:tc>
          <w:tcPr>
            <w:tcW w:w="651" w:type="pct"/>
            <w:vAlign w:val="center"/>
          </w:tcPr>
          <w:p>
            <w:pPr>
              <w:pStyle w:val="35"/>
              <w:rPr>
                <w:b/>
                <w:bCs/>
              </w:rPr>
            </w:pPr>
            <w:r>
              <w:rPr>
                <w:b/>
                <w:bCs/>
              </w:rPr>
              <w:t>日平均</w:t>
            </w:r>
          </w:p>
        </w:tc>
        <w:tc>
          <w:tcPr>
            <w:tcW w:w="669" w:type="pct"/>
            <w:vAlign w:val="center"/>
          </w:tcPr>
          <w:p>
            <w:pPr>
              <w:pStyle w:val="35"/>
              <w:rPr>
                <w:b/>
                <w:bCs/>
              </w:rPr>
            </w:pPr>
            <w:r>
              <w:rPr>
                <w:b/>
                <w:bCs/>
              </w:rPr>
              <w:t>年均值</w:t>
            </w:r>
          </w:p>
        </w:tc>
        <w:tc>
          <w:tcPr>
            <w:tcW w:w="2405" w:type="pct"/>
            <w:vMerge w:val="continue"/>
            <w:vAlign w:val="center"/>
          </w:tcPr>
          <w:p>
            <w:pPr>
              <w:pStyle w:val="35"/>
              <w:rPr>
                <w:b/>
                <w:bCs/>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48" w:type="pct"/>
            <w:vAlign w:val="center"/>
          </w:tcPr>
          <w:p>
            <w:pPr>
              <w:pStyle w:val="35"/>
            </w:pPr>
            <w:r>
              <w:t>NMHC</w:t>
            </w:r>
          </w:p>
        </w:tc>
        <w:tc>
          <w:tcPr>
            <w:tcW w:w="626" w:type="pct"/>
            <w:vAlign w:val="center"/>
          </w:tcPr>
          <w:p>
            <w:pPr>
              <w:pStyle w:val="35"/>
            </w:pPr>
            <w:r>
              <w:t>2000</w:t>
            </w:r>
          </w:p>
        </w:tc>
        <w:tc>
          <w:tcPr>
            <w:tcW w:w="651" w:type="pct"/>
            <w:vAlign w:val="center"/>
          </w:tcPr>
          <w:p>
            <w:pPr>
              <w:pStyle w:val="35"/>
            </w:pPr>
            <w:r>
              <w:t>/</w:t>
            </w:r>
          </w:p>
        </w:tc>
        <w:tc>
          <w:tcPr>
            <w:tcW w:w="669" w:type="pct"/>
            <w:vAlign w:val="center"/>
          </w:tcPr>
          <w:p>
            <w:pPr>
              <w:pStyle w:val="35"/>
            </w:pPr>
            <w:r>
              <w:t>/</w:t>
            </w:r>
          </w:p>
        </w:tc>
        <w:tc>
          <w:tcPr>
            <w:tcW w:w="2405" w:type="pct"/>
            <w:vAlign w:val="center"/>
          </w:tcPr>
          <w:p>
            <w:pPr>
              <w:pStyle w:val="35"/>
            </w:pPr>
            <w:r>
              <w:t>《大气污染物综合排放标准详解》推荐值</w:t>
            </w:r>
          </w:p>
        </w:tc>
      </w:tr>
    </w:tbl>
    <w:p>
      <w:pPr>
        <w:pStyle w:val="27"/>
        <w:ind w:firstLine="560"/>
        <w:rPr>
          <w:szCs w:val="28"/>
        </w:rPr>
      </w:pPr>
      <w:r>
        <w:rPr>
          <w:szCs w:val="28"/>
        </w:rPr>
        <w:t>根据《环境影响评价技术导则 大气环境》（HJ 2.2-2018），建设项目排放的SO</w:t>
      </w:r>
      <w:r>
        <w:rPr>
          <w:szCs w:val="28"/>
          <w:vertAlign w:val="subscript"/>
        </w:rPr>
        <w:t>2</w:t>
      </w:r>
      <w:r>
        <w:rPr>
          <w:szCs w:val="28"/>
        </w:rPr>
        <w:t>和NO</w:t>
      </w:r>
      <w:r>
        <w:rPr>
          <w:szCs w:val="28"/>
          <w:vertAlign w:val="subscript"/>
        </w:rPr>
        <w:t>X</w:t>
      </w:r>
      <w:r>
        <w:rPr>
          <w:szCs w:val="28"/>
        </w:rPr>
        <w:t>年排放量大于或等于500t/a时，评价因子应增加二次PM</w:t>
      </w:r>
      <w:r>
        <w:rPr>
          <w:szCs w:val="28"/>
          <w:vertAlign w:val="subscript"/>
        </w:rPr>
        <w:t>2.5</w:t>
      </w:r>
      <w:r>
        <w:rPr>
          <w:szCs w:val="28"/>
        </w:rPr>
        <w:t>。本项目废气污染物不涉及SO</w:t>
      </w:r>
      <w:r>
        <w:rPr>
          <w:szCs w:val="28"/>
          <w:vertAlign w:val="subscript"/>
        </w:rPr>
        <w:t>2</w:t>
      </w:r>
      <w:r>
        <w:rPr>
          <w:szCs w:val="28"/>
        </w:rPr>
        <w:t>和NO</w:t>
      </w:r>
      <w:r>
        <w:rPr>
          <w:szCs w:val="28"/>
          <w:vertAlign w:val="subscript"/>
        </w:rPr>
        <w:t>X</w:t>
      </w:r>
      <w:r>
        <w:rPr>
          <w:szCs w:val="28"/>
        </w:rPr>
        <w:t>，故本次大气环境影响评价因子不包括二次PM</w:t>
      </w:r>
      <w:r>
        <w:rPr>
          <w:szCs w:val="28"/>
          <w:vertAlign w:val="subscript"/>
        </w:rPr>
        <w:t>2.5</w:t>
      </w:r>
      <w:r>
        <w:rPr>
          <w:szCs w:val="28"/>
        </w:rPr>
        <w:t>。</w:t>
      </w:r>
    </w:p>
    <w:p>
      <w:pPr>
        <w:pStyle w:val="31"/>
      </w:pPr>
      <w:r>
        <w:rPr>
          <w:bCs/>
          <w:kern w:val="0"/>
          <w:szCs w:val="32"/>
        </w:rPr>
        <w:t xml:space="preserve">5.1.2  </w:t>
      </w:r>
      <w:r>
        <w:t>污染源计算清单</w:t>
      </w:r>
    </w:p>
    <w:p>
      <w:pPr>
        <w:pStyle w:val="27"/>
        <w:ind w:firstLine="560"/>
      </w:pPr>
      <w:r>
        <w:t>根据工程分析有关内容，本项目主要污染源详细参数见下表。</w:t>
      </w:r>
    </w:p>
    <w:p>
      <w:pPr>
        <w:pStyle w:val="32"/>
        <w:tabs>
          <w:tab w:val="clear" w:pos="900"/>
        </w:tabs>
        <w:ind w:right="240"/>
      </w:pPr>
      <w:bookmarkStart w:id="125" w:name="_Ref289932381"/>
      <w:bookmarkStart w:id="126" w:name="_Ref289932387"/>
      <w:r>
        <w:t>表5.1-2                   点源参数调查清单</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30"/>
        <w:gridCol w:w="1765"/>
        <w:gridCol w:w="925"/>
        <w:gridCol w:w="847"/>
        <w:gridCol w:w="858"/>
        <w:gridCol w:w="1103"/>
        <w:gridCol w:w="981"/>
        <w:gridCol w:w="757"/>
        <w:gridCol w:w="144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3" w:type="pct"/>
            <w:vMerge w:val="restart"/>
            <w:vAlign w:val="center"/>
          </w:tcPr>
          <w:p>
            <w:pPr>
              <w:tabs>
                <w:tab w:val="left" w:pos="0"/>
                <w:tab w:val="left" w:pos="540"/>
              </w:tabs>
              <w:spacing w:line="300" w:lineRule="exact"/>
              <w:jc w:val="center"/>
              <w:rPr>
                <w:b/>
                <w:bCs/>
                <w:sz w:val="21"/>
                <w:szCs w:val="21"/>
              </w:rPr>
            </w:pPr>
            <w:r>
              <w:rPr>
                <w:b/>
                <w:bCs/>
                <w:sz w:val="21"/>
                <w:szCs w:val="21"/>
              </w:rPr>
              <w:t>序号</w:t>
            </w:r>
          </w:p>
        </w:tc>
        <w:tc>
          <w:tcPr>
            <w:tcW w:w="979" w:type="pct"/>
            <w:vMerge w:val="restart"/>
            <w:vAlign w:val="center"/>
          </w:tcPr>
          <w:p>
            <w:pPr>
              <w:tabs>
                <w:tab w:val="left" w:pos="0"/>
                <w:tab w:val="left" w:pos="540"/>
              </w:tabs>
              <w:spacing w:line="300" w:lineRule="exact"/>
              <w:jc w:val="center"/>
              <w:rPr>
                <w:b/>
                <w:bCs/>
                <w:sz w:val="21"/>
                <w:szCs w:val="21"/>
              </w:rPr>
            </w:pPr>
            <w:r>
              <w:rPr>
                <w:b/>
                <w:bCs/>
                <w:sz w:val="21"/>
                <w:szCs w:val="21"/>
              </w:rPr>
              <w:t>名称</w:t>
            </w:r>
          </w:p>
        </w:tc>
        <w:tc>
          <w:tcPr>
            <w:tcW w:w="513" w:type="pct"/>
            <w:vMerge w:val="restart"/>
            <w:vAlign w:val="center"/>
          </w:tcPr>
          <w:p>
            <w:pPr>
              <w:tabs>
                <w:tab w:val="left" w:pos="0"/>
                <w:tab w:val="left" w:pos="540"/>
              </w:tabs>
              <w:spacing w:line="300" w:lineRule="exact"/>
              <w:jc w:val="center"/>
              <w:rPr>
                <w:b/>
                <w:bCs/>
                <w:sz w:val="21"/>
                <w:szCs w:val="21"/>
              </w:rPr>
            </w:pPr>
            <w:r>
              <w:rPr>
                <w:b/>
                <w:bCs/>
                <w:sz w:val="21"/>
                <w:szCs w:val="21"/>
              </w:rPr>
              <w:t>排气</w:t>
            </w:r>
          </w:p>
          <w:p>
            <w:pPr>
              <w:tabs>
                <w:tab w:val="left" w:pos="0"/>
                <w:tab w:val="left" w:pos="540"/>
              </w:tabs>
              <w:spacing w:line="300" w:lineRule="exact"/>
              <w:jc w:val="center"/>
              <w:rPr>
                <w:b/>
                <w:bCs/>
                <w:sz w:val="21"/>
                <w:szCs w:val="21"/>
              </w:rPr>
            </w:pPr>
            <w:r>
              <w:rPr>
                <w:b/>
                <w:bCs/>
                <w:sz w:val="21"/>
                <w:szCs w:val="21"/>
              </w:rPr>
              <w:t>筒高度</w:t>
            </w:r>
          </w:p>
        </w:tc>
        <w:tc>
          <w:tcPr>
            <w:tcW w:w="470" w:type="pct"/>
            <w:vMerge w:val="restart"/>
            <w:vAlign w:val="center"/>
          </w:tcPr>
          <w:p>
            <w:pPr>
              <w:tabs>
                <w:tab w:val="left" w:pos="0"/>
                <w:tab w:val="left" w:pos="540"/>
              </w:tabs>
              <w:spacing w:line="300" w:lineRule="exact"/>
              <w:jc w:val="center"/>
              <w:rPr>
                <w:b/>
                <w:bCs/>
                <w:sz w:val="21"/>
                <w:szCs w:val="21"/>
              </w:rPr>
            </w:pPr>
            <w:r>
              <w:rPr>
                <w:b/>
                <w:bCs/>
                <w:sz w:val="21"/>
                <w:szCs w:val="21"/>
              </w:rPr>
              <w:t>排气</w:t>
            </w:r>
          </w:p>
          <w:p>
            <w:pPr>
              <w:tabs>
                <w:tab w:val="left" w:pos="0"/>
                <w:tab w:val="left" w:pos="540"/>
              </w:tabs>
              <w:spacing w:line="300" w:lineRule="exact"/>
              <w:jc w:val="center"/>
              <w:rPr>
                <w:b/>
                <w:bCs/>
                <w:sz w:val="21"/>
                <w:szCs w:val="21"/>
              </w:rPr>
            </w:pPr>
            <w:r>
              <w:rPr>
                <w:b/>
                <w:bCs/>
                <w:sz w:val="21"/>
                <w:szCs w:val="21"/>
              </w:rPr>
              <w:t>筒内径</w:t>
            </w:r>
          </w:p>
        </w:tc>
        <w:tc>
          <w:tcPr>
            <w:tcW w:w="476" w:type="pct"/>
            <w:vMerge w:val="restart"/>
            <w:vAlign w:val="center"/>
          </w:tcPr>
          <w:p>
            <w:pPr>
              <w:tabs>
                <w:tab w:val="left" w:pos="0"/>
                <w:tab w:val="left" w:pos="540"/>
              </w:tabs>
              <w:spacing w:line="300" w:lineRule="exact"/>
              <w:jc w:val="center"/>
              <w:rPr>
                <w:b/>
                <w:bCs/>
                <w:sz w:val="21"/>
                <w:szCs w:val="21"/>
              </w:rPr>
            </w:pPr>
            <w:r>
              <w:rPr>
                <w:b/>
                <w:bCs/>
                <w:sz w:val="21"/>
                <w:szCs w:val="21"/>
              </w:rPr>
              <w:t>废气量</w:t>
            </w:r>
          </w:p>
        </w:tc>
        <w:tc>
          <w:tcPr>
            <w:tcW w:w="612" w:type="pct"/>
            <w:vMerge w:val="restart"/>
            <w:vAlign w:val="center"/>
          </w:tcPr>
          <w:p>
            <w:pPr>
              <w:tabs>
                <w:tab w:val="left" w:pos="0"/>
                <w:tab w:val="left" w:pos="540"/>
              </w:tabs>
              <w:spacing w:line="300" w:lineRule="exact"/>
              <w:jc w:val="center"/>
              <w:rPr>
                <w:b/>
                <w:bCs/>
                <w:sz w:val="21"/>
                <w:szCs w:val="21"/>
              </w:rPr>
            </w:pPr>
            <w:r>
              <w:rPr>
                <w:b/>
                <w:bCs/>
                <w:sz w:val="21"/>
                <w:szCs w:val="21"/>
              </w:rPr>
              <w:t>烟气出</w:t>
            </w:r>
          </w:p>
          <w:p>
            <w:pPr>
              <w:tabs>
                <w:tab w:val="left" w:pos="0"/>
                <w:tab w:val="left" w:pos="540"/>
              </w:tabs>
              <w:spacing w:line="300" w:lineRule="exact"/>
              <w:jc w:val="center"/>
              <w:rPr>
                <w:b/>
                <w:bCs/>
                <w:sz w:val="21"/>
                <w:szCs w:val="21"/>
              </w:rPr>
            </w:pPr>
            <w:r>
              <w:rPr>
                <w:b/>
                <w:bCs/>
                <w:sz w:val="21"/>
                <w:szCs w:val="21"/>
              </w:rPr>
              <w:t>口温度</w:t>
            </w:r>
          </w:p>
        </w:tc>
        <w:tc>
          <w:tcPr>
            <w:tcW w:w="544" w:type="pct"/>
            <w:vMerge w:val="restart"/>
            <w:vAlign w:val="center"/>
          </w:tcPr>
          <w:p>
            <w:pPr>
              <w:tabs>
                <w:tab w:val="left" w:pos="0"/>
                <w:tab w:val="left" w:pos="540"/>
              </w:tabs>
              <w:spacing w:line="300" w:lineRule="exact"/>
              <w:jc w:val="center"/>
              <w:rPr>
                <w:b/>
                <w:bCs/>
                <w:sz w:val="21"/>
                <w:szCs w:val="21"/>
              </w:rPr>
            </w:pPr>
            <w:r>
              <w:rPr>
                <w:b/>
                <w:bCs/>
                <w:sz w:val="21"/>
                <w:szCs w:val="21"/>
              </w:rPr>
              <w:t>年排放</w:t>
            </w:r>
          </w:p>
          <w:p>
            <w:pPr>
              <w:tabs>
                <w:tab w:val="left" w:pos="0"/>
                <w:tab w:val="left" w:pos="540"/>
              </w:tabs>
              <w:spacing w:line="300" w:lineRule="exact"/>
              <w:jc w:val="center"/>
              <w:rPr>
                <w:b/>
                <w:bCs/>
                <w:sz w:val="21"/>
                <w:szCs w:val="21"/>
              </w:rPr>
            </w:pPr>
            <w:r>
              <w:rPr>
                <w:b/>
                <w:bCs/>
                <w:sz w:val="21"/>
                <w:szCs w:val="21"/>
              </w:rPr>
              <w:t>小时数</w:t>
            </w:r>
          </w:p>
        </w:tc>
        <w:tc>
          <w:tcPr>
            <w:tcW w:w="420" w:type="pct"/>
            <w:vMerge w:val="restart"/>
            <w:vAlign w:val="center"/>
          </w:tcPr>
          <w:p>
            <w:pPr>
              <w:tabs>
                <w:tab w:val="left" w:pos="0"/>
                <w:tab w:val="left" w:pos="540"/>
              </w:tabs>
              <w:spacing w:line="300" w:lineRule="exact"/>
              <w:jc w:val="center"/>
              <w:rPr>
                <w:b/>
                <w:bCs/>
                <w:sz w:val="21"/>
                <w:szCs w:val="21"/>
              </w:rPr>
            </w:pPr>
            <w:r>
              <w:rPr>
                <w:b/>
                <w:bCs/>
                <w:sz w:val="21"/>
                <w:szCs w:val="21"/>
              </w:rPr>
              <w:t>排放</w:t>
            </w:r>
          </w:p>
          <w:p>
            <w:pPr>
              <w:tabs>
                <w:tab w:val="left" w:pos="0"/>
                <w:tab w:val="left" w:pos="540"/>
              </w:tabs>
              <w:spacing w:line="300" w:lineRule="exact"/>
              <w:jc w:val="center"/>
              <w:rPr>
                <w:b/>
                <w:bCs/>
                <w:sz w:val="21"/>
                <w:szCs w:val="21"/>
              </w:rPr>
            </w:pPr>
            <w:r>
              <w:rPr>
                <w:b/>
                <w:bCs/>
                <w:sz w:val="21"/>
                <w:szCs w:val="21"/>
              </w:rPr>
              <w:t>工况</w:t>
            </w:r>
          </w:p>
        </w:tc>
        <w:tc>
          <w:tcPr>
            <w:tcW w:w="799" w:type="pct"/>
            <w:vAlign w:val="center"/>
          </w:tcPr>
          <w:p>
            <w:pPr>
              <w:tabs>
                <w:tab w:val="left" w:pos="0"/>
                <w:tab w:val="left" w:pos="540"/>
              </w:tabs>
              <w:spacing w:line="300" w:lineRule="exact"/>
              <w:jc w:val="center"/>
              <w:rPr>
                <w:b/>
                <w:bCs/>
                <w:sz w:val="21"/>
                <w:szCs w:val="21"/>
              </w:rPr>
            </w:pPr>
            <w:r>
              <w:rPr>
                <w:b/>
                <w:bCs/>
                <w:sz w:val="21"/>
                <w:szCs w:val="21"/>
              </w:rPr>
              <w:t>评价因子源强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3" w:type="pct"/>
            <w:vMerge w:val="continue"/>
            <w:vAlign w:val="center"/>
          </w:tcPr>
          <w:p>
            <w:pPr>
              <w:tabs>
                <w:tab w:val="left" w:pos="0"/>
                <w:tab w:val="left" w:pos="540"/>
              </w:tabs>
              <w:spacing w:line="300" w:lineRule="exact"/>
              <w:jc w:val="center"/>
              <w:rPr>
                <w:b/>
                <w:bCs/>
                <w:sz w:val="21"/>
                <w:szCs w:val="21"/>
              </w:rPr>
            </w:pPr>
          </w:p>
        </w:tc>
        <w:tc>
          <w:tcPr>
            <w:tcW w:w="979" w:type="pct"/>
            <w:vMerge w:val="continue"/>
            <w:vAlign w:val="center"/>
          </w:tcPr>
          <w:p>
            <w:pPr>
              <w:tabs>
                <w:tab w:val="left" w:pos="0"/>
                <w:tab w:val="left" w:pos="540"/>
              </w:tabs>
              <w:spacing w:line="300" w:lineRule="exact"/>
              <w:jc w:val="center"/>
              <w:rPr>
                <w:b/>
                <w:bCs/>
                <w:sz w:val="21"/>
                <w:szCs w:val="21"/>
              </w:rPr>
            </w:pPr>
          </w:p>
        </w:tc>
        <w:tc>
          <w:tcPr>
            <w:tcW w:w="513" w:type="pct"/>
            <w:vMerge w:val="continue"/>
            <w:vAlign w:val="center"/>
          </w:tcPr>
          <w:p>
            <w:pPr>
              <w:tabs>
                <w:tab w:val="left" w:pos="0"/>
                <w:tab w:val="left" w:pos="540"/>
              </w:tabs>
              <w:spacing w:line="300" w:lineRule="exact"/>
              <w:jc w:val="center"/>
              <w:rPr>
                <w:b/>
                <w:bCs/>
                <w:sz w:val="21"/>
                <w:szCs w:val="21"/>
              </w:rPr>
            </w:pPr>
          </w:p>
        </w:tc>
        <w:tc>
          <w:tcPr>
            <w:tcW w:w="470" w:type="pct"/>
            <w:vMerge w:val="continue"/>
            <w:vAlign w:val="center"/>
          </w:tcPr>
          <w:p>
            <w:pPr>
              <w:tabs>
                <w:tab w:val="left" w:pos="0"/>
                <w:tab w:val="left" w:pos="540"/>
              </w:tabs>
              <w:spacing w:line="300" w:lineRule="exact"/>
              <w:jc w:val="center"/>
              <w:rPr>
                <w:b/>
                <w:bCs/>
                <w:sz w:val="21"/>
                <w:szCs w:val="21"/>
              </w:rPr>
            </w:pPr>
          </w:p>
        </w:tc>
        <w:tc>
          <w:tcPr>
            <w:tcW w:w="476" w:type="pct"/>
            <w:vMerge w:val="continue"/>
            <w:vAlign w:val="center"/>
          </w:tcPr>
          <w:p>
            <w:pPr>
              <w:tabs>
                <w:tab w:val="left" w:pos="0"/>
                <w:tab w:val="left" w:pos="540"/>
              </w:tabs>
              <w:spacing w:line="300" w:lineRule="exact"/>
              <w:jc w:val="center"/>
              <w:rPr>
                <w:b/>
                <w:bCs/>
                <w:sz w:val="21"/>
                <w:szCs w:val="21"/>
              </w:rPr>
            </w:pPr>
          </w:p>
        </w:tc>
        <w:tc>
          <w:tcPr>
            <w:tcW w:w="612" w:type="pct"/>
            <w:vMerge w:val="continue"/>
            <w:vAlign w:val="center"/>
          </w:tcPr>
          <w:p>
            <w:pPr>
              <w:tabs>
                <w:tab w:val="left" w:pos="0"/>
                <w:tab w:val="left" w:pos="540"/>
              </w:tabs>
              <w:spacing w:line="300" w:lineRule="exact"/>
              <w:jc w:val="center"/>
              <w:rPr>
                <w:b/>
                <w:bCs/>
                <w:sz w:val="21"/>
                <w:szCs w:val="21"/>
              </w:rPr>
            </w:pPr>
          </w:p>
        </w:tc>
        <w:tc>
          <w:tcPr>
            <w:tcW w:w="544" w:type="pct"/>
            <w:vMerge w:val="continue"/>
            <w:vAlign w:val="center"/>
          </w:tcPr>
          <w:p>
            <w:pPr>
              <w:tabs>
                <w:tab w:val="left" w:pos="0"/>
                <w:tab w:val="left" w:pos="540"/>
              </w:tabs>
              <w:spacing w:line="300" w:lineRule="exact"/>
              <w:jc w:val="center"/>
              <w:rPr>
                <w:b/>
                <w:bCs/>
                <w:sz w:val="21"/>
                <w:szCs w:val="21"/>
              </w:rPr>
            </w:pPr>
          </w:p>
        </w:tc>
        <w:tc>
          <w:tcPr>
            <w:tcW w:w="420" w:type="pct"/>
            <w:vMerge w:val="continue"/>
            <w:vAlign w:val="center"/>
          </w:tcPr>
          <w:p>
            <w:pPr>
              <w:tabs>
                <w:tab w:val="left" w:pos="0"/>
                <w:tab w:val="left" w:pos="540"/>
              </w:tabs>
              <w:spacing w:line="300" w:lineRule="exact"/>
              <w:jc w:val="center"/>
              <w:rPr>
                <w:b/>
                <w:bCs/>
                <w:sz w:val="21"/>
                <w:szCs w:val="21"/>
              </w:rPr>
            </w:pPr>
          </w:p>
        </w:tc>
        <w:tc>
          <w:tcPr>
            <w:tcW w:w="799" w:type="pct"/>
            <w:shd w:val="clear" w:color="auto" w:fill="auto"/>
            <w:vAlign w:val="center"/>
          </w:tcPr>
          <w:p>
            <w:pPr>
              <w:tabs>
                <w:tab w:val="left" w:pos="0"/>
                <w:tab w:val="left" w:pos="540"/>
              </w:tabs>
              <w:spacing w:line="300" w:lineRule="exact"/>
              <w:jc w:val="center"/>
              <w:rPr>
                <w:b/>
                <w:bCs/>
                <w:sz w:val="21"/>
                <w:szCs w:val="21"/>
              </w:rPr>
            </w:pPr>
            <w:r>
              <w:rPr>
                <w:b/>
                <w:bCs/>
                <w:sz w:val="21"/>
                <w:szCs w:val="21"/>
              </w:rPr>
              <w:t>NMHC</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3" w:type="pct"/>
            <w:vMerge w:val="continue"/>
            <w:vAlign w:val="center"/>
          </w:tcPr>
          <w:p>
            <w:pPr>
              <w:tabs>
                <w:tab w:val="left" w:pos="0"/>
                <w:tab w:val="left" w:pos="540"/>
              </w:tabs>
              <w:spacing w:line="300" w:lineRule="exact"/>
              <w:jc w:val="center"/>
              <w:rPr>
                <w:b/>
                <w:bCs/>
                <w:sz w:val="21"/>
                <w:szCs w:val="21"/>
              </w:rPr>
            </w:pPr>
          </w:p>
        </w:tc>
        <w:tc>
          <w:tcPr>
            <w:tcW w:w="979" w:type="pct"/>
            <w:vMerge w:val="continue"/>
            <w:vAlign w:val="center"/>
          </w:tcPr>
          <w:p>
            <w:pPr>
              <w:tabs>
                <w:tab w:val="left" w:pos="0"/>
                <w:tab w:val="left" w:pos="540"/>
              </w:tabs>
              <w:spacing w:line="300" w:lineRule="exact"/>
              <w:jc w:val="center"/>
              <w:rPr>
                <w:b/>
                <w:bCs/>
                <w:sz w:val="21"/>
                <w:szCs w:val="21"/>
              </w:rPr>
            </w:pPr>
          </w:p>
        </w:tc>
        <w:tc>
          <w:tcPr>
            <w:tcW w:w="513" w:type="pct"/>
            <w:vAlign w:val="center"/>
          </w:tcPr>
          <w:p>
            <w:pPr>
              <w:tabs>
                <w:tab w:val="left" w:pos="0"/>
                <w:tab w:val="left" w:pos="540"/>
              </w:tabs>
              <w:spacing w:line="300" w:lineRule="exact"/>
              <w:jc w:val="center"/>
              <w:rPr>
                <w:b/>
                <w:bCs/>
                <w:sz w:val="21"/>
                <w:szCs w:val="21"/>
              </w:rPr>
            </w:pPr>
            <w:r>
              <w:rPr>
                <w:b/>
                <w:bCs/>
                <w:sz w:val="21"/>
                <w:szCs w:val="21"/>
              </w:rPr>
              <w:t>m</w:t>
            </w:r>
          </w:p>
        </w:tc>
        <w:tc>
          <w:tcPr>
            <w:tcW w:w="470" w:type="pct"/>
            <w:vAlign w:val="center"/>
          </w:tcPr>
          <w:p>
            <w:pPr>
              <w:tabs>
                <w:tab w:val="left" w:pos="0"/>
                <w:tab w:val="left" w:pos="540"/>
              </w:tabs>
              <w:spacing w:line="300" w:lineRule="exact"/>
              <w:jc w:val="center"/>
              <w:rPr>
                <w:b/>
                <w:bCs/>
                <w:sz w:val="21"/>
                <w:szCs w:val="21"/>
              </w:rPr>
            </w:pPr>
            <w:r>
              <w:rPr>
                <w:b/>
                <w:bCs/>
                <w:sz w:val="21"/>
                <w:szCs w:val="21"/>
              </w:rPr>
              <w:t>m</w:t>
            </w:r>
          </w:p>
        </w:tc>
        <w:tc>
          <w:tcPr>
            <w:tcW w:w="476" w:type="pct"/>
            <w:vAlign w:val="center"/>
          </w:tcPr>
          <w:p>
            <w:pPr>
              <w:tabs>
                <w:tab w:val="left" w:pos="0"/>
                <w:tab w:val="left" w:pos="540"/>
              </w:tabs>
              <w:spacing w:line="300" w:lineRule="exact"/>
              <w:jc w:val="center"/>
              <w:rPr>
                <w:b/>
                <w:bCs/>
                <w:sz w:val="21"/>
                <w:szCs w:val="21"/>
              </w:rPr>
            </w:pPr>
            <w:r>
              <w:rPr>
                <w:b/>
                <w:bCs/>
                <w:sz w:val="21"/>
                <w:szCs w:val="21"/>
              </w:rPr>
              <w:t>m</w:t>
            </w:r>
            <w:r>
              <w:rPr>
                <w:b/>
                <w:bCs/>
                <w:sz w:val="21"/>
                <w:szCs w:val="21"/>
                <w:vertAlign w:val="superscript"/>
              </w:rPr>
              <w:t>3</w:t>
            </w:r>
            <w:r>
              <w:rPr>
                <w:b/>
                <w:bCs/>
                <w:sz w:val="21"/>
                <w:szCs w:val="21"/>
              </w:rPr>
              <w:t>/h</w:t>
            </w:r>
          </w:p>
        </w:tc>
        <w:tc>
          <w:tcPr>
            <w:tcW w:w="612" w:type="pct"/>
            <w:vAlign w:val="center"/>
          </w:tcPr>
          <w:p>
            <w:pPr>
              <w:tabs>
                <w:tab w:val="left" w:pos="0"/>
                <w:tab w:val="left" w:pos="540"/>
              </w:tabs>
              <w:spacing w:line="300" w:lineRule="exact"/>
              <w:jc w:val="center"/>
              <w:rPr>
                <w:b/>
                <w:bCs/>
                <w:sz w:val="21"/>
                <w:szCs w:val="21"/>
              </w:rPr>
            </w:pPr>
            <w:r>
              <w:rPr>
                <w:b/>
                <w:bCs/>
                <w:sz w:val="21"/>
                <w:szCs w:val="21"/>
              </w:rPr>
              <w:t>℃</w:t>
            </w:r>
          </w:p>
        </w:tc>
        <w:tc>
          <w:tcPr>
            <w:tcW w:w="544" w:type="pct"/>
            <w:vAlign w:val="center"/>
          </w:tcPr>
          <w:p>
            <w:pPr>
              <w:tabs>
                <w:tab w:val="left" w:pos="0"/>
                <w:tab w:val="left" w:pos="540"/>
              </w:tabs>
              <w:spacing w:line="300" w:lineRule="exact"/>
              <w:jc w:val="center"/>
              <w:rPr>
                <w:b/>
                <w:bCs/>
                <w:sz w:val="21"/>
                <w:szCs w:val="21"/>
              </w:rPr>
            </w:pPr>
            <w:r>
              <w:rPr>
                <w:b/>
                <w:bCs/>
                <w:sz w:val="21"/>
                <w:szCs w:val="21"/>
              </w:rPr>
              <w:t>h</w:t>
            </w:r>
          </w:p>
        </w:tc>
        <w:tc>
          <w:tcPr>
            <w:tcW w:w="420" w:type="pct"/>
            <w:vMerge w:val="continue"/>
            <w:vAlign w:val="center"/>
          </w:tcPr>
          <w:p>
            <w:pPr>
              <w:tabs>
                <w:tab w:val="left" w:pos="0"/>
                <w:tab w:val="left" w:pos="540"/>
              </w:tabs>
              <w:spacing w:line="300" w:lineRule="exact"/>
              <w:jc w:val="center"/>
              <w:rPr>
                <w:b/>
                <w:bCs/>
                <w:sz w:val="21"/>
                <w:szCs w:val="21"/>
              </w:rPr>
            </w:pPr>
          </w:p>
        </w:tc>
        <w:tc>
          <w:tcPr>
            <w:tcW w:w="799" w:type="pct"/>
            <w:shd w:val="clear" w:color="auto" w:fill="auto"/>
            <w:vAlign w:val="center"/>
          </w:tcPr>
          <w:p>
            <w:pPr>
              <w:tabs>
                <w:tab w:val="left" w:pos="0"/>
                <w:tab w:val="left" w:pos="540"/>
              </w:tabs>
              <w:spacing w:line="300" w:lineRule="exact"/>
              <w:jc w:val="center"/>
              <w:rPr>
                <w:b/>
                <w:bCs/>
                <w:sz w:val="21"/>
                <w:szCs w:val="21"/>
              </w:rPr>
            </w:pPr>
            <w:r>
              <w:rPr>
                <w:b/>
                <w:bCs/>
                <w:sz w:val="21"/>
                <w:szCs w:val="21"/>
              </w:rPr>
              <w:t>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83" w:type="pct"/>
            <w:vAlign w:val="center"/>
          </w:tcPr>
          <w:p>
            <w:pPr>
              <w:pStyle w:val="35"/>
            </w:pPr>
            <w:r>
              <w:t>1</w:t>
            </w:r>
          </w:p>
        </w:tc>
        <w:tc>
          <w:tcPr>
            <w:tcW w:w="979" w:type="pct"/>
            <w:vAlign w:val="center"/>
          </w:tcPr>
          <w:p>
            <w:pPr>
              <w:pStyle w:val="63"/>
            </w:pPr>
            <w:r>
              <w:rPr>
                <w:szCs w:val="21"/>
              </w:rPr>
              <w:t>G</w:t>
            </w:r>
            <w:r>
              <w:rPr>
                <w:szCs w:val="21"/>
                <w:vertAlign w:val="subscript"/>
              </w:rPr>
              <w:t>3</w:t>
            </w:r>
            <w:r>
              <w:rPr>
                <w:kern w:val="0"/>
                <w:szCs w:val="21"/>
              </w:rPr>
              <w:t>真空泵尾气</w:t>
            </w:r>
          </w:p>
        </w:tc>
        <w:tc>
          <w:tcPr>
            <w:tcW w:w="513" w:type="pct"/>
            <w:vAlign w:val="center"/>
          </w:tcPr>
          <w:p>
            <w:pPr>
              <w:pStyle w:val="35"/>
            </w:pPr>
            <w:r>
              <w:t>15</w:t>
            </w:r>
          </w:p>
        </w:tc>
        <w:tc>
          <w:tcPr>
            <w:tcW w:w="470" w:type="pct"/>
            <w:vAlign w:val="center"/>
          </w:tcPr>
          <w:p>
            <w:pPr>
              <w:pStyle w:val="35"/>
            </w:pPr>
            <w:r>
              <w:t>0.4</w:t>
            </w:r>
          </w:p>
        </w:tc>
        <w:tc>
          <w:tcPr>
            <w:tcW w:w="476" w:type="pct"/>
            <w:vAlign w:val="center"/>
          </w:tcPr>
          <w:p>
            <w:pPr>
              <w:pStyle w:val="35"/>
            </w:pPr>
            <w:r>
              <w:t>100</w:t>
            </w:r>
          </w:p>
        </w:tc>
        <w:tc>
          <w:tcPr>
            <w:tcW w:w="612" w:type="pct"/>
            <w:vAlign w:val="center"/>
          </w:tcPr>
          <w:p>
            <w:pPr>
              <w:pStyle w:val="35"/>
            </w:pPr>
            <w:r>
              <w:t>20</w:t>
            </w:r>
          </w:p>
        </w:tc>
        <w:tc>
          <w:tcPr>
            <w:tcW w:w="544" w:type="pct"/>
            <w:vAlign w:val="center"/>
          </w:tcPr>
          <w:p>
            <w:pPr>
              <w:pStyle w:val="35"/>
            </w:pPr>
            <w:r>
              <w:t>8000</w:t>
            </w:r>
          </w:p>
        </w:tc>
        <w:tc>
          <w:tcPr>
            <w:tcW w:w="420" w:type="pct"/>
            <w:vAlign w:val="center"/>
          </w:tcPr>
          <w:p>
            <w:pPr>
              <w:pStyle w:val="35"/>
            </w:pPr>
            <w:r>
              <w:t>连续</w:t>
            </w:r>
          </w:p>
        </w:tc>
        <w:tc>
          <w:tcPr>
            <w:tcW w:w="799" w:type="pct"/>
            <w:shd w:val="clear" w:color="auto" w:fill="auto"/>
            <w:vAlign w:val="center"/>
          </w:tcPr>
          <w:p>
            <w:pPr>
              <w:pStyle w:val="36"/>
              <w:spacing w:line="240" w:lineRule="auto"/>
              <w:rPr>
                <w:color w:val="auto"/>
              </w:rPr>
            </w:pPr>
            <w:r>
              <w:rPr>
                <w:color w:val="auto"/>
              </w:rPr>
              <w:t>6.01</w:t>
            </w:r>
            <w:r>
              <w:rPr>
                <w:color w:val="auto"/>
                <w:szCs w:val="21"/>
                <w:shd w:val="clear" w:color="auto" w:fill="FFFFFF"/>
              </w:rPr>
              <w:t>×10</w:t>
            </w:r>
            <w:r>
              <w:rPr>
                <w:color w:val="auto"/>
                <w:szCs w:val="21"/>
                <w:shd w:val="clear" w:color="auto" w:fill="FFFFFF"/>
                <w:vertAlign w:val="superscript"/>
              </w:rPr>
              <w:t>-3</w:t>
            </w:r>
          </w:p>
        </w:tc>
      </w:tr>
      <w:bookmarkEnd w:id="125"/>
      <w:bookmarkEnd w:id="126"/>
    </w:tbl>
    <w:p>
      <w:pPr>
        <w:pStyle w:val="32"/>
        <w:tabs>
          <w:tab w:val="clear" w:pos="900"/>
        </w:tabs>
        <w:ind w:right="240"/>
      </w:pPr>
      <w:r>
        <w:t>表5.1-3                     面源参数调查清单</w:t>
      </w:r>
    </w:p>
    <w:tbl>
      <w:tblPr>
        <w:tblStyle w:val="21"/>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70"/>
        <w:gridCol w:w="2671"/>
        <w:gridCol w:w="802"/>
        <w:gridCol w:w="871"/>
        <w:gridCol w:w="1105"/>
        <w:gridCol w:w="979"/>
        <w:gridCol w:w="781"/>
        <w:gridCol w:w="143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05" w:type="pct"/>
            <w:vMerge w:val="restart"/>
            <w:vAlign w:val="center"/>
          </w:tcPr>
          <w:p>
            <w:pPr>
              <w:pStyle w:val="63"/>
              <w:rPr>
                <w:b/>
                <w:bCs/>
              </w:rPr>
            </w:pPr>
            <w:r>
              <w:rPr>
                <w:b/>
                <w:bCs/>
              </w:rPr>
              <w:t>序号</w:t>
            </w:r>
          </w:p>
        </w:tc>
        <w:tc>
          <w:tcPr>
            <w:tcW w:w="1481" w:type="pct"/>
            <w:vMerge w:val="restart"/>
            <w:vAlign w:val="center"/>
          </w:tcPr>
          <w:p>
            <w:pPr>
              <w:pStyle w:val="63"/>
              <w:rPr>
                <w:b/>
                <w:bCs/>
              </w:rPr>
            </w:pPr>
            <w:r>
              <w:rPr>
                <w:b/>
                <w:bCs/>
              </w:rPr>
              <w:t>名称</w:t>
            </w:r>
          </w:p>
        </w:tc>
        <w:tc>
          <w:tcPr>
            <w:tcW w:w="445" w:type="pct"/>
            <w:vMerge w:val="restart"/>
            <w:vAlign w:val="center"/>
          </w:tcPr>
          <w:p>
            <w:pPr>
              <w:pStyle w:val="63"/>
              <w:rPr>
                <w:b/>
                <w:bCs/>
              </w:rPr>
            </w:pPr>
            <w:r>
              <w:rPr>
                <w:b/>
                <w:bCs/>
              </w:rPr>
              <w:t>面源</w:t>
            </w:r>
          </w:p>
          <w:p>
            <w:pPr>
              <w:pStyle w:val="63"/>
              <w:rPr>
                <w:b/>
                <w:bCs/>
              </w:rPr>
            </w:pPr>
            <w:r>
              <w:rPr>
                <w:b/>
                <w:bCs/>
              </w:rPr>
              <w:t>长度</w:t>
            </w:r>
          </w:p>
        </w:tc>
        <w:tc>
          <w:tcPr>
            <w:tcW w:w="483" w:type="pct"/>
            <w:vMerge w:val="restart"/>
            <w:vAlign w:val="center"/>
          </w:tcPr>
          <w:p>
            <w:pPr>
              <w:pStyle w:val="63"/>
              <w:rPr>
                <w:b/>
                <w:bCs/>
              </w:rPr>
            </w:pPr>
            <w:r>
              <w:rPr>
                <w:b/>
                <w:bCs/>
              </w:rPr>
              <w:t>面源</w:t>
            </w:r>
          </w:p>
          <w:p>
            <w:pPr>
              <w:pStyle w:val="63"/>
              <w:rPr>
                <w:b/>
                <w:bCs/>
              </w:rPr>
            </w:pPr>
            <w:r>
              <w:rPr>
                <w:b/>
                <w:bCs/>
              </w:rPr>
              <w:t>宽度</w:t>
            </w:r>
          </w:p>
        </w:tc>
        <w:tc>
          <w:tcPr>
            <w:tcW w:w="613" w:type="pct"/>
            <w:vMerge w:val="restart"/>
            <w:vAlign w:val="center"/>
          </w:tcPr>
          <w:p>
            <w:pPr>
              <w:pStyle w:val="63"/>
              <w:rPr>
                <w:b/>
                <w:bCs/>
              </w:rPr>
            </w:pPr>
            <w:r>
              <w:rPr>
                <w:b/>
                <w:bCs/>
              </w:rPr>
              <w:t>面源有效</w:t>
            </w:r>
          </w:p>
          <w:p>
            <w:pPr>
              <w:pStyle w:val="63"/>
              <w:rPr>
                <w:b/>
                <w:bCs/>
              </w:rPr>
            </w:pPr>
            <w:r>
              <w:rPr>
                <w:b/>
                <w:bCs/>
              </w:rPr>
              <w:t>排放高度</w:t>
            </w:r>
          </w:p>
        </w:tc>
        <w:tc>
          <w:tcPr>
            <w:tcW w:w="543" w:type="pct"/>
            <w:vMerge w:val="restart"/>
            <w:vAlign w:val="center"/>
          </w:tcPr>
          <w:p>
            <w:pPr>
              <w:pStyle w:val="63"/>
              <w:rPr>
                <w:b/>
                <w:bCs/>
              </w:rPr>
            </w:pPr>
            <w:r>
              <w:rPr>
                <w:b/>
                <w:bCs/>
              </w:rPr>
              <w:t>年排放</w:t>
            </w:r>
          </w:p>
          <w:p>
            <w:pPr>
              <w:pStyle w:val="63"/>
              <w:rPr>
                <w:b/>
                <w:bCs/>
              </w:rPr>
            </w:pPr>
            <w:r>
              <w:rPr>
                <w:b/>
                <w:bCs/>
              </w:rPr>
              <w:t>小时数</w:t>
            </w:r>
          </w:p>
        </w:tc>
        <w:tc>
          <w:tcPr>
            <w:tcW w:w="433" w:type="pct"/>
            <w:vMerge w:val="restart"/>
            <w:vAlign w:val="center"/>
          </w:tcPr>
          <w:p>
            <w:pPr>
              <w:pStyle w:val="63"/>
              <w:rPr>
                <w:b/>
                <w:bCs/>
              </w:rPr>
            </w:pPr>
            <w:r>
              <w:rPr>
                <w:b/>
                <w:bCs/>
              </w:rPr>
              <w:t>排放</w:t>
            </w:r>
          </w:p>
          <w:p>
            <w:pPr>
              <w:pStyle w:val="63"/>
              <w:rPr>
                <w:b/>
                <w:bCs/>
              </w:rPr>
            </w:pPr>
            <w:r>
              <w:rPr>
                <w:b/>
                <w:bCs/>
              </w:rPr>
              <w:t>工况</w:t>
            </w:r>
          </w:p>
        </w:tc>
        <w:tc>
          <w:tcPr>
            <w:tcW w:w="793" w:type="pct"/>
            <w:vAlign w:val="center"/>
          </w:tcPr>
          <w:p>
            <w:pPr>
              <w:pStyle w:val="63"/>
              <w:rPr>
                <w:b/>
                <w:bCs/>
              </w:rPr>
            </w:pPr>
            <w:r>
              <w:rPr>
                <w:b/>
                <w:bCs/>
              </w:rPr>
              <w:t>评价因子源强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05" w:type="pct"/>
            <w:vMerge w:val="continue"/>
            <w:vAlign w:val="center"/>
          </w:tcPr>
          <w:p>
            <w:pPr>
              <w:pStyle w:val="63"/>
              <w:rPr>
                <w:b/>
                <w:bCs/>
              </w:rPr>
            </w:pPr>
          </w:p>
        </w:tc>
        <w:tc>
          <w:tcPr>
            <w:tcW w:w="1481" w:type="pct"/>
            <w:vMerge w:val="continue"/>
            <w:vAlign w:val="center"/>
          </w:tcPr>
          <w:p>
            <w:pPr>
              <w:pStyle w:val="63"/>
              <w:rPr>
                <w:b/>
                <w:bCs/>
              </w:rPr>
            </w:pPr>
          </w:p>
        </w:tc>
        <w:tc>
          <w:tcPr>
            <w:tcW w:w="445" w:type="pct"/>
            <w:vMerge w:val="continue"/>
            <w:vAlign w:val="center"/>
          </w:tcPr>
          <w:p>
            <w:pPr>
              <w:pStyle w:val="63"/>
              <w:rPr>
                <w:b/>
                <w:bCs/>
              </w:rPr>
            </w:pPr>
          </w:p>
        </w:tc>
        <w:tc>
          <w:tcPr>
            <w:tcW w:w="483" w:type="pct"/>
            <w:vMerge w:val="continue"/>
            <w:vAlign w:val="center"/>
          </w:tcPr>
          <w:p>
            <w:pPr>
              <w:pStyle w:val="63"/>
              <w:rPr>
                <w:b/>
                <w:bCs/>
              </w:rPr>
            </w:pPr>
          </w:p>
        </w:tc>
        <w:tc>
          <w:tcPr>
            <w:tcW w:w="613" w:type="pct"/>
            <w:vMerge w:val="continue"/>
            <w:vAlign w:val="center"/>
          </w:tcPr>
          <w:p>
            <w:pPr>
              <w:pStyle w:val="63"/>
              <w:rPr>
                <w:b/>
                <w:bCs/>
              </w:rPr>
            </w:pPr>
          </w:p>
        </w:tc>
        <w:tc>
          <w:tcPr>
            <w:tcW w:w="543" w:type="pct"/>
            <w:vMerge w:val="continue"/>
            <w:vAlign w:val="center"/>
          </w:tcPr>
          <w:p>
            <w:pPr>
              <w:pStyle w:val="63"/>
              <w:rPr>
                <w:b/>
                <w:bCs/>
              </w:rPr>
            </w:pPr>
          </w:p>
        </w:tc>
        <w:tc>
          <w:tcPr>
            <w:tcW w:w="433" w:type="pct"/>
            <w:vMerge w:val="continue"/>
            <w:vAlign w:val="center"/>
          </w:tcPr>
          <w:p>
            <w:pPr>
              <w:pStyle w:val="63"/>
              <w:rPr>
                <w:b/>
                <w:bCs/>
              </w:rPr>
            </w:pPr>
          </w:p>
        </w:tc>
        <w:tc>
          <w:tcPr>
            <w:tcW w:w="793" w:type="pct"/>
            <w:shd w:val="clear" w:color="auto" w:fill="auto"/>
            <w:vAlign w:val="center"/>
          </w:tcPr>
          <w:p>
            <w:pPr>
              <w:pStyle w:val="63"/>
              <w:rPr>
                <w:b/>
                <w:bCs/>
              </w:rPr>
            </w:pPr>
            <w:r>
              <w:rPr>
                <w:b/>
                <w:bCs/>
              </w:rPr>
              <w:t>NMHC</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05" w:type="pct"/>
            <w:vMerge w:val="continue"/>
            <w:vAlign w:val="center"/>
          </w:tcPr>
          <w:p>
            <w:pPr>
              <w:pStyle w:val="63"/>
              <w:rPr>
                <w:b/>
                <w:bCs/>
              </w:rPr>
            </w:pPr>
          </w:p>
        </w:tc>
        <w:tc>
          <w:tcPr>
            <w:tcW w:w="1481" w:type="pct"/>
            <w:vMerge w:val="continue"/>
            <w:vAlign w:val="center"/>
          </w:tcPr>
          <w:p>
            <w:pPr>
              <w:pStyle w:val="63"/>
              <w:rPr>
                <w:b/>
                <w:bCs/>
              </w:rPr>
            </w:pPr>
          </w:p>
        </w:tc>
        <w:tc>
          <w:tcPr>
            <w:tcW w:w="445" w:type="pct"/>
            <w:vAlign w:val="center"/>
          </w:tcPr>
          <w:p>
            <w:pPr>
              <w:pStyle w:val="63"/>
              <w:rPr>
                <w:b/>
                <w:bCs/>
              </w:rPr>
            </w:pPr>
            <w:r>
              <w:rPr>
                <w:b/>
                <w:bCs/>
              </w:rPr>
              <w:t>m</w:t>
            </w:r>
          </w:p>
        </w:tc>
        <w:tc>
          <w:tcPr>
            <w:tcW w:w="483" w:type="pct"/>
            <w:vAlign w:val="center"/>
          </w:tcPr>
          <w:p>
            <w:pPr>
              <w:pStyle w:val="63"/>
              <w:rPr>
                <w:b/>
                <w:bCs/>
              </w:rPr>
            </w:pPr>
            <w:r>
              <w:rPr>
                <w:b/>
                <w:bCs/>
              </w:rPr>
              <w:t>m</w:t>
            </w:r>
          </w:p>
        </w:tc>
        <w:tc>
          <w:tcPr>
            <w:tcW w:w="613" w:type="pct"/>
            <w:vAlign w:val="center"/>
          </w:tcPr>
          <w:p>
            <w:pPr>
              <w:pStyle w:val="63"/>
              <w:rPr>
                <w:b/>
                <w:bCs/>
              </w:rPr>
            </w:pPr>
            <w:r>
              <w:rPr>
                <w:b/>
                <w:bCs/>
              </w:rPr>
              <w:t>m</w:t>
            </w:r>
          </w:p>
        </w:tc>
        <w:tc>
          <w:tcPr>
            <w:tcW w:w="543" w:type="pct"/>
            <w:vAlign w:val="center"/>
          </w:tcPr>
          <w:p>
            <w:pPr>
              <w:pStyle w:val="63"/>
              <w:rPr>
                <w:b/>
                <w:bCs/>
              </w:rPr>
            </w:pPr>
            <w:r>
              <w:rPr>
                <w:b/>
                <w:bCs/>
              </w:rPr>
              <w:t>h</w:t>
            </w:r>
          </w:p>
        </w:tc>
        <w:tc>
          <w:tcPr>
            <w:tcW w:w="433" w:type="pct"/>
            <w:vMerge w:val="continue"/>
            <w:vAlign w:val="center"/>
          </w:tcPr>
          <w:p>
            <w:pPr>
              <w:pStyle w:val="63"/>
              <w:rPr>
                <w:b/>
                <w:bCs/>
              </w:rPr>
            </w:pPr>
          </w:p>
        </w:tc>
        <w:tc>
          <w:tcPr>
            <w:tcW w:w="793" w:type="pct"/>
            <w:shd w:val="clear" w:color="auto" w:fill="auto"/>
            <w:vAlign w:val="center"/>
          </w:tcPr>
          <w:p>
            <w:pPr>
              <w:pStyle w:val="63"/>
              <w:rPr>
                <w:b/>
                <w:bCs/>
              </w:rPr>
            </w:pPr>
            <w:r>
              <w:rPr>
                <w:b/>
                <w:bCs/>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205" w:type="pct"/>
            <w:vAlign w:val="center"/>
          </w:tcPr>
          <w:p>
            <w:pPr>
              <w:pStyle w:val="63"/>
            </w:pPr>
            <w:r>
              <w:t>1</w:t>
            </w:r>
          </w:p>
        </w:tc>
        <w:tc>
          <w:tcPr>
            <w:tcW w:w="1481" w:type="pct"/>
            <w:vAlign w:val="center"/>
          </w:tcPr>
          <w:p>
            <w:pPr>
              <w:pStyle w:val="35"/>
            </w:pPr>
            <w:r>
              <w:rPr>
                <w:szCs w:val="21"/>
              </w:rPr>
              <w:t>g</w:t>
            </w:r>
            <w:r>
              <w:rPr>
                <w:szCs w:val="21"/>
                <w:vertAlign w:val="subscript"/>
              </w:rPr>
              <w:t>1</w:t>
            </w:r>
            <w:r>
              <w:rPr>
                <w:szCs w:val="21"/>
              </w:rPr>
              <w:t>无组织</w:t>
            </w:r>
          </w:p>
        </w:tc>
        <w:tc>
          <w:tcPr>
            <w:tcW w:w="445" w:type="pct"/>
            <w:vAlign w:val="center"/>
          </w:tcPr>
          <w:p>
            <w:pPr>
              <w:pStyle w:val="63"/>
            </w:pPr>
            <w:r>
              <w:t>65</w:t>
            </w:r>
          </w:p>
        </w:tc>
        <w:tc>
          <w:tcPr>
            <w:tcW w:w="483" w:type="pct"/>
            <w:vAlign w:val="center"/>
          </w:tcPr>
          <w:p>
            <w:pPr>
              <w:pStyle w:val="63"/>
            </w:pPr>
            <w:r>
              <w:t>40</w:t>
            </w:r>
          </w:p>
        </w:tc>
        <w:tc>
          <w:tcPr>
            <w:tcW w:w="613" w:type="pct"/>
            <w:vAlign w:val="center"/>
          </w:tcPr>
          <w:p>
            <w:pPr>
              <w:pStyle w:val="63"/>
            </w:pPr>
            <w:r>
              <w:t>14</w:t>
            </w:r>
          </w:p>
        </w:tc>
        <w:tc>
          <w:tcPr>
            <w:tcW w:w="543" w:type="pct"/>
            <w:vAlign w:val="center"/>
          </w:tcPr>
          <w:p>
            <w:pPr>
              <w:pStyle w:val="63"/>
            </w:pPr>
            <w:r>
              <w:t>8000</w:t>
            </w:r>
          </w:p>
        </w:tc>
        <w:tc>
          <w:tcPr>
            <w:tcW w:w="433" w:type="pct"/>
            <w:vAlign w:val="center"/>
          </w:tcPr>
          <w:p>
            <w:pPr>
              <w:pStyle w:val="63"/>
            </w:pPr>
            <w:r>
              <w:t>连续</w:t>
            </w:r>
          </w:p>
        </w:tc>
        <w:tc>
          <w:tcPr>
            <w:tcW w:w="793" w:type="pct"/>
            <w:shd w:val="clear" w:color="auto" w:fill="auto"/>
            <w:vAlign w:val="center"/>
          </w:tcPr>
          <w:p>
            <w:pPr>
              <w:pStyle w:val="63"/>
            </w:pPr>
            <w:r>
              <w:t>0.40</w:t>
            </w:r>
          </w:p>
        </w:tc>
      </w:tr>
    </w:tbl>
    <w:p>
      <w:pPr>
        <w:pStyle w:val="27"/>
        <w:ind w:firstLine="560"/>
        <w:rPr>
          <w:szCs w:val="28"/>
        </w:rPr>
      </w:pPr>
    </w:p>
    <w:p>
      <w:pPr>
        <w:pStyle w:val="5"/>
        <w:spacing w:before="0" w:after="0" w:line="520" w:lineRule="exact"/>
        <w:jc w:val="left"/>
        <w:rPr>
          <w:rFonts w:eastAsia="楷体_GB2312"/>
          <w:bCs/>
          <w:kern w:val="0"/>
          <w:sz w:val="28"/>
          <w:szCs w:val="32"/>
        </w:rPr>
      </w:pPr>
      <w:r>
        <w:rPr>
          <w:rFonts w:eastAsia="楷体_GB2312"/>
          <w:bCs/>
          <w:kern w:val="0"/>
          <w:sz w:val="28"/>
          <w:szCs w:val="32"/>
        </w:rPr>
        <w:t>5.1.3  评价等级和评价范围</w:t>
      </w:r>
    </w:p>
    <w:p>
      <w:pPr>
        <w:pStyle w:val="33"/>
      </w:pPr>
      <w:r>
        <w:t>5.1.3.1  估算模型参数</w:t>
      </w:r>
    </w:p>
    <w:p>
      <w:pPr>
        <w:pStyle w:val="27"/>
        <w:ind w:firstLine="560"/>
      </w:pPr>
      <w:r>
        <w:t>依据《环境影响评价技术导则 大气环境》（HJ2.2-2018）评价工作等级的划分原则和方法，对项目选取的预测因子，利用附录A推荐模型中的AERSCREEN估算模式对项目的大气环境环境评价工作进行分级，估算模型参数见</w:t>
      </w:r>
      <w:r>
        <w:rPr>
          <w:rFonts w:hint="eastAsia"/>
        </w:rPr>
        <w:t>下</w:t>
      </w:r>
      <w:r>
        <w:t>表。</w:t>
      </w:r>
    </w:p>
    <w:p>
      <w:pPr>
        <w:pStyle w:val="32"/>
        <w:ind w:right="240"/>
      </w:pPr>
      <w:r>
        <w:t>表5.1-4                    估算模型参数表</w:t>
      </w:r>
    </w:p>
    <w:tbl>
      <w:tblPr>
        <w:tblStyle w:val="21"/>
        <w:tblW w:w="5015"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65"/>
        <w:gridCol w:w="3070"/>
        <w:gridCol w:w="306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jc w:val="center"/>
        </w:trPr>
        <w:tc>
          <w:tcPr>
            <w:tcW w:w="3333" w:type="pct"/>
            <w:gridSpan w:val="2"/>
            <w:shd w:val="clear" w:color="auto" w:fill="auto"/>
            <w:vAlign w:val="center"/>
          </w:tcPr>
          <w:p>
            <w:pPr>
              <w:jc w:val="center"/>
              <w:rPr>
                <w:b/>
                <w:sz w:val="21"/>
                <w:szCs w:val="21"/>
              </w:rPr>
            </w:pPr>
            <w:r>
              <w:rPr>
                <w:b/>
                <w:sz w:val="21"/>
                <w:szCs w:val="21"/>
              </w:rPr>
              <w:t>参数</w:t>
            </w:r>
          </w:p>
        </w:tc>
        <w:tc>
          <w:tcPr>
            <w:tcW w:w="1666" w:type="pct"/>
            <w:shd w:val="clear" w:color="auto" w:fill="auto"/>
            <w:vAlign w:val="center"/>
          </w:tcPr>
          <w:p>
            <w:pPr>
              <w:jc w:val="center"/>
              <w:rPr>
                <w:b/>
                <w:sz w:val="21"/>
                <w:szCs w:val="21"/>
              </w:rPr>
            </w:pPr>
            <w:r>
              <w:rPr>
                <w:b/>
                <w:sz w:val="21"/>
                <w:szCs w:val="21"/>
              </w:rPr>
              <w:t>取值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333" w:type="pct"/>
            <w:gridSpan w:val="2"/>
            <w:shd w:val="clear" w:color="auto" w:fill="auto"/>
            <w:vAlign w:val="center"/>
          </w:tcPr>
          <w:p>
            <w:pPr>
              <w:jc w:val="center"/>
              <w:rPr>
                <w:sz w:val="21"/>
                <w:szCs w:val="21"/>
              </w:rPr>
            </w:pPr>
            <w:r>
              <w:rPr>
                <w:sz w:val="21"/>
                <w:szCs w:val="21"/>
              </w:rPr>
              <w:t>筛选气象定义</w:t>
            </w:r>
          </w:p>
        </w:tc>
        <w:tc>
          <w:tcPr>
            <w:tcW w:w="1666" w:type="pct"/>
            <w:shd w:val="clear" w:color="auto" w:fill="auto"/>
            <w:vAlign w:val="center"/>
          </w:tcPr>
          <w:p>
            <w:pPr>
              <w:pStyle w:val="35"/>
              <w:rPr>
                <w:szCs w:val="21"/>
              </w:rPr>
            </w:pPr>
            <w:r>
              <w:t>筛选气象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333" w:type="pct"/>
            <w:gridSpan w:val="2"/>
            <w:shd w:val="clear" w:color="auto" w:fill="auto"/>
            <w:vAlign w:val="center"/>
          </w:tcPr>
          <w:p>
            <w:pPr>
              <w:jc w:val="center"/>
              <w:rPr>
                <w:sz w:val="21"/>
                <w:szCs w:val="21"/>
              </w:rPr>
            </w:pPr>
            <w:r>
              <w:rPr>
                <w:sz w:val="21"/>
                <w:szCs w:val="21"/>
              </w:rPr>
              <w:t>下洗建筑物定义</w:t>
            </w:r>
          </w:p>
        </w:tc>
        <w:tc>
          <w:tcPr>
            <w:tcW w:w="1666" w:type="pct"/>
            <w:shd w:val="clear" w:color="auto" w:fill="auto"/>
            <w:vAlign w:val="center"/>
          </w:tcPr>
          <w:p>
            <w:pPr>
              <w:pStyle w:val="35"/>
              <w:rPr>
                <w:szCs w:val="21"/>
              </w:rPr>
            </w:pPr>
            <w:r>
              <w:t>无=不考虑建筑物下洗</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333" w:type="pct"/>
            <w:gridSpan w:val="2"/>
            <w:shd w:val="clear" w:color="auto" w:fill="auto"/>
            <w:vAlign w:val="center"/>
          </w:tcPr>
          <w:p>
            <w:pPr>
              <w:jc w:val="center"/>
              <w:rPr>
                <w:sz w:val="21"/>
                <w:szCs w:val="21"/>
              </w:rPr>
            </w:pPr>
            <w:r>
              <w:rPr>
                <w:sz w:val="21"/>
                <w:szCs w:val="21"/>
              </w:rPr>
              <w:t>预测点离地高度</w:t>
            </w:r>
          </w:p>
        </w:tc>
        <w:tc>
          <w:tcPr>
            <w:tcW w:w="1666" w:type="pct"/>
            <w:shd w:val="clear" w:color="auto" w:fill="auto"/>
            <w:vAlign w:val="center"/>
          </w:tcPr>
          <w:p>
            <w:pPr>
              <w:pStyle w:val="35"/>
              <w:rPr>
                <w:szCs w:val="21"/>
              </w:rPr>
            </w:pPr>
            <w:r>
              <w:t>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333" w:type="pct"/>
            <w:gridSpan w:val="2"/>
            <w:shd w:val="clear" w:color="auto" w:fill="auto"/>
            <w:vAlign w:val="center"/>
          </w:tcPr>
          <w:p>
            <w:pPr>
              <w:jc w:val="center"/>
              <w:rPr>
                <w:sz w:val="21"/>
                <w:szCs w:val="21"/>
              </w:rPr>
            </w:pPr>
            <w:r>
              <w:rPr>
                <w:sz w:val="21"/>
                <w:szCs w:val="21"/>
              </w:rPr>
              <w:t>最大计算距离</w:t>
            </w:r>
          </w:p>
        </w:tc>
        <w:tc>
          <w:tcPr>
            <w:tcW w:w="1666" w:type="pct"/>
            <w:shd w:val="clear" w:color="auto" w:fill="auto"/>
            <w:vAlign w:val="center"/>
          </w:tcPr>
          <w:p>
            <w:pPr>
              <w:pStyle w:val="35"/>
              <w:rPr>
                <w:szCs w:val="21"/>
              </w:rPr>
            </w:pPr>
            <w:r>
              <w:t>2500m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restart"/>
            <w:shd w:val="clear" w:color="auto" w:fill="auto"/>
            <w:vAlign w:val="center"/>
          </w:tcPr>
          <w:p>
            <w:pPr>
              <w:pStyle w:val="35"/>
            </w:pPr>
            <w:r>
              <w:t>城市/农村选项</w:t>
            </w:r>
          </w:p>
        </w:tc>
        <w:tc>
          <w:tcPr>
            <w:tcW w:w="1668" w:type="pct"/>
            <w:shd w:val="clear" w:color="auto" w:fill="auto"/>
            <w:vAlign w:val="center"/>
          </w:tcPr>
          <w:p>
            <w:pPr>
              <w:pStyle w:val="35"/>
            </w:pPr>
            <w:r>
              <w:t>城市/农村</w:t>
            </w:r>
          </w:p>
        </w:tc>
        <w:tc>
          <w:tcPr>
            <w:tcW w:w="1666" w:type="pct"/>
            <w:shd w:val="clear" w:color="auto" w:fill="auto"/>
            <w:vAlign w:val="center"/>
          </w:tcPr>
          <w:p>
            <w:pPr>
              <w:jc w:val="center"/>
              <w:rPr>
                <w:sz w:val="21"/>
                <w:szCs w:val="21"/>
              </w:rPr>
            </w:pPr>
            <w:r>
              <w:rPr>
                <w:sz w:val="21"/>
                <w:szCs w:val="21"/>
              </w:rPr>
              <w:t>城市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continue"/>
            <w:shd w:val="clear" w:color="auto" w:fill="auto"/>
            <w:vAlign w:val="center"/>
          </w:tcPr>
          <w:p>
            <w:pPr>
              <w:pStyle w:val="35"/>
            </w:pPr>
          </w:p>
        </w:tc>
        <w:tc>
          <w:tcPr>
            <w:tcW w:w="1668" w:type="pct"/>
            <w:shd w:val="clear" w:color="auto" w:fill="auto"/>
            <w:vAlign w:val="center"/>
          </w:tcPr>
          <w:p>
            <w:pPr>
              <w:pStyle w:val="35"/>
            </w:pPr>
            <w:r>
              <w:t>人口数（城市选项时）</w:t>
            </w:r>
          </w:p>
        </w:tc>
        <w:tc>
          <w:tcPr>
            <w:tcW w:w="1666" w:type="pct"/>
            <w:shd w:val="clear" w:color="auto" w:fill="auto"/>
            <w:vAlign w:val="center"/>
          </w:tcPr>
          <w:p>
            <w:pPr>
              <w:jc w:val="center"/>
              <w:rPr>
                <w:sz w:val="21"/>
                <w:szCs w:val="21"/>
              </w:rPr>
            </w:pPr>
            <w:r>
              <w:rPr>
                <w:sz w:val="21"/>
                <w:szCs w:val="21"/>
              </w:rPr>
              <w:t>30万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6135" w:type="dxa"/>
            <w:gridSpan w:val="2"/>
            <w:shd w:val="clear" w:color="auto" w:fill="auto"/>
            <w:vAlign w:val="center"/>
          </w:tcPr>
          <w:p>
            <w:pPr>
              <w:pStyle w:val="35"/>
            </w:pPr>
            <w:r>
              <w:t>最高环境温度</w:t>
            </w:r>
          </w:p>
        </w:tc>
        <w:tc>
          <w:tcPr>
            <w:tcW w:w="1666" w:type="pct"/>
            <w:shd w:val="clear" w:color="auto" w:fill="auto"/>
            <w:vAlign w:val="center"/>
          </w:tcPr>
          <w:p>
            <w:pPr>
              <w:pStyle w:val="35"/>
            </w:pPr>
            <w:r>
              <w:t>38.17℃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6135" w:type="dxa"/>
            <w:gridSpan w:val="2"/>
            <w:shd w:val="clear" w:color="auto" w:fill="auto"/>
            <w:vAlign w:val="center"/>
          </w:tcPr>
          <w:p>
            <w:pPr>
              <w:pStyle w:val="35"/>
            </w:pPr>
            <w:r>
              <w:t>最低环境温度</w:t>
            </w:r>
          </w:p>
        </w:tc>
        <w:tc>
          <w:tcPr>
            <w:tcW w:w="1666" w:type="pct"/>
            <w:shd w:val="clear" w:color="auto" w:fill="auto"/>
            <w:vAlign w:val="center"/>
          </w:tcPr>
          <w:p>
            <w:pPr>
              <w:pStyle w:val="35"/>
            </w:pPr>
            <w:r>
              <w:t>-13.32℃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6135" w:type="dxa"/>
            <w:gridSpan w:val="2"/>
            <w:shd w:val="clear" w:color="auto" w:fill="auto"/>
            <w:vAlign w:val="center"/>
          </w:tcPr>
          <w:p>
            <w:pPr>
              <w:pStyle w:val="35"/>
            </w:pPr>
            <w:r>
              <w:t>土地利用类型</w:t>
            </w:r>
          </w:p>
        </w:tc>
        <w:tc>
          <w:tcPr>
            <w:tcW w:w="1666" w:type="pct"/>
            <w:shd w:val="clear" w:color="auto" w:fill="auto"/>
            <w:vAlign w:val="center"/>
          </w:tcPr>
          <w:p>
            <w:pPr>
              <w:pStyle w:val="35"/>
            </w:pPr>
            <w:r>
              <w:t>农作地/城市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6135" w:type="dxa"/>
            <w:gridSpan w:val="2"/>
            <w:shd w:val="clear" w:color="auto" w:fill="auto"/>
            <w:vAlign w:val="center"/>
          </w:tcPr>
          <w:p>
            <w:pPr>
              <w:pStyle w:val="35"/>
            </w:pPr>
            <w:r>
              <w:t>区域湿度条件</w:t>
            </w:r>
          </w:p>
        </w:tc>
        <w:tc>
          <w:tcPr>
            <w:tcW w:w="1666" w:type="pct"/>
            <w:shd w:val="clear" w:color="auto" w:fill="auto"/>
            <w:vAlign w:val="center"/>
          </w:tcPr>
          <w:p>
            <w:pPr>
              <w:pStyle w:val="35"/>
            </w:pPr>
            <w:r>
              <w:t>中等湿度气候</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restart"/>
            <w:shd w:val="clear" w:color="auto" w:fill="auto"/>
            <w:vAlign w:val="center"/>
          </w:tcPr>
          <w:p>
            <w:pPr>
              <w:jc w:val="center"/>
              <w:rPr>
                <w:sz w:val="21"/>
                <w:szCs w:val="21"/>
              </w:rPr>
            </w:pPr>
            <w:r>
              <w:rPr>
                <w:sz w:val="21"/>
                <w:szCs w:val="21"/>
              </w:rPr>
              <w:t>是否考虑地形</w:t>
            </w:r>
          </w:p>
        </w:tc>
        <w:tc>
          <w:tcPr>
            <w:tcW w:w="1668" w:type="pct"/>
            <w:shd w:val="clear" w:color="auto" w:fill="auto"/>
            <w:vAlign w:val="center"/>
          </w:tcPr>
          <w:p>
            <w:pPr>
              <w:jc w:val="center"/>
              <w:rPr>
                <w:sz w:val="21"/>
                <w:szCs w:val="21"/>
              </w:rPr>
            </w:pPr>
            <w:r>
              <w:rPr>
                <w:sz w:val="21"/>
                <w:szCs w:val="21"/>
              </w:rPr>
              <w:t>考虑地形</w:t>
            </w:r>
          </w:p>
        </w:tc>
        <w:tc>
          <w:tcPr>
            <w:tcW w:w="1666" w:type="pct"/>
            <w:shd w:val="clear" w:color="auto" w:fill="auto"/>
            <w:vAlign w:val="center"/>
          </w:tcPr>
          <w:p>
            <w:pPr>
              <w:pStyle w:val="35"/>
            </w:pPr>
            <w:r>
              <w:t>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continue"/>
            <w:shd w:val="clear" w:color="auto" w:fill="auto"/>
            <w:vAlign w:val="center"/>
          </w:tcPr>
          <w:p>
            <w:pPr>
              <w:jc w:val="center"/>
              <w:rPr>
                <w:sz w:val="21"/>
                <w:szCs w:val="21"/>
              </w:rPr>
            </w:pPr>
          </w:p>
        </w:tc>
        <w:tc>
          <w:tcPr>
            <w:tcW w:w="1668" w:type="pct"/>
            <w:shd w:val="clear" w:color="auto" w:fill="auto"/>
            <w:vAlign w:val="center"/>
          </w:tcPr>
          <w:p>
            <w:pPr>
              <w:jc w:val="center"/>
              <w:rPr>
                <w:sz w:val="21"/>
                <w:szCs w:val="21"/>
              </w:rPr>
            </w:pPr>
            <w:r>
              <w:rPr>
                <w:sz w:val="21"/>
                <w:szCs w:val="21"/>
              </w:rPr>
              <w:t>地形数据分辨率/m</w:t>
            </w:r>
          </w:p>
        </w:tc>
        <w:tc>
          <w:tcPr>
            <w:tcW w:w="1666" w:type="pct"/>
            <w:shd w:val="clear" w:color="auto" w:fill="auto"/>
            <w:vAlign w:val="center"/>
          </w:tcPr>
          <w:p>
            <w:pPr>
              <w:pStyle w:val="35"/>
            </w:pPr>
            <w: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restart"/>
            <w:shd w:val="clear" w:color="auto" w:fill="auto"/>
            <w:vAlign w:val="center"/>
          </w:tcPr>
          <w:p>
            <w:pPr>
              <w:jc w:val="center"/>
              <w:rPr>
                <w:sz w:val="21"/>
                <w:szCs w:val="21"/>
              </w:rPr>
            </w:pPr>
            <w:r>
              <w:rPr>
                <w:sz w:val="21"/>
                <w:szCs w:val="21"/>
              </w:rPr>
              <w:t>是否考虑岸线熏烟</w:t>
            </w:r>
          </w:p>
        </w:tc>
        <w:tc>
          <w:tcPr>
            <w:tcW w:w="1668" w:type="pct"/>
            <w:shd w:val="clear" w:color="auto" w:fill="auto"/>
            <w:vAlign w:val="center"/>
          </w:tcPr>
          <w:p>
            <w:pPr>
              <w:jc w:val="center"/>
              <w:rPr>
                <w:sz w:val="21"/>
                <w:szCs w:val="21"/>
              </w:rPr>
            </w:pPr>
            <w:r>
              <w:rPr>
                <w:sz w:val="21"/>
                <w:szCs w:val="21"/>
              </w:rPr>
              <w:t>考虑岸线熏烟</w:t>
            </w:r>
          </w:p>
        </w:tc>
        <w:tc>
          <w:tcPr>
            <w:tcW w:w="1666" w:type="pct"/>
            <w:shd w:val="clear" w:color="auto" w:fill="auto"/>
            <w:vAlign w:val="center"/>
          </w:tcPr>
          <w:p>
            <w:pPr>
              <w:pStyle w:val="35"/>
            </w:pPr>
            <w:r>
              <w:t>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continue"/>
            <w:shd w:val="clear" w:color="auto" w:fill="auto"/>
            <w:vAlign w:val="center"/>
          </w:tcPr>
          <w:p>
            <w:pPr>
              <w:jc w:val="center"/>
              <w:rPr>
                <w:sz w:val="21"/>
                <w:szCs w:val="21"/>
              </w:rPr>
            </w:pPr>
          </w:p>
        </w:tc>
        <w:tc>
          <w:tcPr>
            <w:tcW w:w="1668" w:type="pct"/>
            <w:shd w:val="clear" w:color="auto" w:fill="auto"/>
            <w:vAlign w:val="center"/>
          </w:tcPr>
          <w:p>
            <w:pPr>
              <w:jc w:val="center"/>
              <w:rPr>
                <w:sz w:val="21"/>
                <w:szCs w:val="21"/>
              </w:rPr>
            </w:pPr>
            <w:r>
              <w:rPr>
                <w:sz w:val="21"/>
                <w:szCs w:val="21"/>
              </w:rPr>
              <w:t>岸线距离/km</w:t>
            </w:r>
          </w:p>
        </w:tc>
        <w:tc>
          <w:tcPr>
            <w:tcW w:w="1666" w:type="pct"/>
            <w:shd w:val="clear" w:color="auto" w:fill="auto"/>
            <w:vAlign w:val="center"/>
          </w:tcPr>
          <w:p>
            <w:pPr>
              <w:pStyle w:val="35"/>
            </w:pPr>
            <w: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65" w:type="pct"/>
            <w:vMerge w:val="continue"/>
            <w:shd w:val="clear" w:color="auto" w:fill="auto"/>
            <w:vAlign w:val="center"/>
          </w:tcPr>
          <w:p>
            <w:pPr>
              <w:jc w:val="center"/>
              <w:rPr>
                <w:sz w:val="21"/>
                <w:szCs w:val="21"/>
              </w:rPr>
            </w:pPr>
          </w:p>
        </w:tc>
        <w:tc>
          <w:tcPr>
            <w:tcW w:w="1668" w:type="pct"/>
            <w:shd w:val="clear" w:color="auto" w:fill="auto"/>
            <w:vAlign w:val="center"/>
          </w:tcPr>
          <w:p>
            <w:pPr>
              <w:jc w:val="center"/>
              <w:rPr>
                <w:sz w:val="21"/>
                <w:szCs w:val="21"/>
              </w:rPr>
            </w:pPr>
            <w:r>
              <w:rPr>
                <w:sz w:val="21"/>
                <w:szCs w:val="21"/>
              </w:rPr>
              <w:t>岸线方向/°</w:t>
            </w:r>
          </w:p>
        </w:tc>
        <w:tc>
          <w:tcPr>
            <w:tcW w:w="1666" w:type="pct"/>
            <w:shd w:val="clear" w:color="auto" w:fill="auto"/>
            <w:vAlign w:val="center"/>
          </w:tcPr>
          <w:p>
            <w:pPr>
              <w:pStyle w:val="35"/>
            </w:pPr>
            <w:r>
              <w:t>/</w:t>
            </w:r>
          </w:p>
        </w:tc>
      </w:tr>
    </w:tbl>
    <w:p>
      <w:pPr>
        <w:pStyle w:val="33"/>
      </w:pPr>
      <w:r>
        <w:t>5.1.3.2  确定评价等级</w:t>
      </w:r>
    </w:p>
    <w:p>
      <w:pPr>
        <w:pStyle w:val="27"/>
        <w:ind w:firstLine="560"/>
      </w:pPr>
      <w:r>
        <w:t>根据项目污染源初步调查结果，分别计算项目排放的主要污染物的最大地面空气质量浓度占标率P</w:t>
      </w:r>
      <w:r>
        <w:rPr>
          <w:vertAlign w:val="subscript"/>
        </w:rPr>
        <w:t>i</w:t>
      </w:r>
      <w:r>
        <w:t>（第i个污染物，简称“最大浓度占标率”），及第i个污染物的地面质量浓度达标准限值10%时所对应的最远距离D</w:t>
      </w:r>
      <w:r>
        <w:rPr>
          <w:vertAlign w:val="subscript"/>
        </w:rPr>
        <w:t>10%</w:t>
      </w:r>
      <w:r>
        <w:t>。其中P</w:t>
      </w:r>
      <w:r>
        <w:rPr>
          <w:vertAlign w:val="subscript"/>
        </w:rPr>
        <w:t>i</w:t>
      </w:r>
      <w:r>
        <w:t>定义为：</w:t>
      </w:r>
    </w:p>
    <w:p>
      <w:pPr>
        <w:pStyle w:val="27"/>
        <w:spacing w:line="240" w:lineRule="atLeast"/>
        <w:ind w:firstLine="0" w:firstLineChars="0"/>
        <w:jc w:val="center"/>
      </w:pPr>
      <w:r>
        <w:object>
          <v:shape id="_x0000_i1033" o:spt="75" type="#_x0000_t75" style="height:37.65pt;width:80.35pt;" o:ole="t" filled="f" o:preferrelative="t" stroked="f" coordsize="21600,21600">
            <v:path/>
            <v:fill on="f" focussize="0,0"/>
            <v:stroke on="f" joinstyle="miter"/>
            <v:imagedata r:id="rId27" o:title=""/>
            <o:lock v:ext="edit" aspectratio="t"/>
            <w10:wrap type="none"/>
            <w10:anchorlock/>
          </v:shape>
          <o:OLEObject Type="Embed" ProgID="Equation.3" ShapeID="_x0000_i1033" DrawAspect="Content" ObjectID="_1468075734" r:id="rId60">
            <o:LockedField>false</o:LockedField>
          </o:OLEObject>
        </w:object>
      </w:r>
    </w:p>
    <w:p>
      <w:pPr>
        <w:pStyle w:val="27"/>
        <w:ind w:firstLine="560"/>
      </w:pPr>
      <w:r>
        <w:t>式中：P</w:t>
      </w:r>
      <w:r>
        <w:rPr>
          <w:vertAlign w:val="subscript"/>
        </w:rPr>
        <w:t>i</w:t>
      </w:r>
      <w:r>
        <w:t>—第i 个污染物的最大地面质量浓度占标率，%；</w:t>
      </w:r>
    </w:p>
    <w:p>
      <w:pPr>
        <w:pStyle w:val="27"/>
        <w:ind w:firstLine="1400" w:firstLineChars="500"/>
      </w:pPr>
      <w:r>
        <w:t>C</w:t>
      </w:r>
      <w:r>
        <w:rPr>
          <w:vertAlign w:val="subscript"/>
        </w:rPr>
        <w:t>i</w:t>
      </w:r>
      <w:r>
        <w:t>—采用估算模式计算出的第i个污染物最大地面质量浓度，μg/m</w:t>
      </w:r>
      <w:r>
        <w:rPr>
          <w:vertAlign w:val="superscript"/>
        </w:rPr>
        <w:t>3</w:t>
      </w:r>
      <w:r>
        <w:t>；</w:t>
      </w:r>
    </w:p>
    <w:p>
      <w:pPr>
        <w:pStyle w:val="27"/>
        <w:ind w:firstLine="1400" w:firstLineChars="500"/>
      </w:pPr>
      <w:r>
        <w:t>C</w:t>
      </w:r>
      <w:r>
        <w:rPr>
          <w:vertAlign w:val="subscript"/>
        </w:rPr>
        <w:t>0i</w:t>
      </w:r>
      <w:r>
        <w:t>—第i个污染物的环境空气质量浓度标准，μg/m</w:t>
      </w:r>
      <w:r>
        <w:rPr>
          <w:vertAlign w:val="superscript"/>
        </w:rPr>
        <w:t>3</w:t>
      </w:r>
      <w:r>
        <w:t>。</w:t>
      </w:r>
    </w:p>
    <w:p>
      <w:pPr>
        <w:pStyle w:val="27"/>
        <w:ind w:firstLine="560"/>
      </w:pPr>
      <w:r>
        <w:t>一般选用GB 3095中1h平均质量浓度的二级浓度限值，如项目位于一类环境空气功能区，应选择相应的一级浓度值；对该标准中未包含的污染物，使用5.2确定各评价因子1h平均质量浓度限值。对仅有8h平均质量浓度限值、日平均质量浓度限值或年平均质量浓度限值的，可分别按2倍、3倍、6倍折算为1h平均质量浓度限值。</w:t>
      </w:r>
    </w:p>
    <w:p>
      <w:pPr>
        <w:pStyle w:val="27"/>
        <w:ind w:firstLine="560"/>
      </w:pPr>
      <w:r>
        <w:t>根据《环境影响评价技术导则 大气环境》（HJ2.2-2018），本项目大气环境评价工作等级判据见</w:t>
      </w:r>
      <w:r>
        <w:rPr>
          <w:rFonts w:hint="eastAsia"/>
        </w:rPr>
        <w:t>下</w:t>
      </w:r>
      <w:r>
        <w:t>表。</w:t>
      </w:r>
    </w:p>
    <w:p>
      <w:pPr>
        <w:pStyle w:val="32"/>
        <w:ind w:right="240"/>
      </w:pPr>
      <w:r>
        <w:t>表5.1-5                  气环境评价工作等级判据</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835"/>
        <w:gridCol w:w="6121"/>
      </w:tblGrid>
      <w:tr>
        <w:tblPrEx>
          <w:tblBorders>
            <w:top w:val="single" w:color="auto" w:sz="8" w:space="0"/>
            <w:left w:val="none" w:color="auto" w:sz="0" w:space="0"/>
            <w:bottom w:val="single" w:color="auto"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1583" w:type="pct"/>
            <w:tcMar>
              <w:top w:w="28" w:type="dxa"/>
              <w:bottom w:w="28" w:type="dxa"/>
            </w:tcMar>
            <w:vAlign w:val="center"/>
          </w:tcPr>
          <w:p>
            <w:pPr>
              <w:adjustRightInd w:val="0"/>
              <w:spacing w:line="320" w:lineRule="exact"/>
              <w:jc w:val="center"/>
              <w:rPr>
                <w:b/>
                <w:sz w:val="21"/>
                <w:szCs w:val="24"/>
              </w:rPr>
            </w:pPr>
            <w:r>
              <w:rPr>
                <w:b/>
                <w:sz w:val="21"/>
                <w:szCs w:val="24"/>
              </w:rPr>
              <w:t>评价工作等级</w:t>
            </w:r>
          </w:p>
        </w:tc>
        <w:tc>
          <w:tcPr>
            <w:tcW w:w="3417" w:type="pct"/>
            <w:tcMar>
              <w:top w:w="28" w:type="dxa"/>
              <w:bottom w:w="28" w:type="dxa"/>
            </w:tcMar>
            <w:vAlign w:val="center"/>
          </w:tcPr>
          <w:p>
            <w:pPr>
              <w:adjustRightInd w:val="0"/>
              <w:spacing w:line="320" w:lineRule="exact"/>
              <w:jc w:val="center"/>
              <w:rPr>
                <w:b/>
                <w:sz w:val="21"/>
                <w:szCs w:val="24"/>
              </w:rPr>
            </w:pPr>
            <w:r>
              <w:rPr>
                <w:b/>
                <w:sz w:val="21"/>
                <w:szCs w:val="24"/>
              </w:rPr>
              <w:t>评价工作分级判据</w:t>
            </w:r>
          </w:p>
        </w:tc>
      </w:tr>
      <w:tr>
        <w:tblPrEx>
          <w:tblBorders>
            <w:top w:val="single" w:color="auto" w:sz="8" w:space="0"/>
            <w:left w:val="none" w:color="auto" w:sz="0" w:space="0"/>
            <w:bottom w:val="single" w:color="auto"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1583" w:type="pct"/>
            <w:tcMar>
              <w:top w:w="28" w:type="dxa"/>
              <w:bottom w:w="28" w:type="dxa"/>
            </w:tcMar>
            <w:vAlign w:val="center"/>
          </w:tcPr>
          <w:p>
            <w:pPr>
              <w:adjustRightInd w:val="0"/>
              <w:spacing w:line="320" w:lineRule="exact"/>
              <w:jc w:val="center"/>
              <w:rPr>
                <w:sz w:val="21"/>
                <w:szCs w:val="24"/>
              </w:rPr>
            </w:pPr>
            <w:r>
              <w:rPr>
                <w:sz w:val="21"/>
                <w:szCs w:val="24"/>
              </w:rPr>
              <w:t>一级</w:t>
            </w:r>
          </w:p>
        </w:tc>
        <w:tc>
          <w:tcPr>
            <w:tcW w:w="3417" w:type="pct"/>
            <w:tcMar>
              <w:top w:w="28" w:type="dxa"/>
              <w:bottom w:w="28" w:type="dxa"/>
            </w:tcMar>
            <w:vAlign w:val="center"/>
          </w:tcPr>
          <w:p>
            <w:pPr>
              <w:adjustRightInd w:val="0"/>
              <w:spacing w:line="320" w:lineRule="exact"/>
              <w:jc w:val="center"/>
              <w:rPr>
                <w:iCs/>
                <w:sz w:val="21"/>
                <w:szCs w:val="24"/>
              </w:rPr>
            </w:pPr>
            <w:r>
              <w:rPr>
                <w:iCs/>
                <w:sz w:val="21"/>
                <w:szCs w:val="24"/>
              </w:rPr>
              <w:t>P</w:t>
            </w:r>
            <w:r>
              <w:rPr>
                <w:iCs/>
                <w:sz w:val="21"/>
                <w:szCs w:val="24"/>
                <w:vertAlign w:val="subscript"/>
              </w:rPr>
              <w:t>max</w:t>
            </w:r>
            <w:r>
              <w:rPr>
                <w:iCs/>
                <w:sz w:val="21"/>
                <w:szCs w:val="24"/>
              </w:rPr>
              <w:t>≥10%</w:t>
            </w:r>
          </w:p>
        </w:tc>
      </w:tr>
      <w:tr>
        <w:tblPrEx>
          <w:tblBorders>
            <w:top w:val="single" w:color="auto" w:sz="8" w:space="0"/>
            <w:left w:val="none" w:color="auto" w:sz="0" w:space="0"/>
            <w:bottom w:val="single" w:color="auto"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1583" w:type="pct"/>
            <w:tcMar>
              <w:top w:w="28" w:type="dxa"/>
              <w:bottom w:w="28" w:type="dxa"/>
            </w:tcMar>
            <w:vAlign w:val="center"/>
          </w:tcPr>
          <w:p>
            <w:pPr>
              <w:adjustRightInd w:val="0"/>
              <w:spacing w:line="320" w:lineRule="exact"/>
              <w:jc w:val="center"/>
              <w:rPr>
                <w:sz w:val="21"/>
                <w:szCs w:val="24"/>
              </w:rPr>
            </w:pPr>
            <w:r>
              <w:rPr>
                <w:sz w:val="21"/>
                <w:szCs w:val="24"/>
              </w:rPr>
              <w:t>二级</w:t>
            </w:r>
          </w:p>
        </w:tc>
        <w:tc>
          <w:tcPr>
            <w:tcW w:w="3417" w:type="pct"/>
            <w:tcMar>
              <w:top w:w="28" w:type="dxa"/>
              <w:bottom w:w="28" w:type="dxa"/>
            </w:tcMar>
            <w:vAlign w:val="center"/>
          </w:tcPr>
          <w:p>
            <w:pPr>
              <w:adjustRightInd w:val="0"/>
              <w:spacing w:line="320" w:lineRule="exact"/>
              <w:jc w:val="center"/>
              <w:rPr>
                <w:iCs/>
                <w:sz w:val="21"/>
                <w:szCs w:val="24"/>
              </w:rPr>
            </w:pPr>
            <w:r>
              <w:rPr>
                <w:iCs/>
                <w:sz w:val="21"/>
                <w:szCs w:val="24"/>
              </w:rPr>
              <w:t>1%≤P</w:t>
            </w:r>
            <w:r>
              <w:rPr>
                <w:iCs/>
                <w:sz w:val="21"/>
                <w:szCs w:val="24"/>
                <w:vertAlign w:val="subscript"/>
              </w:rPr>
              <w:t>max</w:t>
            </w:r>
            <w:r>
              <w:rPr>
                <w:iCs/>
                <w:sz w:val="21"/>
                <w:szCs w:val="24"/>
              </w:rPr>
              <w:t>＜10%</w:t>
            </w:r>
          </w:p>
        </w:tc>
      </w:tr>
      <w:tr>
        <w:tblPrEx>
          <w:tblBorders>
            <w:top w:val="single" w:color="auto" w:sz="8" w:space="0"/>
            <w:left w:val="none" w:color="auto" w:sz="0" w:space="0"/>
            <w:bottom w:val="single" w:color="auto"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1583" w:type="pct"/>
            <w:tcMar>
              <w:top w:w="28" w:type="dxa"/>
              <w:bottom w:w="28" w:type="dxa"/>
            </w:tcMar>
            <w:vAlign w:val="center"/>
          </w:tcPr>
          <w:p>
            <w:pPr>
              <w:adjustRightInd w:val="0"/>
              <w:spacing w:line="320" w:lineRule="exact"/>
              <w:jc w:val="center"/>
              <w:rPr>
                <w:sz w:val="21"/>
                <w:szCs w:val="24"/>
              </w:rPr>
            </w:pPr>
            <w:r>
              <w:rPr>
                <w:sz w:val="21"/>
                <w:szCs w:val="24"/>
              </w:rPr>
              <w:t>三级</w:t>
            </w:r>
          </w:p>
        </w:tc>
        <w:tc>
          <w:tcPr>
            <w:tcW w:w="3417" w:type="pct"/>
            <w:tcMar>
              <w:top w:w="28" w:type="dxa"/>
              <w:bottom w:w="28" w:type="dxa"/>
            </w:tcMar>
            <w:vAlign w:val="center"/>
          </w:tcPr>
          <w:p>
            <w:pPr>
              <w:adjustRightInd w:val="0"/>
              <w:spacing w:line="320" w:lineRule="exact"/>
              <w:jc w:val="center"/>
              <w:rPr>
                <w:iCs/>
                <w:sz w:val="21"/>
                <w:szCs w:val="24"/>
              </w:rPr>
            </w:pPr>
            <w:r>
              <w:rPr>
                <w:iCs/>
                <w:sz w:val="21"/>
                <w:szCs w:val="24"/>
              </w:rPr>
              <w:t>P</w:t>
            </w:r>
            <w:r>
              <w:rPr>
                <w:iCs/>
                <w:sz w:val="21"/>
                <w:szCs w:val="24"/>
                <w:vertAlign w:val="subscript"/>
              </w:rPr>
              <w:t>max</w:t>
            </w:r>
            <w:r>
              <w:rPr>
                <w:iCs/>
                <w:sz w:val="21"/>
                <w:szCs w:val="24"/>
              </w:rPr>
              <w:t xml:space="preserve">＜1% </w:t>
            </w:r>
          </w:p>
        </w:tc>
      </w:tr>
    </w:tbl>
    <w:p>
      <w:pPr>
        <w:pStyle w:val="27"/>
        <w:ind w:firstLine="560"/>
      </w:pPr>
      <w:r>
        <w:t>根据以上原则，采用估算模式计算本项目各废气污染源在复杂地形、全气象组合情况下的最大影响程度和最远影响范围，从而确定评价等级，计算结果见</w:t>
      </w:r>
      <w:r>
        <w:rPr>
          <w:rFonts w:hint="eastAsia"/>
        </w:rPr>
        <w:t>下</w:t>
      </w:r>
      <w:r>
        <w:t>表。</w:t>
      </w:r>
    </w:p>
    <w:p>
      <w:pPr>
        <w:pStyle w:val="32"/>
        <w:ind w:right="240"/>
      </w:pPr>
      <w:r>
        <w:t>表5.1-6                  估算模型计算结果表</w:t>
      </w:r>
    </w:p>
    <w:tbl>
      <w:tblPr>
        <w:tblStyle w:val="21"/>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79"/>
        <w:gridCol w:w="1582"/>
        <w:gridCol w:w="939"/>
        <w:gridCol w:w="1409"/>
        <w:gridCol w:w="1412"/>
        <w:gridCol w:w="937"/>
        <w:gridCol w:w="787"/>
        <w:gridCol w:w="8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602" w:type="pct"/>
            <w:vMerge w:val="restart"/>
            <w:shd w:val="clear" w:color="auto" w:fill="auto"/>
            <w:vAlign w:val="center"/>
          </w:tcPr>
          <w:p>
            <w:pPr>
              <w:adjustRightInd w:val="0"/>
              <w:snapToGrid w:val="0"/>
              <w:spacing w:line="260" w:lineRule="exact"/>
              <w:jc w:val="center"/>
              <w:rPr>
                <w:b/>
                <w:sz w:val="21"/>
                <w:szCs w:val="21"/>
              </w:rPr>
            </w:pPr>
            <w:r>
              <w:rPr>
                <w:b/>
                <w:sz w:val="21"/>
                <w:szCs w:val="21"/>
              </w:rPr>
              <w:t>污染类别</w:t>
            </w:r>
          </w:p>
        </w:tc>
        <w:tc>
          <w:tcPr>
            <w:tcW w:w="883" w:type="pct"/>
            <w:vMerge w:val="restart"/>
            <w:shd w:val="clear" w:color="auto" w:fill="auto"/>
            <w:vAlign w:val="center"/>
          </w:tcPr>
          <w:p>
            <w:pPr>
              <w:adjustRightInd w:val="0"/>
              <w:snapToGrid w:val="0"/>
              <w:spacing w:line="260" w:lineRule="exact"/>
              <w:jc w:val="center"/>
              <w:rPr>
                <w:b/>
                <w:sz w:val="21"/>
                <w:szCs w:val="21"/>
              </w:rPr>
            </w:pPr>
            <w:r>
              <w:rPr>
                <w:b/>
                <w:sz w:val="21"/>
                <w:szCs w:val="21"/>
              </w:rPr>
              <w:t>污染源</w:t>
            </w:r>
          </w:p>
        </w:tc>
        <w:tc>
          <w:tcPr>
            <w:tcW w:w="524" w:type="pct"/>
            <w:vMerge w:val="restart"/>
            <w:shd w:val="clear" w:color="auto" w:fill="auto"/>
            <w:vAlign w:val="center"/>
          </w:tcPr>
          <w:p>
            <w:pPr>
              <w:adjustRightInd w:val="0"/>
              <w:snapToGrid w:val="0"/>
              <w:spacing w:line="260" w:lineRule="exact"/>
              <w:jc w:val="center"/>
              <w:rPr>
                <w:b/>
                <w:sz w:val="21"/>
                <w:szCs w:val="21"/>
              </w:rPr>
            </w:pPr>
            <w:r>
              <w:rPr>
                <w:b/>
                <w:sz w:val="21"/>
                <w:szCs w:val="21"/>
              </w:rPr>
              <w:t>污染物</w:t>
            </w:r>
          </w:p>
          <w:p>
            <w:pPr>
              <w:adjustRightInd w:val="0"/>
              <w:snapToGrid w:val="0"/>
              <w:spacing w:line="260" w:lineRule="exact"/>
              <w:jc w:val="center"/>
              <w:rPr>
                <w:b/>
                <w:sz w:val="21"/>
                <w:szCs w:val="21"/>
              </w:rPr>
            </w:pPr>
            <w:r>
              <w:rPr>
                <w:b/>
                <w:sz w:val="21"/>
                <w:szCs w:val="21"/>
              </w:rPr>
              <w:t>类别</w:t>
            </w:r>
          </w:p>
        </w:tc>
        <w:tc>
          <w:tcPr>
            <w:tcW w:w="786" w:type="pct"/>
            <w:vMerge w:val="restart"/>
            <w:shd w:val="clear" w:color="auto" w:fill="auto"/>
            <w:vAlign w:val="center"/>
          </w:tcPr>
          <w:p>
            <w:pPr>
              <w:adjustRightInd w:val="0"/>
              <w:snapToGrid w:val="0"/>
              <w:spacing w:line="260" w:lineRule="exact"/>
              <w:jc w:val="center"/>
              <w:rPr>
                <w:b/>
                <w:sz w:val="21"/>
                <w:szCs w:val="21"/>
              </w:rPr>
            </w:pPr>
            <w:r>
              <w:rPr>
                <w:b/>
                <w:sz w:val="21"/>
                <w:szCs w:val="21"/>
              </w:rPr>
              <w:t>最大地面浓度下风距离（m）</w:t>
            </w:r>
          </w:p>
        </w:tc>
        <w:tc>
          <w:tcPr>
            <w:tcW w:w="788" w:type="pct"/>
            <w:vMerge w:val="restart"/>
            <w:vAlign w:val="center"/>
          </w:tcPr>
          <w:p>
            <w:pPr>
              <w:adjustRightInd w:val="0"/>
              <w:snapToGrid w:val="0"/>
              <w:spacing w:line="260" w:lineRule="exact"/>
              <w:jc w:val="center"/>
              <w:rPr>
                <w:b/>
                <w:sz w:val="21"/>
                <w:szCs w:val="21"/>
              </w:rPr>
            </w:pPr>
            <w:r>
              <w:rPr>
                <w:b/>
                <w:sz w:val="21"/>
                <w:szCs w:val="21"/>
              </w:rPr>
              <w:t>质量预测浓度（mg/m</w:t>
            </w:r>
            <w:r>
              <w:rPr>
                <w:b/>
                <w:sz w:val="21"/>
                <w:szCs w:val="21"/>
                <w:vertAlign w:val="superscript"/>
              </w:rPr>
              <w:t>3</w:t>
            </w:r>
            <w:r>
              <w:rPr>
                <w:b/>
                <w:sz w:val="21"/>
                <w:szCs w:val="21"/>
              </w:rPr>
              <w:t>）</w:t>
            </w:r>
          </w:p>
        </w:tc>
        <w:tc>
          <w:tcPr>
            <w:tcW w:w="962" w:type="pct"/>
            <w:gridSpan w:val="2"/>
            <w:vAlign w:val="center"/>
          </w:tcPr>
          <w:p>
            <w:pPr>
              <w:adjustRightInd w:val="0"/>
              <w:snapToGrid w:val="0"/>
              <w:spacing w:line="260" w:lineRule="exact"/>
              <w:jc w:val="center"/>
              <w:rPr>
                <w:b/>
                <w:sz w:val="21"/>
                <w:szCs w:val="21"/>
              </w:rPr>
            </w:pPr>
            <w:r>
              <w:rPr>
                <w:b/>
                <w:sz w:val="21"/>
                <w:szCs w:val="21"/>
              </w:rPr>
              <w:t>占标率 %</w:t>
            </w:r>
          </w:p>
        </w:tc>
        <w:tc>
          <w:tcPr>
            <w:tcW w:w="451" w:type="pct"/>
            <w:vMerge w:val="restart"/>
            <w:vAlign w:val="center"/>
          </w:tcPr>
          <w:p>
            <w:pPr>
              <w:adjustRightInd w:val="0"/>
              <w:snapToGrid w:val="0"/>
              <w:spacing w:line="260" w:lineRule="exact"/>
              <w:jc w:val="center"/>
              <w:rPr>
                <w:b/>
                <w:sz w:val="21"/>
                <w:szCs w:val="21"/>
              </w:rPr>
            </w:pPr>
            <w:r>
              <w:rPr>
                <w:b/>
                <w:sz w:val="21"/>
                <w:szCs w:val="21"/>
              </w:rPr>
              <w:t>评价</w:t>
            </w:r>
          </w:p>
          <w:p>
            <w:pPr>
              <w:adjustRightInd w:val="0"/>
              <w:snapToGrid w:val="0"/>
              <w:spacing w:line="260" w:lineRule="exact"/>
              <w:jc w:val="center"/>
              <w:rPr>
                <w:b/>
                <w:sz w:val="21"/>
                <w:szCs w:val="21"/>
              </w:rPr>
            </w:pPr>
            <w:r>
              <w:rPr>
                <w:b/>
                <w:sz w:val="21"/>
                <w:szCs w:val="21"/>
              </w:rPr>
              <w:t>等级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602" w:type="pct"/>
            <w:vMerge w:val="continue"/>
            <w:shd w:val="clear" w:color="auto" w:fill="auto"/>
            <w:vAlign w:val="center"/>
          </w:tcPr>
          <w:p>
            <w:pPr>
              <w:adjustRightInd w:val="0"/>
              <w:snapToGrid w:val="0"/>
              <w:spacing w:line="260" w:lineRule="exact"/>
              <w:jc w:val="center"/>
              <w:rPr>
                <w:sz w:val="21"/>
                <w:szCs w:val="21"/>
              </w:rPr>
            </w:pPr>
          </w:p>
        </w:tc>
        <w:tc>
          <w:tcPr>
            <w:tcW w:w="883" w:type="pct"/>
            <w:vMerge w:val="continue"/>
            <w:shd w:val="clear" w:color="auto" w:fill="auto"/>
            <w:vAlign w:val="center"/>
          </w:tcPr>
          <w:p>
            <w:pPr>
              <w:adjustRightInd w:val="0"/>
              <w:snapToGrid w:val="0"/>
              <w:spacing w:line="260" w:lineRule="exact"/>
              <w:jc w:val="center"/>
              <w:rPr>
                <w:sz w:val="21"/>
                <w:szCs w:val="21"/>
              </w:rPr>
            </w:pPr>
          </w:p>
        </w:tc>
        <w:tc>
          <w:tcPr>
            <w:tcW w:w="524" w:type="pct"/>
            <w:vMerge w:val="continue"/>
            <w:shd w:val="clear" w:color="auto" w:fill="auto"/>
            <w:vAlign w:val="center"/>
          </w:tcPr>
          <w:p>
            <w:pPr>
              <w:adjustRightInd w:val="0"/>
              <w:snapToGrid w:val="0"/>
              <w:spacing w:line="260" w:lineRule="exact"/>
              <w:jc w:val="center"/>
              <w:rPr>
                <w:sz w:val="21"/>
                <w:szCs w:val="21"/>
              </w:rPr>
            </w:pPr>
          </w:p>
        </w:tc>
        <w:tc>
          <w:tcPr>
            <w:tcW w:w="786" w:type="pct"/>
            <w:vMerge w:val="continue"/>
            <w:shd w:val="clear" w:color="auto" w:fill="auto"/>
            <w:vAlign w:val="center"/>
          </w:tcPr>
          <w:p>
            <w:pPr>
              <w:adjustRightInd w:val="0"/>
              <w:snapToGrid w:val="0"/>
              <w:spacing w:line="260" w:lineRule="exact"/>
              <w:jc w:val="center"/>
              <w:rPr>
                <w:sz w:val="21"/>
                <w:szCs w:val="21"/>
              </w:rPr>
            </w:pPr>
          </w:p>
        </w:tc>
        <w:tc>
          <w:tcPr>
            <w:tcW w:w="788" w:type="pct"/>
            <w:vMerge w:val="continue"/>
            <w:vAlign w:val="center"/>
          </w:tcPr>
          <w:p>
            <w:pPr>
              <w:adjustRightInd w:val="0"/>
              <w:snapToGrid w:val="0"/>
              <w:spacing w:line="260" w:lineRule="exact"/>
              <w:jc w:val="center"/>
              <w:rPr>
                <w:sz w:val="21"/>
                <w:szCs w:val="21"/>
              </w:rPr>
            </w:pPr>
          </w:p>
        </w:tc>
        <w:tc>
          <w:tcPr>
            <w:tcW w:w="523" w:type="pct"/>
            <w:vAlign w:val="center"/>
          </w:tcPr>
          <w:p>
            <w:pPr>
              <w:adjustRightInd w:val="0"/>
              <w:snapToGrid w:val="0"/>
              <w:spacing w:line="260" w:lineRule="exact"/>
              <w:jc w:val="center"/>
              <w:rPr>
                <w:b/>
                <w:sz w:val="21"/>
                <w:szCs w:val="21"/>
              </w:rPr>
            </w:pPr>
            <w:r>
              <w:rPr>
                <w:b/>
                <w:sz w:val="21"/>
                <w:szCs w:val="21"/>
              </w:rPr>
              <w:t>P</w:t>
            </w:r>
          </w:p>
        </w:tc>
        <w:tc>
          <w:tcPr>
            <w:tcW w:w="439" w:type="pct"/>
            <w:vAlign w:val="center"/>
          </w:tcPr>
          <w:p>
            <w:pPr>
              <w:adjustRightInd w:val="0"/>
              <w:snapToGrid w:val="0"/>
              <w:spacing w:line="260" w:lineRule="exact"/>
              <w:jc w:val="center"/>
              <w:rPr>
                <w:b/>
                <w:sz w:val="21"/>
                <w:szCs w:val="21"/>
              </w:rPr>
            </w:pPr>
            <w:r>
              <w:rPr>
                <w:b/>
                <w:sz w:val="21"/>
                <w:szCs w:val="21"/>
              </w:rPr>
              <w:t>P</w:t>
            </w:r>
            <w:r>
              <w:rPr>
                <w:b/>
                <w:sz w:val="21"/>
                <w:szCs w:val="21"/>
                <w:vertAlign w:val="subscript"/>
              </w:rPr>
              <w:t>max</w:t>
            </w:r>
          </w:p>
        </w:tc>
        <w:tc>
          <w:tcPr>
            <w:tcW w:w="451" w:type="pct"/>
            <w:vMerge w:val="continue"/>
            <w:vAlign w:val="center"/>
          </w:tcPr>
          <w:p>
            <w:pPr>
              <w:adjustRightInd w:val="0"/>
              <w:snapToGrid w:val="0"/>
              <w:spacing w:line="260" w:lineRule="exact"/>
              <w:jc w:val="center"/>
              <w:rPr>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02" w:type="pct"/>
            <w:shd w:val="clear" w:color="auto" w:fill="auto"/>
            <w:vAlign w:val="center"/>
          </w:tcPr>
          <w:p>
            <w:pPr>
              <w:adjustRightInd w:val="0"/>
              <w:snapToGrid w:val="0"/>
              <w:spacing w:line="260" w:lineRule="exact"/>
              <w:jc w:val="center"/>
              <w:rPr>
                <w:sz w:val="21"/>
                <w:szCs w:val="21"/>
              </w:rPr>
            </w:pPr>
            <w:r>
              <w:rPr>
                <w:sz w:val="21"/>
                <w:szCs w:val="21"/>
              </w:rPr>
              <w:t>有组织源</w:t>
            </w:r>
          </w:p>
        </w:tc>
        <w:tc>
          <w:tcPr>
            <w:tcW w:w="883" w:type="pct"/>
            <w:shd w:val="clear" w:color="auto" w:fill="auto"/>
            <w:vAlign w:val="center"/>
          </w:tcPr>
          <w:p>
            <w:pPr>
              <w:pStyle w:val="35"/>
            </w:pPr>
            <w:r>
              <w:t>G</w:t>
            </w:r>
            <w:r>
              <w:rPr>
                <w:vertAlign w:val="subscript"/>
              </w:rPr>
              <w:t>3</w:t>
            </w:r>
            <w:r>
              <w:t>真空泵尾气</w:t>
            </w:r>
          </w:p>
        </w:tc>
        <w:tc>
          <w:tcPr>
            <w:tcW w:w="524" w:type="pct"/>
            <w:shd w:val="clear" w:color="auto" w:fill="auto"/>
            <w:vAlign w:val="center"/>
          </w:tcPr>
          <w:p>
            <w:pPr>
              <w:adjustRightInd w:val="0"/>
              <w:snapToGrid w:val="0"/>
              <w:spacing w:line="260" w:lineRule="exact"/>
              <w:jc w:val="center"/>
              <w:rPr>
                <w:sz w:val="21"/>
                <w:szCs w:val="21"/>
              </w:rPr>
            </w:pPr>
            <w:r>
              <w:t>NMHC</w:t>
            </w:r>
          </w:p>
        </w:tc>
        <w:tc>
          <w:tcPr>
            <w:tcW w:w="786" w:type="pct"/>
            <w:shd w:val="clear" w:color="auto" w:fill="auto"/>
            <w:vAlign w:val="center"/>
          </w:tcPr>
          <w:p>
            <w:pPr>
              <w:adjustRightInd w:val="0"/>
              <w:snapToGrid w:val="0"/>
              <w:spacing w:line="260" w:lineRule="exact"/>
              <w:jc w:val="center"/>
              <w:rPr>
                <w:sz w:val="21"/>
                <w:szCs w:val="21"/>
              </w:rPr>
            </w:pPr>
            <w:r>
              <w:rPr>
                <w:sz w:val="21"/>
                <w:szCs w:val="21"/>
              </w:rPr>
              <w:t>97</w:t>
            </w:r>
          </w:p>
        </w:tc>
        <w:tc>
          <w:tcPr>
            <w:tcW w:w="788" w:type="pct"/>
            <w:vAlign w:val="center"/>
          </w:tcPr>
          <w:p>
            <w:pPr>
              <w:adjustRightInd w:val="0"/>
              <w:snapToGrid w:val="0"/>
              <w:spacing w:line="260" w:lineRule="exact"/>
              <w:jc w:val="center"/>
              <w:rPr>
                <w:sz w:val="21"/>
                <w:szCs w:val="21"/>
              </w:rPr>
            </w:pPr>
            <w:r>
              <w:rPr>
                <w:sz w:val="21"/>
                <w:szCs w:val="21"/>
              </w:rPr>
              <w:t>7.59E-04</w:t>
            </w:r>
          </w:p>
        </w:tc>
        <w:tc>
          <w:tcPr>
            <w:tcW w:w="523" w:type="pct"/>
            <w:vAlign w:val="center"/>
          </w:tcPr>
          <w:p>
            <w:pPr>
              <w:adjustRightInd w:val="0"/>
              <w:snapToGrid w:val="0"/>
              <w:spacing w:line="260" w:lineRule="exact"/>
              <w:jc w:val="center"/>
              <w:rPr>
                <w:sz w:val="21"/>
                <w:szCs w:val="21"/>
              </w:rPr>
            </w:pPr>
            <w:r>
              <w:rPr>
                <w:sz w:val="21"/>
                <w:szCs w:val="21"/>
              </w:rPr>
              <w:t>0.04</w:t>
            </w:r>
          </w:p>
        </w:tc>
        <w:tc>
          <w:tcPr>
            <w:tcW w:w="439" w:type="pct"/>
            <w:vMerge w:val="restart"/>
            <w:vAlign w:val="center"/>
          </w:tcPr>
          <w:p>
            <w:pPr>
              <w:adjustRightInd w:val="0"/>
              <w:snapToGrid w:val="0"/>
              <w:spacing w:line="260" w:lineRule="exact"/>
              <w:jc w:val="center"/>
              <w:rPr>
                <w:sz w:val="21"/>
                <w:szCs w:val="21"/>
              </w:rPr>
            </w:pPr>
            <w:r>
              <w:rPr>
                <w:sz w:val="21"/>
                <w:szCs w:val="21"/>
              </w:rPr>
              <w:t>0.92</w:t>
            </w:r>
          </w:p>
        </w:tc>
        <w:tc>
          <w:tcPr>
            <w:tcW w:w="451" w:type="pct"/>
            <w:vMerge w:val="restart"/>
            <w:vAlign w:val="center"/>
          </w:tcPr>
          <w:p>
            <w:pPr>
              <w:adjustRightInd w:val="0"/>
              <w:snapToGrid w:val="0"/>
              <w:spacing w:line="260" w:lineRule="exact"/>
              <w:jc w:val="center"/>
              <w:rPr>
                <w:sz w:val="21"/>
                <w:szCs w:val="21"/>
              </w:rPr>
            </w:pPr>
            <w:r>
              <w:rPr>
                <w:sz w:val="21"/>
                <w:szCs w:val="21"/>
              </w:rPr>
              <w:t>二级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602" w:type="pct"/>
            <w:shd w:val="clear" w:color="auto" w:fill="auto"/>
            <w:vAlign w:val="center"/>
          </w:tcPr>
          <w:p>
            <w:pPr>
              <w:adjustRightInd w:val="0"/>
              <w:snapToGrid w:val="0"/>
              <w:spacing w:line="260" w:lineRule="exact"/>
              <w:jc w:val="center"/>
              <w:rPr>
                <w:sz w:val="21"/>
                <w:szCs w:val="21"/>
              </w:rPr>
            </w:pPr>
            <w:r>
              <w:rPr>
                <w:sz w:val="21"/>
                <w:szCs w:val="21"/>
              </w:rPr>
              <w:t>无组织源</w:t>
            </w:r>
          </w:p>
        </w:tc>
        <w:tc>
          <w:tcPr>
            <w:tcW w:w="883" w:type="pct"/>
            <w:shd w:val="clear" w:color="auto" w:fill="auto"/>
            <w:vAlign w:val="center"/>
          </w:tcPr>
          <w:p>
            <w:pPr>
              <w:pStyle w:val="35"/>
            </w:pPr>
            <w:r>
              <w:t>g</w:t>
            </w:r>
            <w:r>
              <w:rPr>
                <w:vertAlign w:val="subscript"/>
              </w:rPr>
              <w:t>1</w:t>
            </w:r>
            <w:r>
              <w:t>无组织</w:t>
            </w:r>
          </w:p>
        </w:tc>
        <w:tc>
          <w:tcPr>
            <w:tcW w:w="524" w:type="pct"/>
            <w:tcBorders>
              <w:top w:val="single" w:color="auto" w:sz="4" w:space="0"/>
            </w:tcBorders>
            <w:shd w:val="clear" w:color="auto" w:fill="auto"/>
            <w:vAlign w:val="center"/>
          </w:tcPr>
          <w:p>
            <w:pPr>
              <w:adjustRightInd w:val="0"/>
              <w:snapToGrid w:val="0"/>
              <w:spacing w:line="260" w:lineRule="exact"/>
              <w:jc w:val="center"/>
              <w:rPr>
                <w:sz w:val="21"/>
                <w:szCs w:val="21"/>
              </w:rPr>
            </w:pPr>
            <w:r>
              <w:t>NMHC</w:t>
            </w:r>
          </w:p>
        </w:tc>
        <w:tc>
          <w:tcPr>
            <w:tcW w:w="786" w:type="pct"/>
            <w:tcBorders>
              <w:top w:val="single" w:color="auto" w:sz="4" w:space="0"/>
            </w:tcBorders>
            <w:shd w:val="clear" w:color="auto" w:fill="auto"/>
            <w:vAlign w:val="center"/>
          </w:tcPr>
          <w:p>
            <w:pPr>
              <w:adjustRightInd w:val="0"/>
              <w:snapToGrid w:val="0"/>
              <w:spacing w:line="260" w:lineRule="exact"/>
              <w:jc w:val="center"/>
              <w:rPr>
                <w:sz w:val="21"/>
                <w:szCs w:val="21"/>
              </w:rPr>
            </w:pPr>
            <w:r>
              <w:rPr>
                <w:sz w:val="21"/>
                <w:szCs w:val="21"/>
              </w:rPr>
              <w:t>60</w:t>
            </w:r>
          </w:p>
        </w:tc>
        <w:tc>
          <w:tcPr>
            <w:tcW w:w="788" w:type="pct"/>
            <w:tcBorders>
              <w:top w:val="single" w:color="auto" w:sz="4" w:space="0"/>
            </w:tcBorders>
            <w:vAlign w:val="center"/>
          </w:tcPr>
          <w:p>
            <w:pPr>
              <w:adjustRightInd w:val="0"/>
              <w:snapToGrid w:val="0"/>
              <w:spacing w:line="260" w:lineRule="exact"/>
              <w:jc w:val="center"/>
              <w:rPr>
                <w:sz w:val="21"/>
                <w:szCs w:val="21"/>
              </w:rPr>
            </w:pPr>
            <w:r>
              <w:rPr>
                <w:sz w:val="21"/>
                <w:szCs w:val="21"/>
              </w:rPr>
              <w:t>1.84E-02</w:t>
            </w:r>
          </w:p>
        </w:tc>
        <w:tc>
          <w:tcPr>
            <w:tcW w:w="523" w:type="pct"/>
            <w:tcBorders>
              <w:top w:val="single" w:color="auto" w:sz="4" w:space="0"/>
            </w:tcBorders>
            <w:vAlign w:val="center"/>
          </w:tcPr>
          <w:p>
            <w:pPr>
              <w:adjustRightInd w:val="0"/>
              <w:snapToGrid w:val="0"/>
              <w:spacing w:line="260" w:lineRule="exact"/>
              <w:jc w:val="center"/>
              <w:rPr>
                <w:sz w:val="21"/>
                <w:szCs w:val="21"/>
              </w:rPr>
            </w:pPr>
            <w:r>
              <w:rPr>
                <w:sz w:val="21"/>
                <w:szCs w:val="21"/>
              </w:rPr>
              <w:t>0.92</w:t>
            </w:r>
          </w:p>
        </w:tc>
        <w:tc>
          <w:tcPr>
            <w:tcW w:w="439" w:type="pct"/>
            <w:vMerge w:val="continue"/>
            <w:vAlign w:val="center"/>
          </w:tcPr>
          <w:p>
            <w:pPr>
              <w:adjustRightInd w:val="0"/>
              <w:snapToGrid w:val="0"/>
              <w:spacing w:line="260" w:lineRule="exact"/>
              <w:jc w:val="center"/>
              <w:rPr>
                <w:sz w:val="21"/>
                <w:szCs w:val="21"/>
              </w:rPr>
            </w:pPr>
          </w:p>
        </w:tc>
        <w:tc>
          <w:tcPr>
            <w:tcW w:w="451" w:type="pct"/>
            <w:vMerge w:val="continue"/>
            <w:vAlign w:val="center"/>
          </w:tcPr>
          <w:p>
            <w:pPr>
              <w:adjustRightInd w:val="0"/>
              <w:snapToGrid w:val="0"/>
              <w:spacing w:line="260" w:lineRule="exact"/>
              <w:jc w:val="center"/>
              <w:rPr>
                <w:sz w:val="21"/>
                <w:szCs w:val="21"/>
              </w:rPr>
            </w:pPr>
          </w:p>
        </w:tc>
      </w:tr>
    </w:tbl>
    <w:p>
      <w:pPr>
        <w:pStyle w:val="27"/>
        <w:ind w:firstLine="560"/>
      </w:pPr>
      <w:r>
        <w:t>由表5.1-6可知，本项目P</w:t>
      </w:r>
      <w:r>
        <w:rPr>
          <w:vertAlign w:val="subscript"/>
        </w:rPr>
        <w:t>max</w:t>
      </w:r>
      <w:r>
        <w:t>=0.92%（</w:t>
      </w:r>
      <w:r>
        <w:rPr>
          <w:szCs w:val="21"/>
        </w:rPr>
        <w:t>g</w:t>
      </w:r>
      <w:r>
        <w:rPr>
          <w:szCs w:val="21"/>
          <w:vertAlign w:val="subscript"/>
        </w:rPr>
        <w:t>1</w:t>
      </w:r>
      <w:r>
        <w:rPr>
          <w:szCs w:val="21"/>
        </w:rPr>
        <w:t>无组织</w:t>
      </w:r>
      <w:r>
        <w:t>）&lt;1%。根据HJ2.2-2018规定，对电力、钢铁、水泥、石化、化工、平板玻璃、有色等高耗能行业的多源项目或以使用高污染燃料为主的多源项目，并且编制环境影响报告书的项目评价等级提高一级。因此本项目大气影响评价工作等级为二级。</w:t>
      </w:r>
    </w:p>
    <w:p>
      <w:pPr>
        <w:pStyle w:val="27"/>
        <w:ind w:firstLine="560"/>
      </w:pPr>
      <w:r>
        <w:t>根据《环境影响评价技术导则 大气环境》（HJ2.2-2018），二级评价项目不进行进一步预测，只对污染物排放量进行核算。因此，不再开展进一步预测。</w:t>
      </w:r>
    </w:p>
    <w:p>
      <w:pPr>
        <w:pStyle w:val="33"/>
      </w:pPr>
      <w:r>
        <w:t>5.1.2.3  确定评价范围</w:t>
      </w:r>
    </w:p>
    <w:p>
      <w:pPr>
        <w:pStyle w:val="27"/>
        <w:ind w:firstLine="560"/>
      </w:pPr>
      <w:r>
        <w:t>根据HJ2.2-2018规定，二级评价项目大气环境影响评价范围边长取5km。考虑本项目的污染源特征，当地的地形特征、周边敏感点分布以及中原大化厂界线具体情况，确定本项目大气评价范围为以尾气吸收塔烟囱为中心（原点），从厂界四边向东、西、南、北方向各至2.5km。</w:t>
      </w:r>
    </w:p>
    <w:p>
      <w:pPr>
        <w:pStyle w:val="5"/>
        <w:spacing w:before="0" w:after="0" w:line="520" w:lineRule="exact"/>
        <w:jc w:val="left"/>
        <w:rPr>
          <w:rFonts w:eastAsia="楷体_GB2312"/>
          <w:bCs/>
          <w:kern w:val="0"/>
          <w:sz w:val="28"/>
          <w:szCs w:val="32"/>
        </w:rPr>
      </w:pPr>
      <w:r>
        <w:rPr>
          <w:rFonts w:eastAsia="楷体_GB2312"/>
          <w:bCs/>
          <w:kern w:val="0"/>
          <w:sz w:val="28"/>
          <w:szCs w:val="32"/>
        </w:rPr>
        <w:t>5.1.4  无组织源厂界达标排放分析</w:t>
      </w:r>
    </w:p>
    <w:p>
      <w:pPr>
        <w:pStyle w:val="64"/>
        <w:ind w:firstLine="560"/>
        <w:rPr>
          <w:rFonts w:cs="Times New Roman"/>
        </w:rPr>
      </w:pPr>
      <w:r>
        <w:rPr>
          <w:rFonts w:cs="Times New Roman"/>
        </w:rPr>
        <w:t>无组织排放厂界浓度预测算结果见下表。</w:t>
      </w:r>
    </w:p>
    <w:p>
      <w:pPr>
        <w:pStyle w:val="32"/>
        <w:ind w:right="240"/>
      </w:pPr>
      <w:r>
        <w:t>表5.1-7           无组织排放厂界浓度预测结果</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36"/>
        <w:gridCol w:w="1390"/>
        <w:gridCol w:w="1390"/>
        <w:gridCol w:w="1390"/>
        <w:gridCol w:w="1390"/>
        <w:gridCol w:w="225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634" w:type="pct"/>
            <w:shd w:val="clear" w:color="auto" w:fill="auto"/>
            <w:vAlign w:val="center"/>
          </w:tcPr>
          <w:p>
            <w:pPr>
              <w:pStyle w:val="63"/>
              <w:rPr>
                <w:b/>
                <w:bCs/>
              </w:rPr>
            </w:pPr>
            <w:r>
              <w:rPr>
                <w:b/>
                <w:bCs/>
              </w:rPr>
              <w:t>污染物</w:t>
            </w:r>
          </w:p>
        </w:tc>
        <w:tc>
          <w:tcPr>
            <w:tcW w:w="776" w:type="pct"/>
            <w:shd w:val="clear" w:color="auto" w:fill="auto"/>
            <w:vAlign w:val="center"/>
          </w:tcPr>
          <w:p>
            <w:pPr>
              <w:pStyle w:val="63"/>
              <w:rPr>
                <w:b/>
                <w:bCs/>
              </w:rPr>
            </w:pPr>
            <w:r>
              <w:rPr>
                <w:b/>
                <w:bCs/>
              </w:rPr>
              <w:t>北厂界</w:t>
            </w:r>
          </w:p>
          <w:p>
            <w:pPr>
              <w:pStyle w:val="63"/>
              <w:rPr>
                <w:b/>
                <w:bCs/>
              </w:rPr>
            </w:pPr>
            <w:r>
              <w:rPr>
                <w:b/>
                <w:bCs/>
              </w:rPr>
              <w:t>mg/m</w:t>
            </w:r>
            <w:r>
              <w:rPr>
                <w:b/>
                <w:bCs/>
                <w:vertAlign w:val="superscript"/>
              </w:rPr>
              <w:t>3</w:t>
            </w:r>
          </w:p>
        </w:tc>
        <w:tc>
          <w:tcPr>
            <w:tcW w:w="776" w:type="pct"/>
            <w:shd w:val="clear" w:color="auto" w:fill="auto"/>
            <w:vAlign w:val="center"/>
          </w:tcPr>
          <w:p>
            <w:pPr>
              <w:pStyle w:val="63"/>
              <w:rPr>
                <w:b/>
                <w:bCs/>
              </w:rPr>
            </w:pPr>
            <w:r>
              <w:rPr>
                <w:b/>
                <w:bCs/>
              </w:rPr>
              <w:t>东厂界</w:t>
            </w:r>
          </w:p>
          <w:p>
            <w:pPr>
              <w:pStyle w:val="63"/>
              <w:rPr>
                <w:b/>
                <w:bCs/>
              </w:rPr>
            </w:pPr>
            <w:r>
              <w:rPr>
                <w:b/>
                <w:bCs/>
              </w:rPr>
              <w:t>mg/m</w:t>
            </w:r>
            <w:r>
              <w:rPr>
                <w:b/>
                <w:bCs/>
                <w:vertAlign w:val="superscript"/>
              </w:rPr>
              <w:t>3</w:t>
            </w:r>
          </w:p>
        </w:tc>
        <w:tc>
          <w:tcPr>
            <w:tcW w:w="776" w:type="pct"/>
            <w:shd w:val="clear" w:color="auto" w:fill="auto"/>
            <w:vAlign w:val="center"/>
          </w:tcPr>
          <w:p>
            <w:pPr>
              <w:pStyle w:val="63"/>
              <w:rPr>
                <w:b/>
                <w:bCs/>
              </w:rPr>
            </w:pPr>
            <w:r>
              <w:rPr>
                <w:b/>
                <w:bCs/>
              </w:rPr>
              <w:t>南厂界</w:t>
            </w:r>
          </w:p>
          <w:p>
            <w:pPr>
              <w:pStyle w:val="63"/>
              <w:rPr>
                <w:b/>
                <w:bCs/>
              </w:rPr>
            </w:pPr>
            <w:r>
              <w:rPr>
                <w:b/>
                <w:bCs/>
              </w:rPr>
              <w:t>mg/m</w:t>
            </w:r>
            <w:r>
              <w:rPr>
                <w:b/>
                <w:bCs/>
                <w:vertAlign w:val="superscript"/>
              </w:rPr>
              <w:t>3</w:t>
            </w:r>
          </w:p>
        </w:tc>
        <w:tc>
          <w:tcPr>
            <w:tcW w:w="776" w:type="pct"/>
            <w:shd w:val="clear" w:color="auto" w:fill="auto"/>
            <w:vAlign w:val="center"/>
          </w:tcPr>
          <w:p>
            <w:pPr>
              <w:pStyle w:val="63"/>
              <w:rPr>
                <w:b/>
                <w:bCs/>
              </w:rPr>
            </w:pPr>
            <w:r>
              <w:rPr>
                <w:b/>
                <w:bCs/>
              </w:rPr>
              <w:t>西厂界</w:t>
            </w:r>
          </w:p>
          <w:p>
            <w:pPr>
              <w:pStyle w:val="63"/>
              <w:rPr>
                <w:b/>
                <w:bCs/>
              </w:rPr>
            </w:pPr>
            <w:r>
              <w:rPr>
                <w:b/>
                <w:bCs/>
              </w:rPr>
              <w:t>mg/m</w:t>
            </w:r>
            <w:r>
              <w:rPr>
                <w:b/>
                <w:bCs/>
                <w:vertAlign w:val="superscript"/>
              </w:rPr>
              <w:t>3</w:t>
            </w:r>
          </w:p>
        </w:tc>
        <w:tc>
          <w:tcPr>
            <w:tcW w:w="1260" w:type="pct"/>
            <w:shd w:val="clear" w:color="auto" w:fill="auto"/>
            <w:vAlign w:val="center"/>
          </w:tcPr>
          <w:p>
            <w:pPr>
              <w:pStyle w:val="63"/>
              <w:rPr>
                <w:b/>
                <w:bCs/>
              </w:rPr>
            </w:pPr>
            <w:r>
              <w:rPr>
                <w:b/>
                <w:bCs/>
              </w:rPr>
              <w:t>厂界监控浓度</w:t>
            </w:r>
          </w:p>
          <w:p>
            <w:pPr>
              <w:pStyle w:val="63"/>
              <w:rPr>
                <w:b/>
                <w:bCs/>
              </w:rPr>
            </w:pPr>
            <w:r>
              <w:rPr>
                <w:b/>
                <w:bCs/>
              </w:rPr>
              <w:t>限值mg/m</w:t>
            </w:r>
            <w:r>
              <w:rPr>
                <w:b/>
                <w:bCs/>
                <w:vertAlign w:val="superscript"/>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634" w:type="pct"/>
            <w:shd w:val="clear" w:color="auto" w:fill="auto"/>
            <w:vAlign w:val="center"/>
          </w:tcPr>
          <w:p>
            <w:pPr>
              <w:pStyle w:val="35"/>
            </w:pPr>
            <w:r>
              <w:rPr>
                <w:szCs w:val="21"/>
              </w:rPr>
              <w:t>NMHC</w:t>
            </w:r>
          </w:p>
        </w:tc>
        <w:tc>
          <w:tcPr>
            <w:tcW w:w="776" w:type="pct"/>
            <w:shd w:val="clear" w:color="auto" w:fill="auto"/>
            <w:vAlign w:val="center"/>
          </w:tcPr>
          <w:p>
            <w:pPr>
              <w:pStyle w:val="63"/>
              <w:rPr>
                <w:szCs w:val="21"/>
              </w:rPr>
            </w:pPr>
            <w:r>
              <w:rPr>
                <w:szCs w:val="21"/>
              </w:rPr>
              <w:t>4.40E-03</w:t>
            </w:r>
          </w:p>
        </w:tc>
        <w:tc>
          <w:tcPr>
            <w:tcW w:w="776" w:type="pct"/>
            <w:shd w:val="clear" w:color="auto" w:fill="auto"/>
            <w:vAlign w:val="center"/>
          </w:tcPr>
          <w:p>
            <w:pPr>
              <w:pStyle w:val="63"/>
              <w:rPr>
                <w:szCs w:val="21"/>
              </w:rPr>
            </w:pPr>
            <w:r>
              <w:rPr>
                <w:szCs w:val="21"/>
              </w:rPr>
              <w:t>2.35E-03</w:t>
            </w:r>
          </w:p>
        </w:tc>
        <w:tc>
          <w:tcPr>
            <w:tcW w:w="776" w:type="pct"/>
            <w:shd w:val="clear" w:color="auto" w:fill="auto"/>
            <w:vAlign w:val="center"/>
          </w:tcPr>
          <w:p>
            <w:pPr>
              <w:pStyle w:val="63"/>
              <w:rPr>
                <w:szCs w:val="21"/>
              </w:rPr>
            </w:pPr>
            <w:r>
              <w:rPr>
                <w:szCs w:val="21"/>
              </w:rPr>
              <w:t>1.10E-02</w:t>
            </w:r>
          </w:p>
        </w:tc>
        <w:tc>
          <w:tcPr>
            <w:tcW w:w="776" w:type="pct"/>
            <w:shd w:val="clear" w:color="auto" w:fill="auto"/>
            <w:vAlign w:val="center"/>
          </w:tcPr>
          <w:p>
            <w:pPr>
              <w:pStyle w:val="63"/>
            </w:pPr>
            <w:r>
              <w:t>9.39E-03</w:t>
            </w:r>
          </w:p>
        </w:tc>
        <w:tc>
          <w:tcPr>
            <w:tcW w:w="1260" w:type="pct"/>
            <w:shd w:val="clear" w:color="auto" w:fill="auto"/>
            <w:vAlign w:val="center"/>
          </w:tcPr>
          <w:p>
            <w:pPr>
              <w:pStyle w:val="63"/>
            </w:pPr>
            <w:r>
              <w:t>2.0</w:t>
            </w:r>
          </w:p>
        </w:tc>
      </w:tr>
    </w:tbl>
    <w:p>
      <w:pPr>
        <w:pStyle w:val="27"/>
        <w:ind w:firstLine="560"/>
      </w:pPr>
      <w:r>
        <w:t>由上表可知，本项目无组织排放的NMHC在各厂界均满足厂界监控浓度限值。</w:t>
      </w:r>
    </w:p>
    <w:p>
      <w:pPr>
        <w:pStyle w:val="5"/>
        <w:spacing w:before="0" w:after="0" w:line="520" w:lineRule="exact"/>
        <w:jc w:val="left"/>
        <w:rPr>
          <w:rFonts w:eastAsia="楷体_GB2312"/>
          <w:bCs/>
          <w:kern w:val="0"/>
          <w:sz w:val="28"/>
          <w:szCs w:val="32"/>
        </w:rPr>
      </w:pPr>
      <w:r>
        <w:rPr>
          <w:rFonts w:eastAsia="楷体_GB2312"/>
          <w:bCs/>
          <w:kern w:val="0"/>
          <w:sz w:val="28"/>
          <w:szCs w:val="32"/>
        </w:rPr>
        <w:t>5.1.5  防护距离</w:t>
      </w:r>
    </w:p>
    <w:p>
      <w:pPr>
        <w:pStyle w:val="27"/>
        <w:ind w:firstLine="560"/>
      </w:pPr>
      <w:r>
        <w:t>本项目大气环境影响评价等级为二级，根据《环境影响评价技术导则 大气环境》（HJ2.2-2018），不需要进行大气环境影响预测，因此无须设置大气环境防护距离。</w:t>
      </w:r>
    </w:p>
    <w:p>
      <w:pPr>
        <w:pStyle w:val="5"/>
        <w:spacing w:before="0" w:after="0" w:line="520" w:lineRule="exact"/>
        <w:jc w:val="left"/>
        <w:rPr>
          <w:rFonts w:eastAsia="楷体_GB2312"/>
          <w:bCs/>
          <w:kern w:val="0"/>
          <w:sz w:val="28"/>
          <w:szCs w:val="32"/>
        </w:rPr>
      </w:pPr>
      <w:r>
        <w:rPr>
          <w:rFonts w:eastAsia="楷体_GB2312"/>
          <w:bCs/>
          <w:kern w:val="0"/>
          <w:sz w:val="28"/>
          <w:szCs w:val="32"/>
        </w:rPr>
        <w:t>5.1.6  大气污染物排放总量核算</w:t>
      </w:r>
    </w:p>
    <w:p>
      <w:pPr>
        <w:pStyle w:val="27"/>
        <w:ind w:firstLine="560"/>
      </w:pPr>
      <w:r>
        <w:t>本项目污染物排放量核算见下表。</w:t>
      </w:r>
    </w:p>
    <w:p>
      <w:pPr>
        <w:pStyle w:val="32"/>
        <w:tabs>
          <w:tab w:val="clear" w:pos="900"/>
        </w:tabs>
        <w:ind w:right="240"/>
      </w:pPr>
      <w:r>
        <w:t>表5.1-8             大气污染物有组织排放量核算表</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700"/>
        <w:gridCol w:w="1685"/>
        <w:gridCol w:w="2020"/>
        <w:gridCol w:w="1560"/>
        <w:gridCol w:w="155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55" w:type="pct"/>
            <w:vAlign w:val="center"/>
          </w:tcPr>
          <w:p>
            <w:pPr>
              <w:pStyle w:val="35"/>
              <w:rPr>
                <w:b/>
                <w:bCs/>
              </w:rPr>
            </w:pPr>
            <w:r>
              <w:rPr>
                <w:b/>
                <w:bCs/>
              </w:rPr>
              <w:t>序号</w:t>
            </w:r>
          </w:p>
        </w:tc>
        <w:tc>
          <w:tcPr>
            <w:tcW w:w="927" w:type="pct"/>
            <w:vAlign w:val="center"/>
          </w:tcPr>
          <w:p>
            <w:pPr>
              <w:pStyle w:val="35"/>
              <w:rPr>
                <w:b/>
                <w:bCs/>
              </w:rPr>
            </w:pPr>
            <w:r>
              <w:rPr>
                <w:b/>
                <w:bCs/>
              </w:rPr>
              <w:t>排放口编号</w:t>
            </w:r>
          </w:p>
        </w:tc>
        <w:tc>
          <w:tcPr>
            <w:tcW w:w="919" w:type="pct"/>
            <w:vAlign w:val="center"/>
          </w:tcPr>
          <w:p>
            <w:pPr>
              <w:pStyle w:val="35"/>
              <w:rPr>
                <w:b/>
                <w:bCs/>
              </w:rPr>
            </w:pPr>
            <w:r>
              <w:rPr>
                <w:b/>
                <w:bCs/>
              </w:rPr>
              <w:t>污染物</w:t>
            </w:r>
          </w:p>
        </w:tc>
        <w:tc>
          <w:tcPr>
            <w:tcW w:w="1102" w:type="pct"/>
            <w:vAlign w:val="center"/>
          </w:tcPr>
          <w:p>
            <w:pPr>
              <w:pStyle w:val="35"/>
              <w:rPr>
                <w:b/>
                <w:bCs/>
              </w:rPr>
            </w:pPr>
            <w:r>
              <w:rPr>
                <w:b/>
                <w:bCs/>
              </w:rPr>
              <w:t>核算排放浓度/（μg/m</w:t>
            </w:r>
            <w:r>
              <w:rPr>
                <w:b/>
                <w:bCs/>
                <w:vertAlign w:val="superscript"/>
              </w:rPr>
              <w:t>3</w:t>
            </w:r>
            <w:r>
              <w:rPr>
                <w:b/>
                <w:bCs/>
              </w:rPr>
              <w:t>）</w:t>
            </w:r>
          </w:p>
        </w:tc>
        <w:tc>
          <w:tcPr>
            <w:tcW w:w="849" w:type="pct"/>
            <w:vAlign w:val="center"/>
          </w:tcPr>
          <w:p>
            <w:pPr>
              <w:pStyle w:val="35"/>
              <w:rPr>
                <w:b/>
                <w:bCs/>
              </w:rPr>
            </w:pPr>
            <w:r>
              <w:rPr>
                <w:b/>
                <w:bCs/>
              </w:rPr>
              <w:t>核算排放速率/（kg/h）</w:t>
            </w:r>
          </w:p>
        </w:tc>
        <w:tc>
          <w:tcPr>
            <w:tcW w:w="844" w:type="pct"/>
            <w:vAlign w:val="center"/>
          </w:tcPr>
          <w:p>
            <w:pPr>
              <w:pStyle w:val="35"/>
              <w:rPr>
                <w:b/>
                <w:bCs/>
              </w:rPr>
            </w:pPr>
            <w:r>
              <w:rPr>
                <w:b/>
                <w:bCs/>
              </w:rPr>
              <w:t>核算年排放/（t/a）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6"/>
            <w:vAlign w:val="center"/>
          </w:tcPr>
          <w:p>
            <w:pPr>
              <w:pStyle w:val="35"/>
            </w:pPr>
            <w:r>
              <w:t>主要排放口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55" w:type="pct"/>
            <w:vAlign w:val="center"/>
          </w:tcPr>
          <w:p>
            <w:pPr>
              <w:pStyle w:val="35"/>
            </w:pPr>
            <w:r>
              <w:t>1</w:t>
            </w:r>
          </w:p>
        </w:tc>
        <w:tc>
          <w:tcPr>
            <w:tcW w:w="927" w:type="pct"/>
            <w:vAlign w:val="center"/>
          </w:tcPr>
          <w:p>
            <w:pPr>
              <w:pStyle w:val="35"/>
            </w:pPr>
            <w:r>
              <w:t>G</w:t>
            </w:r>
            <w:r>
              <w:rPr>
                <w:vertAlign w:val="subscript"/>
              </w:rPr>
              <w:t>3</w:t>
            </w:r>
            <w:r>
              <w:t>真空泵尾气</w:t>
            </w:r>
          </w:p>
        </w:tc>
        <w:tc>
          <w:tcPr>
            <w:tcW w:w="919" w:type="pct"/>
            <w:vAlign w:val="center"/>
          </w:tcPr>
          <w:p>
            <w:pPr>
              <w:pStyle w:val="35"/>
            </w:pPr>
            <w:r>
              <w:t>NMHC</w:t>
            </w:r>
          </w:p>
        </w:tc>
        <w:tc>
          <w:tcPr>
            <w:tcW w:w="1102" w:type="pct"/>
            <w:vAlign w:val="center"/>
          </w:tcPr>
          <w:p>
            <w:pPr>
              <w:pStyle w:val="35"/>
            </w:pPr>
            <w:r>
              <w:t>6.01×10</w:t>
            </w:r>
            <w:r>
              <w:rPr>
                <w:vertAlign w:val="superscript"/>
              </w:rPr>
              <w:t>4</w:t>
            </w:r>
          </w:p>
        </w:tc>
        <w:tc>
          <w:tcPr>
            <w:tcW w:w="849" w:type="pct"/>
            <w:vAlign w:val="center"/>
          </w:tcPr>
          <w:p>
            <w:pPr>
              <w:pStyle w:val="35"/>
            </w:pPr>
            <w:r>
              <w:t>6.01×10</w:t>
            </w:r>
            <w:r>
              <w:rPr>
                <w:vertAlign w:val="superscript"/>
              </w:rPr>
              <w:t>-3</w:t>
            </w:r>
          </w:p>
        </w:tc>
        <w:tc>
          <w:tcPr>
            <w:tcW w:w="844" w:type="pct"/>
            <w:vAlign w:val="center"/>
          </w:tcPr>
          <w:p>
            <w:pPr>
              <w:pStyle w:val="35"/>
            </w:pPr>
            <w:r>
              <w:t>0.048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pct"/>
            <w:gridSpan w:val="2"/>
            <w:vAlign w:val="center"/>
          </w:tcPr>
          <w:p>
            <w:pPr>
              <w:pStyle w:val="35"/>
            </w:pPr>
            <w:r>
              <w:t>主要排放口合计</w:t>
            </w:r>
          </w:p>
        </w:tc>
        <w:tc>
          <w:tcPr>
            <w:tcW w:w="2872" w:type="pct"/>
            <w:gridSpan w:val="3"/>
            <w:vAlign w:val="center"/>
          </w:tcPr>
          <w:p>
            <w:pPr>
              <w:pStyle w:val="35"/>
            </w:pPr>
            <w:r>
              <w:t>NMHC</w:t>
            </w:r>
          </w:p>
        </w:tc>
        <w:tc>
          <w:tcPr>
            <w:tcW w:w="844" w:type="pct"/>
            <w:vAlign w:val="center"/>
          </w:tcPr>
          <w:p>
            <w:pPr>
              <w:pStyle w:val="35"/>
            </w:pPr>
            <w:r>
              <w:t>0.048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6"/>
            <w:vAlign w:val="center"/>
          </w:tcPr>
          <w:p>
            <w:pPr>
              <w:pStyle w:val="35"/>
            </w:pPr>
            <w:r>
              <w:t>一般排放口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55" w:type="pct"/>
            <w:vAlign w:val="center"/>
          </w:tcPr>
          <w:p>
            <w:pPr>
              <w:pStyle w:val="35"/>
            </w:pPr>
            <w:r>
              <w:t>/</w:t>
            </w:r>
          </w:p>
        </w:tc>
        <w:tc>
          <w:tcPr>
            <w:tcW w:w="927" w:type="pct"/>
            <w:vAlign w:val="center"/>
          </w:tcPr>
          <w:p>
            <w:pPr>
              <w:pStyle w:val="63"/>
            </w:pPr>
            <w:r>
              <w:t>/</w:t>
            </w:r>
          </w:p>
        </w:tc>
        <w:tc>
          <w:tcPr>
            <w:tcW w:w="919" w:type="pct"/>
            <w:vAlign w:val="center"/>
          </w:tcPr>
          <w:p>
            <w:pPr>
              <w:pStyle w:val="35"/>
              <w:rPr>
                <w:szCs w:val="21"/>
              </w:rPr>
            </w:pPr>
            <w:r>
              <w:rPr>
                <w:szCs w:val="21"/>
              </w:rPr>
              <w:t>/</w:t>
            </w:r>
          </w:p>
        </w:tc>
        <w:tc>
          <w:tcPr>
            <w:tcW w:w="1102" w:type="pct"/>
            <w:vAlign w:val="center"/>
          </w:tcPr>
          <w:p>
            <w:pPr>
              <w:pStyle w:val="35"/>
            </w:pPr>
            <w:r>
              <w:t>/</w:t>
            </w:r>
          </w:p>
        </w:tc>
        <w:tc>
          <w:tcPr>
            <w:tcW w:w="849" w:type="pct"/>
            <w:vAlign w:val="center"/>
          </w:tcPr>
          <w:p>
            <w:pPr>
              <w:pStyle w:val="35"/>
            </w:pPr>
            <w:r>
              <w:t>/</w:t>
            </w:r>
          </w:p>
        </w:tc>
        <w:tc>
          <w:tcPr>
            <w:tcW w:w="844" w:type="pct"/>
            <w:vAlign w:val="center"/>
          </w:tcPr>
          <w:p>
            <w:pPr>
              <w:pStyle w:val="35"/>
            </w:pPr>
            <w: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82" w:type="pct"/>
            <w:gridSpan w:val="2"/>
            <w:vMerge w:val="restart"/>
            <w:vAlign w:val="center"/>
          </w:tcPr>
          <w:p>
            <w:pPr>
              <w:pStyle w:val="35"/>
            </w:pPr>
            <w:r>
              <w:t>一般排放口合计</w:t>
            </w:r>
          </w:p>
        </w:tc>
        <w:tc>
          <w:tcPr>
            <w:tcW w:w="2872" w:type="pct"/>
            <w:gridSpan w:val="3"/>
            <w:vAlign w:val="center"/>
          </w:tcPr>
          <w:p>
            <w:pPr>
              <w:pStyle w:val="35"/>
              <w:rPr>
                <w:szCs w:val="21"/>
              </w:rPr>
            </w:pPr>
            <w:r>
              <w:rPr>
                <w:szCs w:val="21"/>
              </w:rPr>
              <w:t>/</w:t>
            </w:r>
          </w:p>
        </w:tc>
        <w:tc>
          <w:tcPr>
            <w:tcW w:w="844" w:type="pct"/>
            <w:vAlign w:val="center"/>
          </w:tcPr>
          <w:p>
            <w:pPr>
              <w:pStyle w:val="35"/>
              <w:rPr>
                <w:szCs w:val="21"/>
              </w:rPr>
            </w:pPr>
            <w:r>
              <w:rPr>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282" w:type="pct"/>
            <w:gridSpan w:val="2"/>
            <w:vAlign w:val="center"/>
          </w:tcPr>
          <w:p>
            <w:pPr>
              <w:pStyle w:val="35"/>
            </w:pPr>
            <w:r>
              <w:t>有组织排放总计</w:t>
            </w:r>
          </w:p>
        </w:tc>
        <w:tc>
          <w:tcPr>
            <w:tcW w:w="2872" w:type="pct"/>
            <w:gridSpan w:val="3"/>
            <w:vAlign w:val="center"/>
          </w:tcPr>
          <w:p>
            <w:pPr>
              <w:pStyle w:val="35"/>
              <w:rPr>
                <w:szCs w:val="21"/>
              </w:rPr>
            </w:pPr>
            <w:r>
              <w:rPr>
                <w:szCs w:val="21"/>
              </w:rPr>
              <w:t>NMHC</w:t>
            </w:r>
          </w:p>
        </w:tc>
        <w:tc>
          <w:tcPr>
            <w:tcW w:w="844" w:type="pct"/>
            <w:vAlign w:val="center"/>
          </w:tcPr>
          <w:p>
            <w:pPr>
              <w:pStyle w:val="35"/>
              <w:rPr>
                <w:szCs w:val="21"/>
              </w:rPr>
            </w:pPr>
            <w:r>
              <w:rPr>
                <w:rFonts w:hint="eastAsia"/>
                <w:szCs w:val="21"/>
              </w:rPr>
              <w:t>0.048</w:t>
            </w:r>
          </w:p>
        </w:tc>
      </w:tr>
    </w:tbl>
    <w:p>
      <w:pPr>
        <w:pStyle w:val="32"/>
        <w:tabs>
          <w:tab w:val="clear" w:pos="900"/>
        </w:tabs>
        <w:ind w:right="240"/>
      </w:pPr>
      <w:r>
        <w:t>表5.1-9           大气污染物无组织排放量核算表</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6"/>
        <w:gridCol w:w="952"/>
        <w:gridCol w:w="895"/>
        <w:gridCol w:w="961"/>
        <w:gridCol w:w="1128"/>
        <w:gridCol w:w="2690"/>
        <w:gridCol w:w="1085"/>
        <w:gridCol w:w="90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04" w:type="pct"/>
            <w:vMerge w:val="restart"/>
            <w:vAlign w:val="center"/>
          </w:tcPr>
          <w:p>
            <w:pPr>
              <w:pStyle w:val="35"/>
              <w:rPr>
                <w:b/>
                <w:bCs/>
              </w:rPr>
            </w:pPr>
            <w:r>
              <w:rPr>
                <w:b/>
                <w:bCs/>
              </w:rPr>
              <w:t>序号</w:t>
            </w:r>
          </w:p>
        </w:tc>
        <w:tc>
          <w:tcPr>
            <w:tcW w:w="519" w:type="pct"/>
            <w:vMerge w:val="restart"/>
            <w:vAlign w:val="center"/>
          </w:tcPr>
          <w:p>
            <w:pPr>
              <w:pStyle w:val="35"/>
              <w:rPr>
                <w:b/>
                <w:bCs/>
              </w:rPr>
            </w:pPr>
            <w:r>
              <w:rPr>
                <w:b/>
                <w:bCs/>
              </w:rPr>
              <w:t>排放口</w:t>
            </w:r>
          </w:p>
          <w:p>
            <w:pPr>
              <w:pStyle w:val="35"/>
              <w:rPr>
                <w:b/>
                <w:bCs/>
              </w:rPr>
            </w:pPr>
            <w:r>
              <w:rPr>
                <w:b/>
                <w:bCs/>
              </w:rPr>
              <w:t>编号</w:t>
            </w:r>
          </w:p>
        </w:tc>
        <w:tc>
          <w:tcPr>
            <w:tcW w:w="488" w:type="pct"/>
            <w:vMerge w:val="restart"/>
            <w:vAlign w:val="center"/>
          </w:tcPr>
          <w:p>
            <w:pPr>
              <w:pStyle w:val="35"/>
              <w:rPr>
                <w:b/>
                <w:bCs/>
              </w:rPr>
            </w:pPr>
            <w:r>
              <w:rPr>
                <w:b/>
                <w:bCs/>
              </w:rPr>
              <w:t>产污</w:t>
            </w:r>
          </w:p>
          <w:p>
            <w:pPr>
              <w:pStyle w:val="35"/>
              <w:rPr>
                <w:b/>
                <w:bCs/>
              </w:rPr>
            </w:pPr>
            <w:r>
              <w:rPr>
                <w:b/>
                <w:bCs/>
              </w:rPr>
              <w:t>环节</w:t>
            </w:r>
          </w:p>
        </w:tc>
        <w:tc>
          <w:tcPr>
            <w:tcW w:w="524" w:type="pct"/>
            <w:vMerge w:val="restart"/>
            <w:vAlign w:val="center"/>
          </w:tcPr>
          <w:p>
            <w:pPr>
              <w:pStyle w:val="35"/>
              <w:rPr>
                <w:b/>
                <w:bCs/>
              </w:rPr>
            </w:pPr>
            <w:r>
              <w:rPr>
                <w:b/>
                <w:bCs/>
              </w:rPr>
              <w:t>污染物</w:t>
            </w:r>
          </w:p>
        </w:tc>
        <w:tc>
          <w:tcPr>
            <w:tcW w:w="615" w:type="pct"/>
            <w:vMerge w:val="restart"/>
            <w:vAlign w:val="center"/>
          </w:tcPr>
          <w:p>
            <w:pPr>
              <w:pStyle w:val="35"/>
              <w:rPr>
                <w:b/>
                <w:bCs/>
              </w:rPr>
            </w:pPr>
            <w:r>
              <w:rPr>
                <w:b/>
                <w:bCs/>
              </w:rPr>
              <w:t>主要污染</w:t>
            </w:r>
          </w:p>
          <w:p>
            <w:pPr>
              <w:pStyle w:val="35"/>
              <w:rPr>
                <w:b/>
                <w:bCs/>
              </w:rPr>
            </w:pPr>
            <w:r>
              <w:rPr>
                <w:b/>
                <w:bCs/>
              </w:rPr>
              <w:t>防治措施</w:t>
            </w:r>
          </w:p>
        </w:tc>
        <w:tc>
          <w:tcPr>
            <w:tcW w:w="2059" w:type="pct"/>
            <w:gridSpan w:val="2"/>
            <w:vAlign w:val="center"/>
          </w:tcPr>
          <w:p>
            <w:pPr>
              <w:pStyle w:val="35"/>
              <w:rPr>
                <w:b/>
                <w:bCs/>
              </w:rPr>
            </w:pPr>
            <w:r>
              <w:rPr>
                <w:b/>
                <w:bCs/>
              </w:rPr>
              <w:t>国家或地方污染物排放标准</w:t>
            </w:r>
          </w:p>
        </w:tc>
        <w:tc>
          <w:tcPr>
            <w:tcW w:w="489" w:type="pct"/>
            <w:vMerge w:val="restart"/>
            <w:vAlign w:val="center"/>
          </w:tcPr>
          <w:p>
            <w:pPr>
              <w:pStyle w:val="35"/>
              <w:rPr>
                <w:b/>
                <w:bCs/>
              </w:rPr>
            </w:pPr>
            <w:r>
              <w:rPr>
                <w:b/>
                <w:bCs/>
              </w:rPr>
              <w:t>年排放/（t/a）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04" w:type="pct"/>
            <w:vMerge w:val="continue"/>
            <w:vAlign w:val="center"/>
          </w:tcPr>
          <w:p>
            <w:pPr>
              <w:pStyle w:val="35"/>
            </w:pPr>
          </w:p>
        </w:tc>
        <w:tc>
          <w:tcPr>
            <w:tcW w:w="519" w:type="pct"/>
            <w:vMerge w:val="continue"/>
            <w:vAlign w:val="center"/>
          </w:tcPr>
          <w:p>
            <w:pPr>
              <w:pStyle w:val="35"/>
            </w:pPr>
          </w:p>
        </w:tc>
        <w:tc>
          <w:tcPr>
            <w:tcW w:w="488" w:type="pct"/>
            <w:vMerge w:val="continue"/>
            <w:vAlign w:val="center"/>
          </w:tcPr>
          <w:p>
            <w:pPr>
              <w:pStyle w:val="35"/>
            </w:pPr>
          </w:p>
        </w:tc>
        <w:tc>
          <w:tcPr>
            <w:tcW w:w="524" w:type="pct"/>
            <w:vMerge w:val="continue"/>
            <w:vAlign w:val="center"/>
          </w:tcPr>
          <w:p>
            <w:pPr>
              <w:pStyle w:val="35"/>
            </w:pPr>
          </w:p>
        </w:tc>
        <w:tc>
          <w:tcPr>
            <w:tcW w:w="615" w:type="pct"/>
            <w:vMerge w:val="continue"/>
            <w:vAlign w:val="center"/>
          </w:tcPr>
          <w:p>
            <w:pPr>
              <w:pStyle w:val="35"/>
            </w:pPr>
          </w:p>
        </w:tc>
        <w:tc>
          <w:tcPr>
            <w:tcW w:w="1467" w:type="pct"/>
            <w:vAlign w:val="center"/>
          </w:tcPr>
          <w:p>
            <w:pPr>
              <w:pStyle w:val="35"/>
              <w:rPr>
                <w:b/>
                <w:bCs/>
              </w:rPr>
            </w:pPr>
            <w:r>
              <w:rPr>
                <w:b/>
                <w:bCs/>
              </w:rPr>
              <w:t>标准名称</w:t>
            </w:r>
          </w:p>
        </w:tc>
        <w:tc>
          <w:tcPr>
            <w:tcW w:w="591" w:type="pct"/>
            <w:vAlign w:val="center"/>
          </w:tcPr>
          <w:p>
            <w:pPr>
              <w:pStyle w:val="35"/>
              <w:rPr>
                <w:b/>
                <w:bCs/>
              </w:rPr>
            </w:pPr>
            <w:r>
              <w:rPr>
                <w:b/>
                <w:bCs/>
              </w:rPr>
              <w:t>浓度限值/（μg/m</w:t>
            </w:r>
            <w:r>
              <w:rPr>
                <w:b/>
                <w:bCs/>
                <w:vertAlign w:val="superscript"/>
              </w:rPr>
              <w:t>3</w:t>
            </w:r>
            <w:r>
              <w:rPr>
                <w:b/>
                <w:bCs/>
              </w:rPr>
              <w:t>）</w:t>
            </w:r>
          </w:p>
        </w:tc>
        <w:tc>
          <w:tcPr>
            <w:tcW w:w="489" w:type="pct"/>
            <w:vMerge w:val="continue"/>
            <w:vAlign w:val="center"/>
          </w:tcPr>
          <w:p>
            <w:pPr>
              <w:pStyle w:val="35"/>
              <w:rPr>
                <w:b/>
                <w:bCs/>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04" w:type="pct"/>
            <w:vAlign w:val="center"/>
          </w:tcPr>
          <w:p>
            <w:pPr>
              <w:pStyle w:val="35"/>
            </w:pPr>
            <w:r>
              <w:t>1</w:t>
            </w:r>
          </w:p>
        </w:tc>
        <w:tc>
          <w:tcPr>
            <w:tcW w:w="519" w:type="pct"/>
            <w:vAlign w:val="center"/>
          </w:tcPr>
          <w:p>
            <w:pPr>
              <w:pStyle w:val="35"/>
            </w:pPr>
            <w:r>
              <w:t>g</w:t>
            </w:r>
            <w:r>
              <w:rPr>
                <w:vertAlign w:val="subscript"/>
              </w:rPr>
              <w:t>1</w:t>
            </w:r>
            <w:r>
              <w:t>无组织</w:t>
            </w:r>
          </w:p>
        </w:tc>
        <w:tc>
          <w:tcPr>
            <w:tcW w:w="488" w:type="pct"/>
            <w:vAlign w:val="center"/>
          </w:tcPr>
          <w:p>
            <w:pPr>
              <w:pStyle w:val="35"/>
            </w:pPr>
            <w:r>
              <w:t>装置区、罐区</w:t>
            </w:r>
          </w:p>
        </w:tc>
        <w:tc>
          <w:tcPr>
            <w:tcW w:w="524" w:type="pct"/>
            <w:vAlign w:val="center"/>
          </w:tcPr>
          <w:p>
            <w:pPr>
              <w:pStyle w:val="35"/>
            </w:pPr>
            <w:r>
              <w:t>NMHC</w:t>
            </w:r>
          </w:p>
        </w:tc>
        <w:tc>
          <w:tcPr>
            <w:tcW w:w="615" w:type="pct"/>
            <w:vAlign w:val="center"/>
          </w:tcPr>
          <w:p>
            <w:pPr>
              <w:pStyle w:val="35"/>
            </w:pPr>
            <w:r>
              <w:t>源头控制，定期维修，加强管理</w:t>
            </w:r>
          </w:p>
        </w:tc>
        <w:tc>
          <w:tcPr>
            <w:tcW w:w="1467" w:type="pct"/>
            <w:vAlign w:val="center"/>
          </w:tcPr>
          <w:p>
            <w:pPr>
              <w:pStyle w:val="35"/>
            </w:pPr>
            <w:r>
              <w:t>《关于全省开展工业企业挥发性有机物专项治理工作中排放建议值的通知》（豫环攻坚办[2017]162号）</w:t>
            </w:r>
          </w:p>
        </w:tc>
        <w:tc>
          <w:tcPr>
            <w:tcW w:w="591" w:type="pct"/>
            <w:vAlign w:val="center"/>
          </w:tcPr>
          <w:p>
            <w:pPr>
              <w:pStyle w:val="35"/>
            </w:pPr>
            <w:r>
              <w:t>2000</w:t>
            </w:r>
          </w:p>
        </w:tc>
        <w:tc>
          <w:tcPr>
            <w:tcW w:w="489" w:type="pct"/>
            <w:vAlign w:val="center"/>
          </w:tcPr>
          <w:p>
            <w:pPr>
              <w:pStyle w:val="35"/>
            </w:pPr>
            <w:r>
              <w:rPr>
                <w:szCs w:val="21"/>
              </w:rPr>
              <w:t>0.40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8"/>
            <w:vAlign w:val="center"/>
          </w:tcPr>
          <w:p>
            <w:pPr>
              <w:pStyle w:val="35"/>
            </w:pPr>
            <w:r>
              <w:t>无组织排放总计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11" w:type="pct"/>
            <w:gridSpan w:val="3"/>
            <w:vAlign w:val="center"/>
          </w:tcPr>
          <w:p>
            <w:pPr>
              <w:pStyle w:val="35"/>
            </w:pPr>
            <w:r>
              <w:t>无组织排放总计</w:t>
            </w:r>
          </w:p>
        </w:tc>
        <w:tc>
          <w:tcPr>
            <w:tcW w:w="3198" w:type="pct"/>
            <w:gridSpan w:val="4"/>
            <w:vAlign w:val="center"/>
          </w:tcPr>
          <w:p>
            <w:pPr>
              <w:pStyle w:val="35"/>
            </w:pPr>
            <w:r>
              <w:t>NMHC</w:t>
            </w:r>
          </w:p>
        </w:tc>
        <w:tc>
          <w:tcPr>
            <w:tcW w:w="489" w:type="pct"/>
            <w:vAlign w:val="center"/>
          </w:tcPr>
          <w:p>
            <w:pPr>
              <w:pStyle w:val="35"/>
            </w:pPr>
            <w:r>
              <w:rPr>
                <w:szCs w:val="21"/>
              </w:rPr>
              <w:t>0.40</w:t>
            </w:r>
          </w:p>
        </w:tc>
      </w:tr>
    </w:tbl>
    <w:p>
      <w:pPr>
        <w:pStyle w:val="5"/>
        <w:spacing w:before="0" w:after="0" w:line="520" w:lineRule="exact"/>
        <w:jc w:val="left"/>
        <w:rPr>
          <w:rFonts w:eastAsia="楷体_GB2312"/>
          <w:bCs/>
          <w:kern w:val="0"/>
          <w:sz w:val="28"/>
          <w:szCs w:val="32"/>
        </w:rPr>
      </w:pPr>
      <w:r>
        <w:rPr>
          <w:rFonts w:eastAsia="楷体_GB2312"/>
          <w:bCs/>
          <w:kern w:val="0"/>
          <w:sz w:val="28"/>
          <w:szCs w:val="32"/>
        </w:rPr>
        <w:t>5.1.7  大气环境影响评价结论</w:t>
      </w:r>
    </w:p>
    <w:p>
      <w:pPr>
        <w:pStyle w:val="27"/>
        <w:ind w:firstLine="560"/>
      </w:pPr>
      <w:r>
        <w:t>综上所述，评价认为本项目营运期的废气对周围环境影响较小，不会对周边大气环境造成明显不利影响。</w:t>
      </w:r>
    </w:p>
    <w:p>
      <w:pPr>
        <w:pStyle w:val="4"/>
        <w:spacing w:before="0" w:after="0" w:line="520" w:lineRule="exact"/>
        <w:rPr>
          <w:rFonts w:ascii="Times New Roman" w:hAnsi="Times New Roman"/>
          <w:bCs/>
          <w:szCs w:val="28"/>
        </w:rPr>
      </w:pPr>
      <w:r>
        <w:rPr>
          <w:rFonts w:ascii="Times New Roman" w:hAnsi="Times New Roman"/>
          <w:bCs/>
          <w:szCs w:val="28"/>
        </w:rPr>
        <w:t>5.2  声环境质量影响预测与分析</w:t>
      </w:r>
    </w:p>
    <w:p>
      <w:pPr>
        <w:pStyle w:val="31"/>
      </w:pPr>
      <w:r>
        <w:t>5.2.1  评价等级及预测范围</w:t>
      </w:r>
    </w:p>
    <w:p>
      <w:pPr>
        <w:spacing w:line="520" w:lineRule="exact"/>
        <w:ind w:firstLine="560" w:firstLineChars="200"/>
        <w:rPr>
          <w:sz w:val="28"/>
        </w:rPr>
      </w:pPr>
      <w:r>
        <w:rPr>
          <w:sz w:val="28"/>
        </w:rPr>
        <w:t>本工程所处声环境功能区为GB3096规定的3类地区，根据《环境影响评价技术导则—声环境》（HJ2.4-2009）要求，本次声环境影响评价工作等级确定为三级。</w:t>
      </w:r>
    </w:p>
    <w:p>
      <w:pPr>
        <w:spacing w:line="520" w:lineRule="exact"/>
        <w:ind w:firstLine="560" w:firstLineChars="200"/>
        <w:rPr>
          <w:sz w:val="28"/>
        </w:rPr>
      </w:pPr>
      <w:r>
        <w:rPr>
          <w:sz w:val="28"/>
        </w:rPr>
        <w:t>根据声评价等级要求，本次声环境影响预测范围确定为厂址边界外200m。本项目厂址附近噪声敏感点均在200m范围之外，因此，本次噪声仅预测项目正常运行时的厂界噪声值。</w:t>
      </w:r>
    </w:p>
    <w:p>
      <w:pPr>
        <w:pStyle w:val="31"/>
        <w:rPr>
          <w:bCs/>
          <w:kern w:val="0"/>
          <w:szCs w:val="32"/>
        </w:rPr>
      </w:pPr>
      <w:r>
        <w:rPr>
          <w:bCs/>
          <w:kern w:val="0"/>
          <w:szCs w:val="32"/>
        </w:rPr>
        <w:t>5.2.2 项目</w:t>
      </w:r>
      <w:r>
        <w:t>噪声源</w:t>
      </w:r>
      <w:r>
        <w:rPr>
          <w:bCs/>
          <w:kern w:val="0"/>
          <w:szCs w:val="32"/>
        </w:rPr>
        <w:t>强</w:t>
      </w:r>
    </w:p>
    <w:p>
      <w:pPr>
        <w:pStyle w:val="27"/>
        <w:ind w:firstLine="560"/>
      </w:pPr>
      <w:r>
        <w:t>项目的噪声污染来源主要为各类机泵、压缩机等；针对生产设备噪声，主要通过对高噪声设备采取隔声及减振等措施来降低噪声影响。主要噪声源强见表5.2-1。</w:t>
      </w:r>
    </w:p>
    <w:p>
      <w:pPr>
        <w:pStyle w:val="32"/>
        <w:ind w:right="240"/>
      </w:pPr>
      <w:r>
        <w:t>表5.2-1                   主要噪声源强</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87"/>
        <w:gridCol w:w="1648"/>
        <w:gridCol w:w="1277"/>
        <w:gridCol w:w="1418"/>
        <w:gridCol w:w="1420"/>
        <w:gridCol w:w="140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序号</w:t>
            </w:r>
          </w:p>
        </w:tc>
        <w:tc>
          <w:tcPr>
            <w:tcW w:w="647" w:type="pct"/>
            <w:vAlign w:val="center"/>
          </w:tcPr>
          <w:p>
            <w:pPr>
              <w:pStyle w:val="53"/>
              <w:snapToGrid w:val="0"/>
              <w:spacing w:line="240" w:lineRule="auto"/>
              <w:jc w:val="center"/>
              <w:rPr>
                <w:rFonts w:eastAsia="宋体"/>
                <w:b w:val="0"/>
                <w:spacing w:val="0"/>
                <w:kern w:val="0"/>
                <w:sz w:val="21"/>
                <w:szCs w:val="21"/>
              </w:rPr>
            </w:pPr>
            <w:r>
              <w:rPr>
                <w:rFonts w:eastAsia="宋体"/>
                <w:snapToGrid w:val="0"/>
                <w:spacing w:val="0"/>
                <w:kern w:val="0"/>
                <w:sz w:val="21"/>
                <w:szCs w:val="21"/>
              </w:rPr>
              <w:t>噪声设备</w:t>
            </w:r>
          </w:p>
        </w:tc>
        <w:tc>
          <w:tcPr>
            <w:tcW w:w="898"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区域</w:t>
            </w:r>
          </w:p>
        </w:tc>
        <w:tc>
          <w:tcPr>
            <w:tcW w:w="696"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数量</w:t>
            </w:r>
          </w:p>
        </w:tc>
        <w:tc>
          <w:tcPr>
            <w:tcW w:w="773" w:type="pct"/>
            <w:vAlign w:val="center"/>
          </w:tcPr>
          <w:p>
            <w:pPr>
              <w:pStyle w:val="53"/>
              <w:spacing w:line="240" w:lineRule="auto"/>
              <w:jc w:val="center"/>
              <w:rPr>
                <w:rFonts w:eastAsia="宋体"/>
                <w:snapToGrid w:val="0"/>
                <w:spacing w:val="0"/>
                <w:kern w:val="0"/>
                <w:sz w:val="21"/>
                <w:szCs w:val="21"/>
              </w:rPr>
            </w:pPr>
            <w:r>
              <w:rPr>
                <w:rFonts w:eastAsia="宋体"/>
                <w:snapToGrid w:val="0"/>
                <w:spacing w:val="0"/>
                <w:kern w:val="0"/>
                <w:sz w:val="21"/>
                <w:szCs w:val="21"/>
              </w:rPr>
              <w:t>源强/声压级</w:t>
            </w:r>
          </w:p>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dB（A）</w:t>
            </w:r>
          </w:p>
        </w:tc>
        <w:tc>
          <w:tcPr>
            <w:tcW w:w="774" w:type="pct"/>
            <w:vAlign w:val="center"/>
          </w:tcPr>
          <w:p>
            <w:pPr>
              <w:pStyle w:val="53"/>
              <w:snapToGrid w:val="0"/>
              <w:spacing w:line="240" w:lineRule="auto"/>
              <w:jc w:val="center"/>
              <w:rPr>
                <w:rFonts w:eastAsia="宋体"/>
                <w:b w:val="0"/>
                <w:snapToGrid w:val="0"/>
                <w:spacing w:val="0"/>
                <w:kern w:val="0"/>
                <w:sz w:val="21"/>
                <w:szCs w:val="21"/>
              </w:rPr>
            </w:pPr>
            <w:r>
              <w:rPr>
                <w:rFonts w:eastAsia="宋体"/>
                <w:snapToGrid w:val="0"/>
                <w:spacing w:val="0"/>
                <w:kern w:val="0"/>
                <w:sz w:val="21"/>
                <w:szCs w:val="21"/>
              </w:rPr>
              <w:t>治理措施</w:t>
            </w:r>
          </w:p>
        </w:tc>
        <w:tc>
          <w:tcPr>
            <w:tcW w:w="767" w:type="pct"/>
            <w:vAlign w:val="center"/>
          </w:tcPr>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治理效果</w:t>
            </w:r>
          </w:p>
          <w:p>
            <w:pPr>
              <w:pStyle w:val="53"/>
              <w:snapToGrid w:val="0"/>
              <w:spacing w:line="240" w:lineRule="auto"/>
              <w:jc w:val="center"/>
              <w:rPr>
                <w:rFonts w:eastAsia="宋体"/>
                <w:snapToGrid w:val="0"/>
                <w:spacing w:val="0"/>
                <w:kern w:val="0"/>
                <w:sz w:val="21"/>
                <w:szCs w:val="21"/>
              </w:rPr>
            </w:pPr>
            <w:r>
              <w:rPr>
                <w:rFonts w:eastAsia="宋体"/>
                <w:snapToGrid w:val="0"/>
                <w:spacing w:val="0"/>
                <w:kern w:val="0"/>
                <w:sz w:val="21"/>
                <w:szCs w:val="21"/>
              </w:rPr>
              <w:t>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1</w:t>
            </w:r>
          </w:p>
        </w:tc>
        <w:tc>
          <w:tcPr>
            <w:tcW w:w="647" w:type="pct"/>
            <w:vAlign w:val="center"/>
          </w:tcPr>
          <w:p>
            <w:pPr>
              <w:pStyle w:val="53"/>
              <w:snapToGrid w:val="0"/>
              <w:spacing w:line="240" w:lineRule="auto"/>
              <w:jc w:val="center"/>
              <w:rPr>
                <w:rFonts w:eastAsia="宋体"/>
                <w:b w:val="0"/>
                <w:spacing w:val="0"/>
                <w:kern w:val="0"/>
                <w:sz w:val="21"/>
                <w:szCs w:val="21"/>
              </w:rPr>
            </w:pPr>
            <w:r>
              <w:rPr>
                <w:rFonts w:eastAsia="宋体"/>
                <w:b w:val="0"/>
                <w:bCs/>
                <w:spacing w:val="0"/>
                <w:kern w:val="0"/>
                <w:sz w:val="21"/>
                <w:szCs w:val="21"/>
              </w:rPr>
              <w:t>压缩机</w:t>
            </w:r>
          </w:p>
        </w:tc>
        <w:tc>
          <w:tcPr>
            <w:tcW w:w="898"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1台</w:t>
            </w:r>
          </w:p>
        </w:tc>
        <w:tc>
          <w:tcPr>
            <w:tcW w:w="773"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90</w:t>
            </w:r>
          </w:p>
        </w:tc>
        <w:tc>
          <w:tcPr>
            <w:tcW w:w="774"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2</w:t>
            </w:r>
          </w:p>
        </w:tc>
        <w:tc>
          <w:tcPr>
            <w:tcW w:w="647" w:type="pct"/>
            <w:vMerge w:val="restart"/>
            <w:vAlign w:val="center"/>
          </w:tcPr>
          <w:p>
            <w:pPr>
              <w:pStyle w:val="53"/>
              <w:snapToGrid w:val="0"/>
              <w:spacing w:line="240" w:lineRule="auto"/>
              <w:jc w:val="center"/>
              <w:rPr>
                <w:rFonts w:eastAsia="宋体"/>
                <w:b w:val="0"/>
                <w:bCs/>
                <w:spacing w:val="0"/>
                <w:kern w:val="0"/>
                <w:sz w:val="21"/>
                <w:szCs w:val="21"/>
              </w:rPr>
            </w:pPr>
            <w:r>
              <w:rPr>
                <w:rFonts w:eastAsia="宋体"/>
                <w:b w:val="0"/>
                <w:bCs/>
                <w:spacing w:val="0"/>
                <w:kern w:val="0"/>
                <w:sz w:val="21"/>
                <w:szCs w:val="21"/>
              </w:rPr>
              <w:t>泵类</w:t>
            </w:r>
          </w:p>
        </w:tc>
        <w:tc>
          <w:tcPr>
            <w:tcW w:w="898"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2</w:t>
            </w:r>
            <w:r>
              <w:rPr>
                <w:rFonts w:eastAsia="宋体"/>
                <w:b w:val="0"/>
                <w:bCs/>
                <w:snapToGrid w:val="0"/>
                <w:spacing w:val="0"/>
                <w:kern w:val="0"/>
                <w:sz w:val="21"/>
                <w:szCs w:val="21"/>
              </w:rPr>
              <w:t>台</w:t>
            </w:r>
          </w:p>
        </w:tc>
        <w:tc>
          <w:tcPr>
            <w:tcW w:w="773"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85</w:t>
            </w:r>
          </w:p>
        </w:tc>
        <w:tc>
          <w:tcPr>
            <w:tcW w:w="774"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Merge w:val="restart"/>
            <w:vAlign w:val="center"/>
          </w:tcPr>
          <w:p>
            <w:pPr>
              <w:pStyle w:val="53"/>
              <w:snapToGrid w:val="0"/>
              <w:spacing w:line="240" w:lineRule="auto"/>
              <w:jc w:val="center"/>
              <w:rPr>
                <w:rFonts w:eastAsia="宋体"/>
                <w:b w:val="0"/>
                <w:snapToGrid w:val="0"/>
                <w:spacing w:val="0"/>
                <w:kern w:val="0"/>
                <w:sz w:val="21"/>
                <w:szCs w:val="21"/>
              </w:rPr>
            </w:pPr>
            <w:r>
              <w:rPr>
                <w:rFonts w:eastAsia="宋体"/>
                <w:b w:val="0"/>
                <w:snapToGrid w:val="0"/>
                <w:spacing w:val="0"/>
                <w:kern w:val="0"/>
                <w:sz w:val="21"/>
                <w:szCs w:val="21"/>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647" w:type="pct"/>
            <w:vMerge w:val="continue"/>
            <w:vAlign w:val="center"/>
          </w:tcPr>
          <w:p>
            <w:pPr>
              <w:pStyle w:val="53"/>
              <w:snapToGrid w:val="0"/>
              <w:spacing w:line="240" w:lineRule="auto"/>
              <w:jc w:val="center"/>
              <w:rPr>
                <w:rFonts w:eastAsia="宋体"/>
                <w:b w:val="0"/>
                <w:bCs/>
                <w:spacing w:val="0"/>
                <w:kern w:val="0"/>
                <w:sz w:val="21"/>
                <w:szCs w:val="21"/>
              </w:rPr>
            </w:pPr>
          </w:p>
        </w:tc>
        <w:tc>
          <w:tcPr>
            <w:tcW w:w="898"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spacing w:val="0"/>
                <w:kern w:val="0"/>
                <w:sz w:val="21"/>
                <w:szCs w:val="21"/>
              </w:rPr>
              <w:t>乙二醇精馏</w:t>
            </w:r>
          </w:p>
        </w:tc>
        <w:tc>
          <w:tcPr>
            <w:tcW w:w="696" w:type="pct"/>
            <w:vAlign w:val="center"/>
          </w:tcPr>
          <w:p>
            <w:pPr>
              <w:pStyle w:val="53"/>
              <w:snapToGrid w:val="0"/>
              <w:spacing w:line="240" w:lineRule="auto"/>
              <w:jc w:val="center"/>
              <w:rPr>
                <w:rFonts w:eastAsia="宋体"/>
                <w:b w:val="0"/>
                <w:bCs/>
                <w:snapToGrid w:val="0"/>
                <w:spacing w:val="0"/>
                <w:kern w:val="0"/>
                <w:sz w:val="21"/>
                <w:szCs w:val="21"/>
              </w:rPr>
            </w:pPr>
            <w:r>
              <w:rPr>
                <w:rFonts w:eastAsia="宋体"/>
                <w:b w:val="0"/>
                <w:bCs/>
                <w:kern w:val="0"/>
                <w:sz w:val="21"/>
                <w:szCs w:val="21"/>
              </w:rPr>
              <w:t>18</w:t>
            </w:r>
            <w:r>
              <w:rPr>
                <w:rFonts w:eastAsia="宋体"/>
                <w:b w:val="0"/>
                <w:bCs/>
                <w:snapToGrid w:val="0"/>
                <w:spacing w:val="0"/>
                <w:kern w:val="0"/>
                <w:sz w:val="21"/>
                <w:szCs w:val="21"/>
              </w:rPr>
              <w:t>台</w:t>
            </w:r>
          </w:p>
        </w:tc>
        <w:tc>
          <w:tcPr>
            <w:tcW w:w="773"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774" w:type="pct"/>
            <w:vMerge w:val="continue"/>
            <w:vAlign w:val="center"/>
          </w:tcPr>
          <w:p>
            <w:pPr>
              <w:pStyle w:val="53"/>
              <w:snapToGrid w:val="0"/>
              <w:spacing w:line="240" w:lineRule="auto"/>
              <w:jc w:val="center"/>
              <w:rPr>
                <w:rFonts w:eastAsia="宋体"/>
                <w:b w:val="0"/>
                <w:snapToGrid w:val="0"/>
                <w:spacing w:val="0"/>
                <w:kern w:val="0"/>
                <w:sz w:val="21"/>
                <w:szCs w:val="21"/>
              </w:rPr>
            </w:pPr>
          </w:p>
        </w:tc>
        <w:tc>
          <w:tcPr>
            <w:tcW w:w="767" w:type="pct"/>
            <w:vMerge w:val="continue"/>
            <w:vAlign w:val="center"/>
          </w:tcPr>
          <w:p>
            <w:pPr>
              <w:pStyle w:val="53"/>
              <w:snapToGrid w:val="0"/>
              <w:spacing w:line="240" w:lineRule="auto"/>
              <w:jc w:val="center"/>
              <w:rPr>
                <w:rFonts w:eastAsia="宋体"/>
                <w:b w:val="0"/>
                <w:snapToGrid w:val="0"/>
                <w:spacing w:val="0"/>
                <w:kern w:val="0"/>
                <w:sz w:val="21"/>
                <w:szCs w:val="21"/>
              </w:rPr>
            </w:pPr>
          </w:p>
        </w:tc>
      </w:tr>
    </w:tbl>
    <w:p>
      <w:pPr>
        <w:pStyle w:val="5"/>
        <w:spacing w:before="0" w:after="0" w:line="460" w:lineRule="exact"/>
        <w:jc w:val="left"/>
        <w:rPr>
          <w:rFonts w:eastAsia="楷体_GB2312"/>
          <w:bCs/>
          <w:kern w:val="0"/>
          <w:sz w:val="28"/>
          <w:szCs w:val="32"/>
        </w:rPr>
      </w:pPr>
      <w:r>
        <w:rPr>
          <w:rFonts w:eastAsia="楷体_GB2312"/>
          <w:bCs/>
          <w:kern w:val="0"/>
          <w:sz w:val="28"/>
          <w:szCs w:val="32"/>
        </w:rPr>
        <w:t>5.2.3  预测模式</w:t>
      </w:r>
    </w:p>
    <w:p>
      <w:pPr>
        <w:spacing w:line="520" w:lineRule="exact"/>
        <w:ind w:firstLine="420" w:firstLineChars="150"/>
        <w:rPr>
          <w:sz w:val="28"/>
          <w:szCs w:val="28"/>
        </w:rPr>
      </w:pPr>
      <w:r>
        <w:rPr>
          <w:sz w:val="28"/>
          <w:szCs w:val="28"/>
        </w:rPr>
        <w:t>本次声环境影响预测采用点声源衰减模式及多源叠加模式，不考虑围墙等屏障的影响，声源按自由声场计。具体如下：</w:t>
      </w:r>
    </w:p>
    <w:p>
      <w:pPr>
        <w:spacing w:line="520" w:lineRule="exact"/>
        <w:ind w:firstLine="560" w:firstLineChars="200"/>
        <w:rPr>
          <w:sz w:val="28"/>
          <w:szCs w:val="28"/>
        </w:rPr>
      </w:pPr>
      <w:r>
        <w:rPr>
          <w:sz w:val="28"/>
          <w:szCs w:val="28"/>
        </w:rPr>
        <w:t>点声源衰减模式：</w:t>
      </w:r>
      <w:r>
        <w:rPr>
          <w:position w:val="-12"/>
          <w:sz w:val="28"/>
          <w:szCs w:val="28"/>
        </w:rPr>
        <w:drawing>
          <wp:inline distT="0" distB="0" distL="114300" distR="114300">
            <wp:extent cx="1552575" cy="233680"/>
            <wp:effectExtent l="0" t="0" r="9525" b="14605"/>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61"/>
                    <a:stretch>
                      <a:fillRect/>
                    </a:stretch>
                  </pic:blipFill>
                  <pic:spPr>
                    <a:xfrm>
                      <a:off x="0" y="0"/>
                      <a:ext cx="1552575" cy="233680"/>
                    </a:xfrm>
                    <a:prstGeom prst="rect">
                      <a:avLst/>
                    </a:prstGeom>
                    <a:noFill/>
                    <a:ln>
                      <a:noFill/>
                    </a:ln>
                  </pic:spPr>
                </pic:pic>
              </a:graphicData>
            </a:graphic>
          </wp:inline>
        </w:drawing>
      </w:r>
    </w:p>
    <w:p>
      <w:pPr>
        <w:spacing w:line="540" w:lineRule="exact"/>
        <w:ind w:firstLine="482"/>
        <w:rPr>
          <w:sz w:val="28"/>
          <w:szCs w:val="28"/>
        </w:rPr>
      </w:pPr>
      <w:r>
        <w:rPr>
          <w:sz w:val="28"/>
          <w:szCs w:val="28"/>
        </w:rPr>
        <w:t xml:space="preserve"> 式中：</w:t>
      </w:r>
      <w:r>
        <w:rPr>
          <w:position w:val="-10"/>
          <w:sz w:val="28"/>
          <w:szCs w:val="28"/>
        </w:rPr>
        <w:drawing>
          <wp:inline distT="0" distB="0" distL="114300" distR="114300">
            <wp:extent cx="308610" cy="201930"/>
            <wp:effectExtent l="0" t="0" r="15240" b="6350"/>
            <wp:docPr id="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pic:cNvPicPr>
                      <a:picLocks noChangeAspect="1"/>
                    </pic:cNvPicPr>
                  </pic:nvPicPr>
                  <pic:blipFill>
                    <a:blip r:embed="rId62"/>
                    <a:stretch>
                      <a:fillRect/>
                    </a:stretch>
                  </pic:blipFill>
                  <pic:spPr>
                    <a:xfrm>
                      <a:off x="0" y="0"/>
                      <a:ext cx="308610" cy="201930"/>
                    </a:xfrm>
                    <a:prstGeom prst="rect">
                      <a:avLst/>
                    </a:prstGeom>
                    <a:noFill/>
                    <a:ln>
                      <a:noFill/>
                    </a:ln>
                  </pic:spPr>
                </pic:pic>
              </a:graphicData>
            </a:graphic>
          </wp:inline>
        </w:drawing>
      </w:r>
      <w:r>
        <w:rPr>
          <w:sz w:val="28"/>
          <w:szCs w:val="28"/>
        </w:rPr>
        <w:t>——点声源在预测点产生的等效连续A声级，dB(A)；</w:t>
      </w:r>
    </w:p>
    <w:p>
      <w:pPr>
        <w:spacing w:line="540" w:lineRule="exact"/>
        <w:ind w:firstLine="482"/>
        <w:rPr>
          <w:sz w:val="28"/>
          <w:szCs w:val="28"/>
        </w:rPr>
      </w:pPr>
      <w:r>
        <w:rPr>
          <w:sz w:val="28"/>
          <w:szCs w:val="28"/>
        </w:rPr>
        <w:t xml:space="preserve">       </w:t>
      </w:r>
      <w:r>
        <w:rPr>
          <w:position w:val="-12"/>
          <w:sz w:val="28"/>
          <w:szCs w:val="28"/>
        </w:rPr>
        <w:drawing>
          <wp:inline distT="0" distB="0" distL="114300" distR="114300">
            <wp:extent cx="351155" cy="233680"/>
            <wp:effectExtent l="0" t="0" r="10795" b="14605"/>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63"/>
                    <a:stretch>
                      <a:fillRect/>
                    </a:stretch>
                  </pic:blipFill>
                  <pic:spPr>
                    <a:xfrm>
                      <a:off x="0" y="0"/>
                      <a:ext cx="351155" cy="233680"/>
                    </a:xfrm>
                    <a:prstGeom prst="rect">
                      <a:avLst/>
                    </a:prstGeom>
                    <a:noFill/>
                    <a:ln>
                      <a:noFill/>
                    </a:ln>
                  </pic:spPr>
                </pic:pic>
              </a:graphicData>
            </a:graphic>
          </wp:inline>
        </w:drawing>
      </w:r>
      <w:r>
        <w:rPr>
          <w:sz w:val="28"/>
          <w:szCs w:val="28"/>
        </w:rPr>
        <w:t>——参考位置r</w:t>
      </w:r>
      <w:r>
        <w:rPr>
          <w:sz w:val="28"/>
          <w:szCs w:val="28"/>
          <w:vertAlign w:val="subscript"/>
        </w:rPr>
        <w:t>0</w:t>
      </w:r>
      <w:r>
        <w:rPr>
          <w:sz w:val="28"/>
          <w:szCs w:val="28"/>
        </w:rPr>
        <w:t>处的等效连续A声级，dB(A)；</w:t>
      </w:r>
    </w:p>
    <w:p>
      <w:pPr>
        <w:spacing w:line="540" w:lineRule="exact"/>
        <w:ind w:firstLine="482"/>
        <w:rPr>
          <w:sz w:val="28"/>
          <w:szCs w:val="28"/>
        </w:rPr>
      </w:pPr>
      <w:r>
        <w:rPr>
          <w:sz w:val="28"/>
          <w:szCs w:val="28"/>
        </w:rPr>
        <w:t xml:space="preserve">        </w:t>
      </w:r>
      <w:r>
        <w:rPr>
          <w:position w:val="-4"/>
          <w:sz w:val="28"/>
          <w:szCs w:val="28"/>
        </w:rPr>
        <w:drawing>
          <wp:inline distT="0" distB="0" distL="114300" distR="114300">
            <wp:extent cx="106045" cy="159385"/>
            <wp:effectExtent l="0" t="0" r="8255" b="1270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64"/>
                    <a:stretch>
                      <a:fillRect/>
                    </a:stretch>
                  </pic:blipFill>
                  <pic:spPr>
                    <a:xfrm>
                      <a:off x="0" y="0"/>
                      <a:ext cx="106045" cy="159385"/>
                    </a:xfrm>
                    <a:prstGeom prst="rect">
                      <a:avLst/>
                    </a:prstGeom>
                    <a:noFill/>
                    <a:ln>
                      <a:noFill/>
                    </a:ln>
                  </pic:spPr>
                </pic:pic>
              </a:graphicData>
            </a:graphic>
          </wp:inline>
        </w:drawing>
      </w:r>
      <w:r>
        <w:rPr>
          <w:sz w:val="28"/>
          <w:szCs w:val="28"/>
        </w:rPr>
        <w:t>——预测点距声源的距离，m；</w:t>
      </w:r>
    </w:p>
    <w:p>
      <w:pPr>
        <w:spacing w:line="540" w:lineRule="exact"/>
        <w:ind w:firstLine="482"/>
        <w:rPr>
          <w:sz w:val="28"/>
          <w:szCs w:val="28"/>
        </w:rPr>
      </w:pPr>
      <w:r>
        <w:rPr>
          <w:sz w:val="28"/>
          <w:szCs w:val="28"/>
        </w:rPr>
        <w:t xml:space="preserve">        </w:t>
      </w:r>
      <w:r>
        <w:rPr>
          <w:position w:val="-12"/>
          <w:sz w:val="28"/>
          <w:szCs w:val="28"/>
        </w:rPr>
        <w:drawing>
          <wp:inline distT="0" distB="0" distL="114300" distR="114300">
            <wp:extent cx="148590" cy="233680"/>
            <wp:effectExtent l="0" t="0" r="3810" b="15875"/>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65"/>
                    <a:stretch>
                      <a:fillRect/>
                    </a:stretch>
                  </pic:blipFill>
                  <pic:spPr>
                    <a:xfrm>
                      <a:off x="0" y="0"/>
                      <a:ext cx="148590" cy="233680"/>
                    </a:xfrm>
                    <a:prstGeom prst="rect">
                      <a:avLst/>
                    </a:prstGeom>
                    <a:noFill/>
                    <a:ln>
                      <a:noFill/>
                    </a:ln>
                  </pic:spPr>
                </pic:pic>
              </a:graphicData>
            </a:graphic>
          </wp:inline>
        </w:drawing>
      </w:r>
      <w:r>
        <w:rPr>
          <w:sz w:val="28"/>
          <w:szCs w:val="28"/>
        </w:rPr>
        <w:t>——参考位置距声源的距离，r</w:t>
      </w:r>
      <w:r>
        <w:rPr>
          <w:sz w:val="28"/>
          <w:szCs w:val="28"/>
          <w:vertAlign w:val="subscript"/>
        </w:rPr>
        <w:t>0</w:t>
      </w:r>
      <w:r>
        <w:rPr>
          <w:sz w:val="28"/>
          <w:szCs w:val="28"/>
        </w:rPr>
        <w:t>取1m；</w:t>
      </w:r>
    </w:p>
    <w:p>
      <w:pPr>
        <w:spacing w:before="154" w:beforeLines="30" w:after="154" w:afterLines="30" w:line="520" w:lineRule="exact"/>
        <w:ind w:firstLine="560" w:firstLineChars="200"/>
        <w:rPr>
          <w:sz w:val="28"/>
          <w:szCs w:val="28"/>
        </w:rPr>
      </w:pPr>
      <w:r>
        <w:rPr>
          <w:sz w:val="28"/>
          <w:szCs w:val="28"/>
        </w:rPr>
        <w:t>有限长线声源衰减模式：</w:t>
      </w:r>
      <w:r>
        <w:rPr>
          <w:position w:val="-30"/>
          <w:sz w:val="28"/>
          <w:szCs w:val="28"/>
        </w:rPr>
        <w:drawing>
          <wp:inline distT="0" distB="0" distL="114300" distR="114300">
            <wp:extent cx="1445895" cy="425450"/>
            <wp:effectExtent l="0" t="0" r="0" b="13970"/>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a:blip r:embed="rId66"/>
                    <a:stretch>
                      <a:fillRect/>
                    </a:stretch>
                  </pic:blipFill>
                  <pic:spPr>
                    <a:xfrm>
                      <a:off x="0" y="0"/>
                      <a:ext cx="1445895" cy="425450"/>
                    </a:xfrm>
                    <a:prstGeom prst="rect">
                      <a:avLst/>
                    </a:prstGeom>
                    <a:noFill/>
                    <a:ln>
                      <a:noFill/>
                    </a:ln>
                  </pic:spPr>
                </pic:pic>
              </a:graphicData>
            </a:graphic>
          </wp:inline>
        </w:drawing>
      </w:r>
    </w:p>
    <w:p>
      <w:pPr>
        <w:spacing w:before="103" w:beforeLines="20" w:after="154" w:afterLines="30" w:line="520" w:lineRule="exact"/>
        <w:ind w:firstLine="700" w:firstLineChars="250"/>
        <w:rPr>
          <w:sz w:val="28"/>
          <w:szCs w:val="28"/>
        </w:rPr>
      </w:pPr>
      <w:r>
        <w:rPr>
          <w:sz w:val="28"/>
          <w:szCs w:val="28"/>
        </w:rPr>
        <w:t>噪声合成模式：</w:t>
      </w:r>
      <w:r>
        <w:rPr>
          <w:position w:val="-30"/>
          <w:sz w:val="28"/>
          <w:szCs w:val="28"/>
        </w:rPr>
        <w:drawing>
          <wp:inline distT="0" distB="0" distL="114300" distR="114300">
            <wp:extent cx="1286510" cy="457200"/>
            <wp:effectExtent l="0" t="0" r="8890" b="0"/>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67"/>
                    <a:stretch>
                      <a:fillRect/>
                    </a:stretch>
                  </pic:blipFill>
                  <pic:spPr>
                    <a:xfrm>
                      <a:off x="0" y="0"/>
                      <a:ext cx="1286510" cy="457200"/>
                    </a:xfrm>
                    <a:prstGeom prst="rect">
                      <a:avLst/>
                    </a:prstGeom>
                    <a:noFill/>
                    <a:ln>
                      <a:noFill/>
                    </a:ln>
                  </pic:spPr>
                </pic:pic>
              </a:graphicData>
            </a:graphic>
          </wp:inline>
        </w:drawing>
      </w:r>
    </w:p>
    <w:p>
      <w:pPr>
        <w:spacing w:line="520" w:lineRule="exact"/>
        <w:ind w:firstLine="700" w:firstLineChars="250"/>
        <w:rPr>
          <w:sz w:val="28"/>
          <w:szCs w:val="28"/>
        </w:rPr>
      </w:pPr>
      <w:r>
        <w:rPr>
          <w:sz w:val="28"/>
          <w:szCs w:val="28"/>
        </w:rPr>
        <w:t>式中：</w:t>
      </w:r>
      <w:r>
        <w:rPr>
          <w:position w:val="-4"/>
          <w:sz w:val="28"/>
          <w:szCs w:val="28"/>
        </w:rPr>
        <w:drawing>
          <wp:inline distT="0" distB="0" distL="114300" distR="114300">
            <wp:extent cx="148590" cy="159385"/>
            <wp:effectExtent l="0" t="0" r="0" b="1397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68"/>
                    <a:stretch>
                      <a:fillRect/>
                    </a:stretch>
                  </pic:blipFill>
                  <pic:spPr>
                    <a:xfrm>
                      <a:off x="0" y="0"/>
                      <a:ext cx="148590" cy="159385"/>
                    </a:xfrm>
                    <a:prstGeom prst="rect">
                      <a:avLst/>
                    </a:prstGeom>
                    <a:noFill/>
                    <a:ln>
                      <a:noFill/>
                    </a:ln>
                  </pic:spPr>
                </pic:pic>
              </a:graphicData>
            </a:graphic>
          </wp:inline>
        </w:drawing>
      </w:r>
      <w:r>
        <w:rPr>
          <w:sz w:val="28"/>
          <w:szCs w:val="28"/>
        </w:rPr>
        <w:t>——预测点的噪声叠加值，dB(A)；</w:t>
      </w:r>
    </w:p>
    <w:p>
      <w:pPr>
        <w:spacing w:line="520" w:lineRule="exact"/>
        <w:ind w:firstLine="700" w:firstLineChars="250"/>
        <w:rPr>
          <w:sz w:val="28"/>
          <w:szCs w:val="28"/>
        </w:rPr>
      </w:pPr>
      <w:r>
        <w:rPr>
          <w:sz w:val="28"/>
          <w:szCs w:val="28"/>
        </w:rPr>
        <w:t xml:space="preserve">      </w:t>
      </w:r>
      <w:r>
        <w:rPr>
          <w:position w:val="-12"/>
          <w:sz w:val="28"/>
          <w:szCs w:val="28"/>
        </w:rPr>
        <w:drawing>
          <wp:inline distT="0" distB="0" distL="114300" distR="114300">
            <wp:extent cx="159385" cy="233680"/>
            <wp:effectExtent l="0" t="0" r="12065" b="15240"/>
            <wp:docPr id="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8"/>
                    <pic:cNvPicPr>
                      <a:picLocks noChangeAspect="1"/>
                    </pic:cNvPicPr>
                  </pic:nvPicPr>
                  <pic:blipFill>
                    <a:blip r:embed="rId69"/>
                    <a:stretch>
                      <a:fillRect/>
                    </a:stretch>
                  </pic:blipFill>
                  <pic:spPr>
                    <a:xfrm>
                      <a:off x="0" y="0"/>
                      <a:ext cx="159385" cy="233680"/>
                    </a:xfrm>
                    <a:prstGeom prst="rect">
                      <a:avLst/>
                    </a:prstGeom>
                    <a:noFill/>
                    <a:ln>
                      <a:noFill/>
                    </a:ln>
                  </pic:spPr>
                </pic:pic>
              </a:graphicData>
            </a:graphic>
          </wp:inline>
        </w:drawing>
      </w:r>
      <w:r>
        <w:rPr>
          <w:sz w:val="28"/>
          <w:szCs w:val="28"/>
        </w:rPr>
        <w:t>——第i个声源的声压级，dB(A)；</w:t>
      </w:r>
    </w:p>
    <w:p>
      <w:pPr>
        <w:spacing w:line="520" w:lineRule="exact"/>
        <w:ind w:firstLine="700" w:firstLineChars="250"/>
        <w:rPr>
          <w:sz w:val="28"/>
          <w:szCs w:val="28"/>
        </w:rPr>
      </w:pPr>
      <w:r>
        <w:rPr>
          <w:sz w:val="28"/>
          <w:szCs w:val="28"/>
        </w:rPr>
        <w:t xml:space="preserve">      </w:t>
      </w:r>
      <w:r>
        <w:rPr>
          <w:position w:val="-6"/>
          <w:sz w:val="28"/>
          <w:szCs w:val="28"/>
        </w:rPr>
        <w:drawing>
          <wp:inline distT="0" distB="0" distL="114300" distR="114300">
            <wp:extent cx="127635" cy="148590"/>
            <wp:effectExtent l="0" t="0" r="5715" b="3175"/>
            <wp:docPr id="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9"/>
                    <pic:cNvPicPr>
                      <a:picLocks noChangeAspect="1"/>
                    </pic:cNvPicPr>
                  </pic:nvPicPr>
                  <pic:blipFill>
                    <a:blip r:embed="rId70"/>
                    <a:stretch>
                      <a:fillRect/>
                    </a:stretch>
                  </pic:blipFill>
                  <pic:spPr>
                    <a:xfrm>
                      <a:off x="0" y="0"/>
                      <a:ext cx="127635" cy="148590"/>
                    </a:xfrm>
                    <a:prstGeom prst="rect">
                      <a:avLst/>
                    </a:prstGeom>
                    <a:noFill/>
                    <a:ln>
                      <a:noFill/>
                    </a:ln>
                  </pic:spPr>
                </pic:pic>
              </a:graphicData>
            </a:graphic>
          </wp:inline>
        </w:drawing>
      </w:r>
      <w:r>
        <w:rPr>
          <w:sz w:val="28"/>
          <w:szCs w:val="28"/>
        </w:rPr>
        <w:t>——声源个数。</w:t>
      </w:r>
    </w:p>
    <w:p>
      <w:pPr>
        <w:pStyle w:val="31"/>
      </w:pPr>
      <w:r>
        <w:t>5.2.4  评价标准</w:t>
      </w:r>
    </w:p>
    <w:p>
      <w:pPr>
        <w:spacing w:line="520" w:lineRule="exact"/>
        <w:ind w:firstLine="560" w:firstLineChars="200"/>
        <w:rPr>
          <w:sz w:val="28"/>
          <w:szCs w:val="28"/>
        </w:rPr>
      </w:pPr>
      <w:r>
        <w:rPr>
          <w:sz w:val="28"/>
          <w:szCs w:val="28"/>
        </w:rPr>
        <w:t>根据濮阳经济技术开发区环境保护局对本项目执行标准的意见，本项目噪声排放标准执行《工业企业厂界噪声排放标准》（GB12348-2008）中的3类标准，具体标准值为昼间≤65dB(A)，夜间≤55dB(A)；评价区域声环境质量标准执行《声环境质量标准》（GB3096-2008）3类标准，具体标准值为昼间≤65dB(A)，夜间≤55dB(A)。</w:t>
      </w:r>
    </w:p>
    <w:p>
      <w:pPr>
        <w:pStyle w:val="31"/>
      </w:pPr>
      <w:r>
        <w:t>5.2.5  预测结果及评价</w:t>
      </w:r>
    </w:p>
    <w:p>
      <w:pPr>
        <w:pStyle w:val="27"/>
        <w:ind w:firstLine="560"/>
      </w:pPr>
      <w:r>
        <w:t>本项目是24小时工作制，根据厂区高噪声设备的布置情况对项目昼夜声环境进行了预测。按预测模式预测工程投产后所有噪声源对厂界的影响，各预测点噪声预测结果见</w:t>
      </w:r>
      <w:r>
        <w:rPr>
          <w:rFonts w:hint="eastAsia"/>
        </w:rPr>
        <w:t>下</w:t>
      </w:r>
      <w:r>
        <w:t>表。</w:t>
      </w:r>
    </w:p>
    <w:p>
      <w:pPr>
        <w:pStyle w:val="27"/>
        <w:ind w:firstLine="560"/>
      </w:pPr>
    </w:p>
    <w:p>
      <w:pPr>
        <w:pStyle w:val="27"/>
        <w:ind w:firstLine="560"/>
      </w:pPr>
    </w:p>
    <w:p>
      <w:pPr>
        <w:pStyle w:val="32"/>
        <w:ind w:right="240"/>
      </w:pPr>
      <w:r>
        <w:t>表5.2-2            项目建成后厂界噪声预测结果</w:t>
      </w:r>
    </w:p>
    <w:tbl>
      <w:tblPr>
        <w:tblStyle w:val="21"/>
        <w:tblW w:w="8908" w:type="dxa"/>
        <w:tblInd w:w="108" w:type="dxa"/>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1073"/>
        <w:gridCol w:w="1288"/>
        <w:gridCol w:w="1288"/>
        <w:gridCol w:w="1288"/>
        <w:gridCol w:w="1288"/>
        <w:gridCol w:w="1288"/>
      </w:tblGrid>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blHeader/>
        </w:trPr>
        <w:tc>
          <w:tcPr>
            <w:tcW w:w="2468" w:type="dxa"/>
            <w:gridSpan w:val="2"/>
            <w:tcBorders>
              <w:left w:val="nil"/>
              <w:bottom w:val="single" w:color="auto" w:sz="4" w:space="0"/>
              <w:tl2br w:val="single" w:color="auto" w:sz="4" w:space="0"/>
            </w:tcBorders>
            <w:vAlign w:val="center"/>
          </w:tcPr>
          <w:p>
            <w:pPr>
              <w:pStyle w:val="35"/>
              <w:rPr>
                <w:b/>
                <w:bCs/>
              </w:rPr>
            </w:pPr>
            <w:r>
              <w:rPr>
                <w:b/>
                <w:bCs/>
              </w:rPr>
              <w:t xml:space="preserve">             项目</w:t>
            </w:r>
          </w:p>
          <w:p>
            <w:pPr>
              <w:pStyle w:val="35"/>
              <w:jc w:val="both"/>
              <w:rPr>
                <w:b/>
                <w:bCs/>
              </w:rPr>
            </w:pPr>
            <w:r>
              <w:rPr>
                <w:b/>
                <w:bCs/>
              </w:rPr>
              <w:t>监测点位</w:t>
            </w:r>
          </w:p>
        </w:tc>
        <w:tc>
          <w:tcPr>
            <w:tcW w:w="1288" w:type="dxa"/>
            <w:tcBorders>
              <w:bottom w:val="single" w:color="auto" w:sz="4" w:space="0"/>
            </w:tcBorders>
            <w:vAlign w:val="center"/>
          </w:tcPr>
          <w:p>
            <w:pPr>
              <w:pStyle w:val="35"/>
              <w:rPr>
                <w:b/>
                <w:bCs/>
              </w:rPr>
            </w:pPr>
            <w:r>
              <w:rPr>
                <w:b/>
                <w:bCs/>
              </w:rPr>
              <w:t>背景值</w:t>
            </w:r>
          </w:p>
          <w:p>
            <w:pPr>
              <w:pStyle w:val="35"/>
              <w:rPr>
                <w:b/>
                <w:bCs/>
              </w:rPr>
            </w:pPr>
            <w:r>
              <w:rPr>
                <w:b/>
                <w:bCs/>
              </w:rPr>
              <w:t>dB（A）</w:t>
            </w:r>
          </w:p>
        </w:tc>
        <w:tc>
          <w:tcPr>
            <w:tcW w:w="1288" w:type="dxa"/>
            <w:tcBorders>
              <w:bottom w:val="single" w:color="auto" w:sz="4" w:space="0"/>
              <w:right w:val="single" w:color="auto" w:sz="4" w:space="0"/>
            </w:tcBorders>
            <w:vAlign w:val="center"/>
          </w:tcPr>
          <w:p>
            <w:pPr>
              <w:pStyle w:val="35"/>
              <w:rPr>
                <w:b/>
                <w:bCs/>
              </w:rPr>
            </w:pPr>
            <w:r>
              <w:rPr>
                <w:b/>
                <w:bCs/>
              </w:rPr>
              <w:t>贡献值</w:t>
            </w:r>
          </w:p>
          <w:p>
            <w:pPr>
              <w:pStyle w:val="35"/>
              <w:rPr>
                <w:b/>
                <w:bCs/>
              </w:rPr>
            </w:pPr>
            <w:r>
              <w:rPr>
                <w:b/>
                <w:bCs/>
              </w:rPr>
              <w:t>dB（A）</w:t>
            </w:r>
          </w:p>
        </w:tc>
        <w:tc>
          <w:tcPr>
            <w:tcW w:w="1288" w:type="dxa"/>
            <w:tcBorders>
              <w:bottom w:val="single" w:color="auto" w:sz="4" w:space="0"/>
              <w:right w:val="single" w:color="auto" w:sz="4" w:space="0"/>
            </w:tcBorders>
            <w:vAlign w:val="center"/>
          </w:tcPr>
          <w:p>
            <w:pPr>
              <w:pStyle w:val="35"/>
              <w:rPr>
                <w:b/>
                <w:bCs/>
              </w:rPr>
            </w:pPr>
            <w:r>
              <w:rPr>
                <w:b/>
                <w:bCs/>
              </w:rPr>
              <w:t>预测值</w:t>
            </w:r>
          </w:p>
          <w:p>
            <w:pPr>
              <w:pStyle w:val="35"/>
              <w:rPr>
                <w:b/>
                <w:bCs/>
              </w:rPr>
            </w:pPr>
            <w:r>
              <w:rPr>
                <w:b/>
                <w:bCs/>
              </w:rPr>
              <w:t>dB（A）</w:t>
            </w:r>
          </w:p>
        </w:tc>
        <w:tc>
          <w:tcPr>
            <w:tcW w:w="1288" w:type="dxa"/>
            <w:tcBorders>
              <w:left w:val="single" w:color="auto" w:sz="4" w:space="0"/>
              <w:bottom w:val="single" w:color="auto" w:sz="4" w:space="0"/>
              <w:right w:val="single" w:color="auto" w:sz="4" w:space="0"/>
            </w:tcBorders>
            <w:vAlign w:val="center"/>
          </w:tcPr>
          <w:p>
            <w:pPr>
              <w:pStyle w:val="35"/>
              <w:rPr>
                <w:b/>
                <w:bCs/>
              </w:rPr>
            </w:pPr>
            <w:r>
              <w:rPr>
                <w:b/>
                <w:bCs/>
              </w:rPr>
              <w:t>标准</w:t>
            </w:r>
          </w:p>
          <w:p>
            <w:pPr>
              <w:pStyle w:val="35"/>
              <w:rPr>
                <w:b/>
                <w:bCs/>
              </w:rPr>
            </w:pPr>
            <w:r>
              <w:rPr>
                <w:b/>
                <w:bCs/>
              </w:rPr>
              <w:t>dB（A）</w:t>
            </w:r>
          </w:p>
        </w:tc>
        <w:tc>
          <w:tcPr>
            <w:tcW w:w="1288" w:type="dxa"/>
            <w:tcBorders>
              <w:left w:val="single" w:color="auto" w:sz="4" w:space="0"/>
              <w:bottom w:val="single" w:color="auto" w:sz="4" w:space="0"/>
              <w:right w:val="nil"/>
            </w:tcBorders>
            <w:vAlign w:val="center"/>
          </w:tcPr>
          <w:p>
            <w:pPr>
              <w:pStyle w:val="35"/>
              <w:rPr>
                <w:b/>
                <w:bCs/>
              </w:rPr>
            </w:pPr>
            <w:r>
              <w:rPr>
                <w:b/>
                <w:bCs/>
              </w:rPr>
              <w:t>达标</w:t>
            </w:r>
          </w:p>
          <w:p>
            <w:pPr>
              <w:pStyle w:val="35"/>
              <w:rPr>
                <w:b/>
                <w:bCs/>
              </w:rPr>
            </w:pPr>
            <w:r>
              <w:rPr>
                <w:b/>
                <w:bCs/>
              </w:rPr>
              <w:t>分析</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restart"/>
            <w:tcBorders>
              <w:left w:val="nil"/>
              <w:right w:val="single" w:color="auto" w:sz="4" w:space="0"/>
            </w:tcBorders>
            <w:vAlign w:val="center"/>
          </w:tcPr>
          <w:p>
            <w:pPr>
              <w:pStyle w:val="35"/>
            </w:pPr>
            <w:r>
              <w:t>东厂界</w:t>
            </w:r>
          </w:p>
        </w:tc>
        <w:tc>
          <w:tcPr>
            <w:tcW w:w="1073" w:type="dxa"/>
            <w:tcBorders>
              <w:left w:val="single" w:color="auto" w:sz="4" w:space="0"/>
            </w:tcBorders>
            <w:vAlign w:val="center"/>
          </w:tcPr>
          <w:p>
            <w:pPr>
              <w:pStyle w:val="35"/>
            </w:pPr>
            <w:r>
              <w:t>昼</w:t>
            </w:r>
          </w:p>
        </w:tc>
        <w:tc>
          <w:tcPr>
            <w:tcW w:w="1288" w:type="dxa"/>
            <w:vAlign w:val="center"/>
          </w:tcPr>
          <w:p>
            <w:pPr>
              <w:pStyle w:val="35"/>
            </w:pPr>
            <w:r>
              <w:rPr>
                <w:rFonts w:hint="eastAsia"/>
              </w:rPr>
              <w:t>60</w:t>
            </w:r>
          </w:p>
        </w:tc>
        <w:tc>
          <w:tcPr>
            <w:tcW w:w="1288" w:type="dxa"/>
            <w:vMerge w:val="restart"/>
            <w:tcBorders>
              <w:right w:val="single" w:color="auto" w:sz="4" w:space="0"/>
            </w:tcBorders>
            <w:vAlign w:val="center"/>
          </w:tcPr>
          <w:p>
            <w:pPr>
              <w:pStyle w:val="35"/>
            </w:pPr>
            <w:r>
              <w:t>5.68</w:t>
            </w:r>
          </w:p>
        </w:tc>
        <w:tc>
          <w:tcPr>
            <w:tcW w:w="1288" w:type="dxa"/>
            <w:tcBorders>
              <w:right w:val="single" w:color="auto" w:sz="4" w:space="0"/>
            </w:tcBorders>
            <w:vAlign w:val="center"/>
          </w:tcPr>
          <w:p>
            <w:pPr>
              <w:pStyle w:val="35"/>
            </w:pPr>
            <w:r>
              <w:rPr>
                <w:rFonts w:hint="eastAsia"/>
              </w:rPr>
              <w:t>60.00</w:t>
            </w:r>
          </w:p>
        </w:tc>
        <w:tc>
          <w:tcPr>
            <w:tcW w:w="1288" w:type="dxa"/>
            <w:vMerge w:val="restart"/>
            <w:tcBorders>
              <w:left w:val="single" w:color="auto" w:sz="4" w:space="0"/>
              <w:right w:val="single" w:color="auto" w:sz="4" w:space="0"/>
            </w:tcBorders>
            <w:vAlign w:val="center"/>
          </w:tcPr>
          <w:p>
            <w:pPr>
              <w:pStyle w:val="35"/>
            </w:pPr>
            <w:r>
              <w:t>昼65</w:t>
            </w:r>
          </w:p>
          <w:p>
            <w:pPr>
              <w:pStyle w:val="35"/>
            </w:pPr>
            <w:r>
              <w:t>夜55</w:t>
            </w: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continue"/>
            <w:tcBorders>
              <w:left w:val="nil"/>
              <w:right w:val="single" w:color="auto" w:sz="4" w:space="0"/>
            </w:tcBorders>
            <w:vAlign w:val="center"/>
          </w:tcPr>
          <w:p>
            <w:pPr>
              <w:pStyle w:val="35"/>
            </w:pPr>
          </w:p>
        </w:tc>
        <w:tc>
          <w:tcPr>
            <w:tcW w:w="1073" w:type="dxa"/>
            <w:tcBorders>
              <w:left w:val="single" w:color="auto" w:sz="4" w:space="0"/>
            </w:tcBorders>
            <w:vAlign w:val="center"/>
          </w:tcPr>
          <w:p>
            <w:pPr>
              <w:pStyle w:val="35"/>
            </w:pPr>
            <w:r>
              <w:t>夜</w:t>
            </w:r>
          </w:p>
        </w:tc>
        <w:tc>
          <w:tcPr>
            <w:tcW w:w="1288" w:type="dxa"/>
            <w:vAlign w:val="center"/>
          </w:tcPr>
          <w:p>
            <w:pPr>
              <w:pStyle w:val="35"/>
            </w:pPr>
            <w:r>
              <w:rPr>
                <w:rFonts w:hint="eastAsia"/>
              </w:rPr>
              <w:t>54</w:t>
            </w:r>
          </w:p>
        </w:tc>
        <w:tc>
          <w:tcPr>
            <w:tcW w:w="1288" w:type="dxa"/>
            <w:vMerge w:val="continue"/>
            <w:tcBorders>
              <w:right w:val="single" w:color="auto" w:sz="4" w:space="0"/>
            </w:tcBorders>
            <w:vAlign w:val="center"/>
          </w:tcPr>
          <w:p>
            <w:pPr>
              <w:pStyle w:val="35"/>
            </w:pPr>
          </w:p>
        </w:tc>
        <w:tc>
          <w:tcPr>
            <w:tcW w:w="1288" w:type="dxa"/>
            <w:tcBorders>
              <w:right w:val="single" w:color="auto" w:sz="4" w:space="0"/>
            </w:tcBorders>
            <w:vAlign w:val="center"/>
          </w:tcPr>
          <w:p>
            <w:pPr>
              <w:pStyle w:val="35"/>
            </w:pPr>
            <w:r>
              <w:rPr>
                <w:rFonts w:hint="eastAsia"/>
              </w:rPr>
              <w:t>54.00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restart"/>
            <w:tcBorders>
              <w:left w:val="nil"/>
              <w:right w:val="single" w:color="auto" w:sz="4" w:space="0"/>
            </w:tcBorders>
            <w:vAlign w:val="center"/>
          </w:tcPr>
          <w:p>
            <w:pPr>
              <w:pStyle w:val="35"/>
            </w:pPr>
            <w:r>
              <w:t>南厂界</w:t>
            </w:r>
          </w:p>
        </w:tc>
        <w:tc>
          <w:tcPr>
            <w:tcW w:w="1073" w:type="dxa"/>
            <w:tcBorders>
              <w:left w:val="single" w:color="auto" w:sz="4" w:space="0"/>
            </w:tcBorders>
            <w:vAlign w:val="center"/>
          </w:tcPr>
          <w:p>
            <w:pPr>
              <w:pStyle w:val="35"/>
            </w:pPr>
            <w:r>
              <w:t>昼</w:t>
            </w:r>
          </w:p>
        </w:tc>
        <w:tc>
          <w:tcPr>
            <w:tcW w:w="1288" w:type="dxa"/>
            <w:vAlign w:val="center"/>
          </w:tcPr>
          <w:p>
            <w:pPr>
              <w:pStyle w:val="35"/>
            </w:pPr>
            <w:r>
              <w:rPr>
                <w:rFonts w:hint="eastAsia"/>
              </w:rPr>
              <w:t>59</w:t>
            </w:r>
          </w:p>
        </w:tc>
        <w:tc>
          <w:tcPr>
            <w:tcW w:w="1288" w:type="dxa"/>
            <w:vMerge w:val="restart"/>
            <w:tcBorders>
              <w:right w:val="single" w:color="auto" w:sz="4" w:space="0"/>
            </w:tcBorders>
            <w:vAlign w:val="center"/>
          </w:tcPr>
          <w:p>
            <w:pPr>
              <w:pStyle w:val="35"/>
            </w:pPr>
            <w:r>
              <w:t>19.14</w:t>
            </w:r>
          </w:p>
        </w:tc>
        <w:tc>
          <w:tcPr>
            <w:tcW w:w="1288" w:type="dxa"/>
            <w:tcBorders>
              <w:right w:val="single" w:color="auto" w:sz="4" w:space="0"/>
            </w:tcBorders>
            <w:vAlign w:val="center"/>
          </w:tcPr>
          <w:p>
            <w:pPr>
              <w:pStyle w:val="35"/>
            </w:pPr>
            <w:r>
              <w:rPr>
                <w:rFonts w:hint="eastAsia"/>
              </w:rPr>
              <w:t>59.00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 w:hRule="atLeast"/>
        </w:trPr>
        <w:tc>
          <w:tcPr>
            <w:tcW w:w="1395" w:type="dxa"/>
            <w:vMerge w:val="continue"/>
            <w:tcBorders>
              <w:left w:val="nil"/>
              <w:right w:val="single" w:color="auto" w:sz="4" w:space="0"/>
            </w:tcBorders>
            <w:vAlign w:val="center"/>
          </w:tcPr>
          <w:p>
            <w:pPr>
              <w:pStyle w:val="35"/>
            </w:pPr>
          </w:p>
        </w:tc>
        <w:tc>
          <w:tcPr>
            <w:tcW w:w="1073" w:type="dxa"/>
            <w:tcBorders>
              <w:left w:val="single" w:color="auto" w:sz="4" w:space="0"/>
            </w:tcBorders>
            <w:vAlign w:val="center"/>
          </w:tcPr>
          <w:p>
            <w:pPr>
              <w:pStyle w:val="35"/>
            </w:pPr>
            <w:r>
              <w:t>夜</w:t>
            </w:r>
          </w:p>
        </w:tc>
        <w:tc>
          <w:tcPr>
            <w:tcW w:w="1288" w:type="dxa"/>
            <w:vAlign w:val="center"/>
          </w:tcPr>
          <w:p>
            <w:pPr>
              <w:pStyle w:val="35"/>
            </w:pPr>
            <w:r>
              <w:rPr>
                <w:rFonts w:hint="eastAsia"/>
              </w:rPr>
              <w:t>51</w:t>
            </w:r>
          </w:p>
        </w:tc>
        <w:tc>
          <w:tcPr>
            <w:tcW w:w="1288" w:type="dxa"/>
            <w:vMerge w:val="continue"/>
            <w:tcBorders>
              <w:right w:val="single" w:color="auto" w:sz="4" w:space="0"/>
            </w:tcBorders>
            <w:vAlign w:val="center"/>
          </w:tcPr>
          <w:p>
            <w:pPr>
              <w:pStyle w:val="35"/>
            </w:pPr>
          </w:p>
        </w:tc>
        <w:tc>
          <w:tcPr>
            <w:tcW w:w="1288" w:type="dxa"/>
            <w:tcBorders>
              <w:right w:val="single" w:color="auto" w:sz="4" w:space="0"/>
            </w:tcBorders>
            <w:vAlign w:val="center"/>
          </w:tcPr>
          <w:p>
            <w:pPr>
              <w:pStyle w:val="35"/>
            </w:pPr>
            <w:r>
              <w:rPr>
                <w:rFonts w:hint="eastAsia"/>
              </w:rPr>
              <w:t>51.00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restart"/>
            <w:tcBorders>
              <w:left w:val="nil"/>
              <w:right w:val="single" w:color="auto" w:sz="4" w:space="0"/>
            </w:tcBorders>
            <w:vAlign w:val="center"/>
          </w:tcPr>
          <w:p>
            <w:pPr>
              <w:pStyle w:val="35"/>
            </w:pPr>
            <w:r>
              <w:t>西厂界</w:t>
            </w:r>
          </w:p>
        </w:tc>
        <w:tc>
          <w:tcPr>
            <w:tcW w:w="1073" w:type="dxa"/>
            <w:tcBorders>
              <w:left w:val="single" w:color="auto" w:sz="4" w:space="0"/>
            </w:tcBorders>
            <w:vAlign w:val="center"/>
          </w:tcPr>
          <w:p>
            <w:pPr>
              <w:pStyle w:val="35"/>
            </w:pPr>
            <w:r>
              <w:t>昼</w:t>
            </w:r>
          </w:p>
        </w:tc>
        <w:tc>
          <w:tcPr>
            <w:tcW w:w="1288" w:type="dxa"/>
            <w:vAlign w:val="center"/>
          </w:tcPr>
          <w:p>
            <w:pPr>
              <w:pStyle w:val="35"/>
            </w:pPr>
            <w:r>
              <w:rPr>
                <w:rFonts w:hint="eastAsia"/>
              </w:rPr>
              <w:t>60</w:t>
            </w:r>
          </w:p>
        </w:tc>
        <w:tc>
          <w:tcPr>
            <w:tcW w:w="1288" w:type="dxa"/>
            <w:vMerge w:val="restart"/>
            <w:tcBorders>
              <w:right w:val="single" w:color="auto" w:sz="4" w:space="0"/>
            </w:tcBorders>
            <w:vAlign w:val="center"/>
          </w:tcPr>
          <w:p>
            <w:pPr>
              <w:pStyle w:val="35"/>
            </w:pPr>
            <w:r>
              <w:t>27.24</w:t>
            </w:r>
          </w:p>
        </w:tc>
        <w:tc>
          <w:tcPr>
            <w:tcW w:w="1288" w:type="dxa"/>
            <w:tcBorders>
              <w:right w:val="single" w:color="auto" w:sz="4" w:space="0"/>
            </w:tcBorders>
            <w:vAlign w:val="center"/>
          </w:tcPr>
          <w:p>
            <w:pPr>
              <w:pStyle w:val="35"/>
            </w:pPr>
            <w:r>
              <w:rPr>
                <w:rFonts w:hint="eastAsia"/>
              </w:rPr>
              <w:t>60.00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continue"/>
            <w:tcBorders>
              <w:left w:val="nil"/>
              <w:right w:val="single" w:color="auto" w:sz="4" w:space="0"/>
            </w:tcBorders>
            <w:vAlign w:val="center"/>
          </w:tcPr>
          <w:p>
            <w:pPr>
              <w:pStyle w:val="35"/>
            </w:pPr>
          </w:p>
        </w:tc>
        <w:tc>
          <w:tcPr>
            <w:tcW w:w="1073" w:type="dxa"/>
            <w:tcBorders>
              <w:left w:val="single" w:color="auto" w:sz="4" w:space="0"/>
            </w:tcBorders>
            <w:vAlign w:val="center"/>
          </w:tcPr>
          <w:p>
            <w:pPr>
              <w:pStyle w:val="35"/>
            </w:pPr>
            <w:r>
              <w:t>夜</w:t>
            </w:r>
          </w:p>
        </w:tc>
        <w:tc>
          <w:tcPr>
            <w:tcW w:w="1288" w:type="dxa"/>
            <w:vAlign w:val="center"/>
          </w:tcPr>
          <w:p>
            <w:pPr>
              <w:pStyle w:val="35"/>
            </w:pPr>
            <w:r>
              <w:rPr>
                <w:rFonts w:hint="eastAsia"/>
              </w:rPr>
              <w:t>52</w:t>
            </w:r>
          </w:p>
        </w:tc>
        <w:tc>
          <w:tcPr>
            <w:tcW w:w="1288" w:type="dxa"/>
            <w:vMerge w:val="continue"/>
            <w:tcBorders>
              <w:right w:val="single" w:color="auto" w:sz="4" w:space="0"/>
            </w:tcBorders>
            <w:vAlign w:val="center"/>
          </w:tcPr>
          <w:p>
            <w:pPr>
              <w:pStyle w:val="35"/>
            </w:pPr>
          </w:p>
        </w:tc>
        <w:tc>
          <w:tcPr>
            <w:tcW w:w="1288" w:type="dxa"/>
            <w:tcBorders>
              <w:right w:val="single" w:color="auto" w:sz="4" w:space="0"/>
            </w:tcBorders>
            <w:vAlign w:val="center"/>
          </w:tcPr>
          <w:p>
            <w:pPr>
              <w:pStyle w:val="35"/>
            </w:pPr>
            <w:r>
              <w:rPr>
                <w:rFonts w:hint="eastAsia"/>
              </w:rPr>
              <w:t>52.01</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restart"/>
            <w:tcBorders>
              <w:left w:val="nil"/>
              <w:right w:val="single" w:color="auto" w:sz="4" w:space="0"/>
            </w:tcBorders>
            <w:vAlign w:val="center"/>
          </w:tcPr>
          <w:p>
            <w:pPr>
              <w:pStyle w:val="35"/>
            </w:pPr>
            <w:r>
              <w:t>北厂界</w:t>
            </w:r>
          </w:p>
        </w:tc>
        <w:tc>
          <w:tcPr>
            <w:tcW w:w="1073" w:type="dxa"/>
            <w:tcBorders>
              <w:left w:val="single" w:color="auto" w:sz="4" w:space="0"/>
            </w:tcBorders>
            <w:vAlign w:val="center"/>
          </w:tcPr>
          <w:p>
            <w:pPr>
              <w:pStyle w:val="35"/>
            </w:pPr>
            <w:r>
              <w:t>昼</w:t>
            </w:r>
          </w:p>
        </w:tc>
        <w:tc>
          <w:tcPr>
            <w:tcW w:w="1288" w:type="dxa"/>
            <w:vAlign w:val="center"/>
          </w:tcPr>
          <w:p>
            <w:pPr>
              <w:pStyle w:val="35"/>
            </w:pPr>
            <w:r>
              <w:rPr>
                <w:rFonts w:hint="eastAsia"/>
              </w:rPr>
              <w:t>58</w:t>
            </w:r>
          </w:p>
        </w:tc>
        <w:tc>
          <w:tcPr>
            <w:tcW w:w="1288" w:type="dxa"/>
            <w:vMerge w:val="restart"/>
            <w:tcBorders>
              <w:right w:val="single" w:color="auto" w:sz="4" w:space="0"/>
            </w:tcBorders>
            <w:vAlign w:val="center"/>
          </w:tcPr>
          <w:p>
            <w:pPr>
              <w:pStyle w:val="35"/>
            </w:pPr>
            <w:r>
              <w:t>10.96</w:t>
            </w:r>
          </w:p>
        </w:tc>
        <w:tc>
          <w:tcPr>
            <w:tcW w:w="1288" w:type="dxa"/>
            <w:tcBorders>
              <w:right w:val="single" w:color="auto" w:sz="4" w:space="0"/>
            </w:tcBorders>
            <w:vAlign w:val="center"/>
          </w:tcPr>
          <w:p>
            <w:pPr>
              <w:pStyle w:val="35"/>
            </w:pPr>
            <w:r>
              <w:rPr>
                <w:rFonts w:hint="eastAsia"/>
              </w:rPr>
              <w:t>58.00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trPr>
        <w:tc>
          <w:tcPr>
            <w:tcW w:w="1395" w:type="dxa"/>
            <w:vMerge w:val="continue"/>
            <w:tcBorders>
              <w:left w:val="nil"/>
              <w:right w:val="single" w:color="auto" w:sz="4" w:space="0"/>
            </w:tcBorders>
            <w:vAlign w:val="center"/>
          </w:tcPr>
          <w:p>
            <w:pPr>
              <w:pStyle w:val="35"/>
            </w:pPr>
          </w:p>
        </w:tc>
        <w:tc>
          <w:tcPr>
            <w:tcW w:w="1073" w:type="dxa"/>
            <w:tcBorders>
              <w:left w:val="single" w:color="auto" w:sz="4" w:space="0"/>
            </w:tcBorders>
            <w:vAlign w:val="center"/>
          </w:tcPr>
          <w:p>
            <w:pPr>
              <w:pStyle w:val="35"/>
            </w:pPr>
            <w:r>
              <w:t>夜</w:t>
            </w:r>
          </w:p>
        </w:tc>
        <w:tc>
          <w:tcPr>
            <w:tcW w:w="1288" w:type="dxa"/>
            <w:vAlign w:val="center"/>
          </w:tcPr>
          <w:p>
            <w:pPr>
              <w:pStyle w:val="35"/>
            </w:pPr>
            <w:r>
              <w:rPr>
                <w:rFonts w:hint="eastAsia"/>
              </w:rPr>
              <w:t>53</w:t>
            </w:r>
          </w:p>
        </w:tc>
        <w:tc>
          <w:tcPr>
            <w:tcW w:w="1288" w:type="dxa"/>
            <w:vMerge w:val="continue"/>
            <w:tcBorders>
              <w:right w:val="single" w:color="auto" w:sz="4" w:space="0"/>
            </w:tcBorders>
            <w:vAlign w:val="center"/>
          </w:tcPr>
          <w:p>
            <w:pPr>
              <w:pStyle w:val="35"/>
            </w:pPr>
          </w:p>
        </w:tc>
        <w:tc>
          <w:tcPr>
            <w:tcW w:w="1288" w:type="dxa"/>
            <w:tcBorders>
              <w:right w:val="single" w:color="auto" w:sz="4" w:space="0"/>
            </w:tcBorders>
            <w:vAlign w:val="center"/>
          </w:tcPr>
          <w:p>
            <w:pPr>
              <w:pStyle w:val="35"/>
            </w:pPr>
            <w:r>
              <w:rPr>
                <w:rFonts w:hint="eastAsia"/>
              </w:rPr>
              <w:t>53.00</w:t>
            </w:r>
          </w:p>
        </w:tc>
        <w:tc>
          <w:tcPr>
            <w:tcW w:w="1288" w:type="dxa"/>
            <w:vMerge w:val="continue"/>
            <w:tcBorders>
              <w:left w:val="single" w:color="auto" w:sz="4" w:space="0"/>
              <w:right w:val="single" w:color="auto" w:sz="4" w:space="0"/>
            </w:tcBorders>
            <w:vAlign w:val="center"/>
          </w:tcPr>
          <w:p>
            <w:pPr>
              <w:pStyle w:val="35"/>
            </w:pPr>
          </w:p>
        </w:tc>
        <w:tc>
          <w:tcPr>
            <w:tcW w:w="1288" w:type="dxa"/>
            <w:tcBorders>
              <w:left w:val="single" w:color="auto" w:sz="4" w:space="0"/>
              <w:right w:val="nil"/>
            </w:tcBorders>
            <w:vAlign w:val="center"/>
          </w:tcPr>
          <w:p>
            <w:pPr>
              <w:pStyle w:val="35"/>
            </w:pPr>
            <w:r>
              <w:t>达标</w:t>
            </w:r>
          </w:p>
        </w:tc>
      </w:tr>
    </w:tbl>
    <w:p>
      <w:pPr>
        <w:spacing w:line="520" w:lineRule="exact"/>
        <w:ind w:firstLine="561"/>
        <w:rPr>
          <w:sz w:val="28"/>
          <w:szCs w:val="28"/>
        </w:rPr>
      </w:pPr>
      <w:r>
        <w:rPr>
          <w:sz w:val="28"/>
          <w:szCs w:val="28"/>
        </w:rPr>
        <w:t>由计算结果可知，项目投产运营后，各厂界噪声</w:t>
      </w:r>
      <w:r>
        <w:rPr>
          <w:rFonts w:hint="eastAsia"/>
          <w:sz w:val="28"/>
          <w:szCs w:val="28"/>
        </w:rPr>
        <w:t>预测</w:t>
      </w:r>
      <w:r>
        <w:rPr>
          <w:sz w:val="28"/>
          <w:szCs w:val="28"/>
        </w:rPr>
        <w:t>值均满足《工业企业厂界噪声排放标准》（GB12348-2008）中的3类标准限值要求。厂址周围200m内无居民点，不会产生噪声扰民现象。环评企业加强对厂界厂区的绿化工作，多种植树木，并辅种灌木和矮草，形成绿色隔声带，以进一步降低设备噪声对周围环境及敏感点的不利影响。</w:t>
      </w:r>
    </w:p>
    <w:p>
      <w:pPr>
        <w:pStyle w:val="62"/>
      </w:pPr>
      <w:r>
        <w:t>5.3 地表水环境质量影响分析</w:t>
      </w:r>
      <w:r>
        <w:tab/>
      </w:r>
    </w:p>
    <w:p>
      <w:pPr>
        <w:pStyle w:val="31"/>
        <w:rPr>
          <w:bCs/>
        </w:rPr>
      </w:pPr>
      <w:r>
        <w:t>5.3.1</w:t>
      </w:r>
      <w:r>
        <w:rPr>
          <w:bCs/>
        </w:rPr>
        <w:t xml:space="preserve"> 评价等级确定</w:t>
      </w:r>
    </w:p>
    <w:p>
      <w:pPr>
        <w:pStyle w:val="27"/>
        <w:ind w:firstLine="560"/>
      </w:pPr>
      <w:r>
        <w:t>根据《环境影响评价技术导则地表水环境》（HJ 2.3-2018），建设项目地表水环境影响评价等级按照影响类型、排放方式、排放量或影响情况、受纳水体环境质量现状、水环境保护目标等综合确定，本项目为间接排放的建设项目，评价等级判定为三级B。</w:t>
      </w:r>
    </w:p>
    <w:p>
      <w:pPr>
        <w:pStyle w:val="27"/>
        <w:ind w:firstLine="560"/>
      </w:pPr>
      <w:r>
        <w:t>根据《环境影响评价技术导则 地表水环境》（HJ2.3-2018），水污染影响型三级B评价的主要评价内容包括：</w:t>
      </w:r>
      <w:r>
        <w:fldChar w:fldCharType="begin"/>
      </w:r>
      <w:r>
        <w:instrText xml:space="preserve"> = 1 \* GB3 </w:instrText>
      </w:r>
      <w:r>
        <w:fldChar w:fldCharType="separate"/>
      </w:r>
      <w:r>
        <w:t>①</w:t>
      </w:r>
      <w:r>
        <w:fldChar w:fldCharType="end"/>
      </w:r>
      <w:r>
        <w:t>水污染控制和水环境影响减缓措施有效性评价；</w:t>
      </w:r>
      <w:r>
        <w:fldChar w:fldCharType="begin"/>
      </w:r>
      <w:r>
        <w:instrText xml:space="preserve"> = 2 \* GB3 </w:instrText>
      </w:r>
      <w:r>
        <w:fldChar w:fldCharType="separate"/>
      </w:r>
      <w:r>
        <w:t>②</w:t>
      </w:r>
      <w:r>
        <w:fldChar w:fldCharType="end"/>
      </w:r>
      <w:r>
        <w:t>依托污水处理设施的环境可行性评价。</w:t>
      </w:r>
    </w:p>
    <w:p>
      <w:pPr>
        <w:pStyle w:val="31"/>
        <w:rPr>
          <w:bCs/>
        </w:rPr>
      </w:pPr>
      <w:r>
        <w:t>5.3.2</w:t>
      </w:r>
      <w:r>
        <w:rPr>
          <w:bCs/>
        </w:rPr>
        <w:t xml:space="preserve"> 水污染控制和水环境影响减缓措施有效性评价</w:t>
      </w:r>
    </w:p>
    <w:p>
      <w:pPr>
        <w:pStyle w:val="27"/>
        <w:ind w:firstLine="560"/>
      </w:pPr>
      <w:r>
        <w:t>本项目</w:t>
      </w:r>
      <w:r>
        <w:rPr>
          <w:szCs w:val="28"/>
        </w:rPr>
        <w:t>乙二醇精馏系统产生的闪蒸冷凝液（W</w:t>
      </w:r>
      <w:r>
        <w:rPr>
          <w:szCs w:val="28"/>
          <w:vertAlign w:val="subscript"/>
        </w:rPr>
        <w:t>1</w:t>
      </w:r>
      <w:r>
        <w:rPr>
          <w:szCs w:val="28"/>
        </w:rPr>
        <w:t>）、</w:t>
      </w:r>
      <w:r>
        <w:rPr>
          <w:kern w:val="0"/>
          <w:szCs w:val="28"/>
        </w:rPr>
        <w:t>脱轻塔塔顶产生的冷凝废水</w:t>
      </w:r>
      <w:r>
        <w:rPr>
          <w:szCs w:val="28"/>
        </w:rPr>
        <w:t>（W</w:t>
      </w:r>
      <w:r>
        <w:rPr>
          <w:szCs w:val="28"/>
          <w:vertAlign w:val="subscript"/>
        </w:rPr>
        <w:t>2</w:t>
      </w:r>
      <w:r>
        <w:rPr>
          <w:szCs w:val="28"/>
        </w:rPr>
        <w:t>）均为含醇废水，送项目尾气洗涤塔利用；尾气洗涤塔外排水（W</w:t>
      </w:r>
      <w:r>
        <w:rPr>
          <w:szCs w:val="28"/>
          <w:vertAlign w:val="subscript"/>
        </w:rPr>
        <w:t>3</w:t>
      </w:r>
      <w:r>
        <w:rPr>
          <w:szCs w:val="28"/>
        </w:rPr>
        <w:t>）、</w:t>
      </w:r>
      <w:r>
        <w:rPr>
          <w:snapToGrid w:val="0"/>
          <w:kern w:val="0"/>
          <w:szCs w:val="28"/>
        </w:rPr>
        <w:t>真空系统废水</w:t>
      </w:r>
      <w:r>
        <w:rPr>
          <w:szCs w:val="28"/>
        </w:rPr>
        <w:t>（W</w:t>
      </w:r>
      <w:r>
        <w:rPr>
          <w:szCs w:val="28"/>
          <w:vertAlign w:val="subscript"/>
        </w:rPr>
        <w:t>4</w:t>
      </w:r>
      <w:r>
        <w:rPr>
          <w:szCs w:val="28"/>
        </w:rPr>
        <w:t>）、</w:t>
      </w:r>
      <w:r>
        <w:rPr>
          <w:snapToGrid w:val="0"/>
          <w:kern w:val="0"/>
          <w:szCs w:val="28"/>
        </w:rPr>
        <w:t>地面冲洗废水</w:t>
      </w:r>
      <w:r>
        <w:rPr>
          <w:szCs w:val="28"/>
        </w:rPr>
        <w:t>（W</w:t>
      </w:r>
      <w:r>
        <w:rPr>
          <w:szCs w:val="28"/>
          <w:vertAlign w:val="subscript"/>
        </w:rPr>
        <w:t>7</w:t>
      </w:r>
      <w:r>
        <w:rPr>
          <w:szCs w:val="28"/>
        </w:rPr>
        <w:t>）送厂区现有污水处理站处理，水量约为1.22</w:t>
      </w:r>
      <w:r>
        <w:rPr>
          <w:rFonts w:eastAsiaTheme="minorEastAsia"/>
        </w:rPr>
        <w:t>m</w:t>
      </w:r>
      <w:r>
        <w:rPr>
          <w:rFonts w:eastAsiaTheme="minorEastAsia"/>
          <w:vertAlign w:val="superscript"/>
        </w:rPr>
        <w:t>3</w:t>
      </w:r>
      <w:r>
        <w:rPr>
          <w:rFonts w:eastAsiaTheme="minorEastAsia"/>
        </w:rPr>
        <w:t>/h，经处理后约074m</w:t>
      </w:r>
      <w:r>
        <w:rPr>
          <w:rFonts w:eastAsiaTheme="minorEastAsia"/>
          <w:vertAlign w:val="superscript"/>
        </w:rPr>
        <w:t>3</w:t>
      </w:r>
      <w:r>
        <w:rPr>
          <w:rFonts w:eastAsiaTheme="minorEastAsia"/>
        </w:rPr>
        <w:t>/h回用，剩余0.48m</w:t>
      </w:r>
      <w:r>
        <w:rPr>
          <w:rFonts w:eastAsiaTheme="minorEastAsia"/>
          <w:vertAlign w:val="superscript"/>
        </w:rPr>
        <w:t>3</w:t>
      </w:r>
      <w:r>
        <w:rPr>
          <w:rFonts w:eastAsiaTheme="minorEastAsia"/>
        </w:rPr>
        <w:t>/h与清净下水一同</w:t>
      </w:r>
      <w:r>
        <w:rPr>
          <w:szCs w:val="28"/>
        </w:rPr>
        <w:t>排入濮阳市第二污水处理厂处理；本工程新增的循环冷却外排水（W</w:t>
      </w:r>
      <w:r>
        <w:rPr>
          <w:szCs w:val="28"/>
          <w:vertAlign w:val="subscript"/>
        </w:rPr>
        <w:t>5</w:t>
      </w:r>
      <w:r>
        <w:rPr>
          <w:szCs w:val="28"/>
        </w:rPr>
        <w:t>）和脱盐水站排污水（W</w:t>
      </w:r>
      <w:r>
        <w:rPr>
          <w:szCs w:val="28"/>
          <w:vertAlign w:val="subscript"/>
        </w:rPr>
        <w:t>6</w:t>
      </w:r>
      <w:r>
        <w:rPr>
          <w:szCs w:val="28"/>
        </w:rPr>
        <w:t>）均属清净下水，直接排入濮阳市第二污水处理厂处理，水量约为1.54</w:t>
      </w:r>
      <w:r>
        <w:rPr>
          <w:rFonts w:eastAsiaTheme="minorEastAsia"/>
        </w:rPr>
        <w:t>m</w:t>
      </w:r>
      <w:r>
        <w:rPr>
          <w:rFonts w:eastAsiaTheme="minorEastAsia"/>
          <w:vertAlign w:val="superscript"/>
        </w:rPr>
        <w:t>3</w:t>
      </w:r>
      <w:r>
        <w:rPr>
          <w:rFonts w:eastAsiaTheme="minorEastAsia"/>
        </w:rPr>
        <w:t>/h</w:t>
      </w:r>
      <w:r>
        <w:rPr>
          <w:szCs w:val="28"/>
        </w:rPr>
        <w:t>。</w:t>
      </w:r>
    </w:p>
    <w:p>
      <w:pPr>
        <w:pStyle w:val="27"/>
        <w:ind w:firstLine="560"/>
      </w:pPr>
      <w:r>
        <w:t>（1）处理能力</w:t>
      </w:r>
    </w:p>
    <w:p>
      <w:pPr>
        <w:pStyle w:val="27"/>
        <w:ind w:firstLine="560"/>
      </w:pPr>
      <w:r>
        <w:t>中原大化现有工程30万吨/年甲醇项目于2008年5月配套建成一套处理规模100m</w:t>
      </w:r>
      <w:r>
        <w:rPr>
          <w:vertAlign w:val="superscript"/>
        </w:rPr>
        <w:t>3</w:t>
      </w:r>
      <w:r>
        <w:t>/h的污水处理装置，随着环境管理要求的提高，中原大化煤化工外排水质标准随之提高，原有污水处理设施已不能满足废水稳定达标排放，需对原污水处理系统优化、提标升级改造，中原大化集团公司考虑煤化工的后续发展，2013年6月完成原有污水处理系统进行提标扩能改造。将30万吨/年甲醇和20万吨/年乙二醇两个项目污水合并处理，新增污水处理能力200m³/h，高浓度污水预处理能力20m³/h，将中原大化原有100m³/h污水处理系统与新建扩容处理系统有机整合为一个处理系统，主体工艺采用IC+HBF预处理+二级AO+砂滤+超滤+反渗透处理中水回用工世，达到60%以上污水回用率，每小时设计回用污水180m³，设计规模整合为300m</w:t>
      </w:r>
      <w:r>
        <w:rPr>
          <w:vertAlign w:val="superscript"/>
        </w:rPr>
        <w:t>3</w:t>
      </w:r>
      <w:r>
        <w:t>/h。</w:t>
      </w:r>
    </w:p>
    <w:p>
      <w:pPr>
        <w:pStyle w:val="27"/>
        <w:ind w:firstLine="560"/>
      </w:pPr>
      <w:r>
        <w:t>目前中原大化现有污水处理站尚有约47m</w:t>
      </w:r>
      <w:r>
        <w:rPr>
          <w:vertAlign w:val="superscript"/>
        </w:rPr>
        <w:t>3</w:t>
      </w:r>
      <w:r>
        <w:t>/h的富裕处理能力，高浓度废水与处理系统富余处理能力12m</w:t>
      </w:r>
      <w:r>
        <w:rPr>
          <w:vertAlign w:val="superscript"/>
        </w:rPr>
        <w:t>3</w:t>
      </w:r>
      <w:r>
        <w:t>/h，本项目需排入现有污水处理站的废水量约为</w:t>
      </w:r>
      <w:r>
        <w:rPr>
          <w:szCs w:val="28"/>
        </w:rPr>
        <w:t>1.22</w:t>
      </w:r>
      <w:r>
        <w:t>m</w:t>
      </w:r>
      <w:r>
        <w:rPr>
          <w:vertAlign w:val="superscript"/>
        </w:rPr>
        <w:t>3</w:t>
      </w:r>
      <w:r>
        <w:t>/h，因此从水量上说，现有废水处理工程是可以满足本项目废水处理需求的。</w:t>
      </w:r>
    </w:p>
    <w:p>
      <w:pPr>
        <w:pStyle w:val="27"/>
        <w:ind w:firstLine="560"/>
      </w:pPr>
      <w:r>
        <w:t>（2）处理工艺</w:t>
      </w:r>
    </w:p>
    <w:p>
      <w:pPr>
        <w:pStyle w:val="27"/>
        <w:ind w:firstLine="560"/>
      </w:pPr>
      <w:r>
        <w:t>本项目需处理的废水量很小，但废水中COD、BOD</w:t>
      </w:r>
      <w:r>
        <w:rPr>
          <w:vertAlign w:val="subscript"/>
        </w:rPr>
        <w:t>5</w:t>
      </w:r>
      <w:r>
        <w:t>浓度很高，属于高浓度有机废水。现有工程设有高浓度污水预处理工序，采用IC+HBF进行预处理。IC全称为高效厌氧反应器，适用于高浓度污水预处理；HBF全称为复合式连续流序批反应器，具有优质的脱氮能力。本项目氨氮浓度不高，COD、BOD</w:t>
      </w:r>
      <w:r>
        <w:rPr>
          <w:vertAlign w:val="subscript"/>
        </w:rPr>
        <w:t>5</w:t>
      </w:r>
      <w:r>
        <w:t>浓度很高，适于采用IC工艺预处理，经预处理后的废水再经二级AO处理+砂滤+超滤+反渗透处理，可实现达标排放，现有废水处理站的处理工艺能处理本项目高浓度有机废水。</w:t>
      </w:r>
    </w:p>
    <w:p>
      <w:pPr>
        <w:pStyle w:val="27"/>
        <w:ind w:firstLine="560"/>
      </w:pPr>
      <w:r>
        <w:rPr>
          <w:rFonts w:eastAsiaTheme="minorEastAsia"/>
          <w:szCs w:val="28"/>
        </w:rPr>
        <w:t>本项目废水对中原大化现有污水处理站出水现状贡献值很小，废水进入中原大化污水处理站处理后，厂区总排口出水可满足GB8978-1996《污水综合排放标准》表4二级标准限值要求和濮阳市第二污水处理厂收水水质要求，</w:t>
      </w:r>
      <w:r>
        <w:t>处理措施可行。</w:t>
      </w:r>
    </w:p>
    <w:p>
      <w:pPr>
        <w:pStyle w:val="31"/>
        <w:rPr>
          <w:bCs/>
        </w:rPr>
      </w:pPr>
      <w:r>
        <w:t>5.3.3</w:t>
      </w:r>
      <w:r>
        <w:rPr>
          <w:bCs/>
        </w:rPr>
        <w:t xml:space="preserve"> 依托污水处理设施的环境可行性评价</w:t>
      </w:r>
    </w:p>
    <w:p>
      <w:pPr>
        <w:pStyle w:val="27"/>
        <w:ind w:firstLine="560"/>
      </w:pPr>
      <w:r>
        <w:t>濮阳市第二污水处理厂位于濮清南干渠东侧，主要处理濮阳经济技术开发区工业污水。根据《濮阳市城市总体规划（2005-2020年）》，濮阳市第二污水处理厂设计规模为10万m</w:t>
      </w:r>
      <w:r>
        <w:rPr>
          <w:vertAlign w:val="superscript"/>
        </w:rPr>
        <w:t>3</w:t>
      </w:r>
      <w:r>
        <w:t>/d，实际分期建设，处理规模分别为5万t/d。根据《濮阳市第二污水处理厂一期工程（5万t/d）环境影响报告书》，濮阳市第二污水处理厂采用“预处理+一级处理+Gaia-AF/BAF+物化深度处理”的组合处理工艺，出水可达到《城镇污水处理厂污染物排放标准》一级A标准。该污水处理厂一期工程（设计处理能力5万t/d）已经于2013年7月建成投运，二期设计规模为5万t/d，位于卫都路南侧，大广高速东侧，一期工程的西侧，主要采用“预处理+水解酸化+组合式A2/O+纤维转盘滤池+臭氧接触氧化+人工快滤+ClO</w:t>
      </w:r>
      <w:r>
        <w:rPr>
          <w:vertAlign w:val="subscript"/>
        </w:rPr>
        <w:t>2</w:t>
      </w:r>
      <w:r>
        <w:t>消毒”处理工艺，出水水质满足《城镇污水处理厂污染物排放标准》（GB18918-2002）中一级A标准。</w:t>
      </w:r>
    </w:p>
    <w:p>
      <w:pPr>
        <w:pStyle w:val="27"/>
        <w:ind w:firstLine="560"/>
      </w:pPr>
      <w:r>
        <w:t>目前二期工程已投入运营，</w:t>
      </w:r>
      <w:r>
        <w:rPr>
          <w:rFonts w:hint="eastAsia"/>
        </w:rPr>
        <w:t>经</w:t>
      </w:r>
      <w:r>
        <w:t>咨询濮阳市第二污水处理厂管理人员，目前第二污水处理厂已接纳约9万m</w:t>
      </w:r>
      <w:r>
        <w:rPr>
          <w:vertAlign w:val="superscript"/>
        </w:rPr>
        <w:t>3</w:t>
      </w:r>
      <w:r>
        <w:t>/d废水，处理余量为1万m</w:t>
      </w:r>
      <w:r>
        <w:rPr>
          <w:vertAlign w:val="superscript"/>
        </w:rPr>
        <w:t>3</w:t>
      </w:r>
      <w:r>
        <w:t>/d。本项目排入濮阳市第二污水处理厂的水量约为48.48t</w:t>
      </w:r>
      <w:r>
        <w:rPr>
          <w:lang w:val="zh-CN"/>
        </w:rPr>
        <w:t>/d</w:t>
      </w:r>
      <w:r>
        <w:t>，水量很小，污水处理厂剩余处理能力足够。</w:t>
      </w:r>
      <w:r>
        <w:rPr>
          <w:rFonts w:hint="eastAsia"/>
        </w:rPr>
        <w:t>目前中原大化现有工程废水经厂区废水处理站处理达标后进入濮阳市第二污水处理厂，本项目废水依托现有污水处理站进行处理，出水从现有废水总排口进入</w:t>
      </w:r>
      <w:r>
        <w:t>濮阳市第二污水处理厂。</w:t>
      </w:r>
    </w:p>
    <w:p>
      <w:pPr>
        <w:pStyle w:val="62"/>
      </w:pPr>
      <w:r>
        <w:t>5.4  地下水环境质量影响分析</w:t>
      </w:r>
    </w:p>
    <w:p>
      <w:pPr>
        <w:pStyle w:val="5"/>
        <w:spacing w:before="0" w:after="0" w:line="540" w:lineRule="exact"/>
        <w:jc w:val="left"/>
        <w:rPr>
          <w:rFonts w:eastAsia="楷体_GB2312"/>
          <w:kern w:val="0"/>
          <w:sz w:val="28"/>
        </w:rPr>
      </w:pPr>
      <w:r>
        <w:rPr>
          <w:rFonts w:eastAsia="楷体_GB2312"/>
          <w:kern w:val="0"/>
          <w:sz w:val="28"/>
        </w:rPr>
        <w:t xml:space="preserve">5.4.1  </w:t>
      </w:r>
      <w:r>
        <w:rPr>
          <w:rFonts w:eastAsia="楷体_GB2312"/>
          <w:bCs/>
          <w:kern w:val="0"/>
          <w:sz w:val="28"/>
        </w:rPr>
        <w:t>地下水评价等级</w:t>
      </w:r>
    </w:p>
    <w:p>
      <w:pPr>
        <w:pStyle w:val="27"/>
        <w:ind w:firstLine="560"/>
        <w:rPr>
          <w:szCs w:val="28"/>
        </w:rPr>
      </w:pPr>
      <w:r>
        <w:rPr>
          <w:szCs w:val="28"/>
        </w:rPr>
        <w:t>依据《环境影响评价技术导则 地下水环境》（HJ 610-2016）附录A 地下水环境影响评价行业分类表，本项目为L-石化、化工-85、基本化学原料制造，属于Ⅰ类项目。根据现场勘查，调查区内拟建场地地下水径流方向下游及两侧2km范围内分布有农村集中式和分散式饮用水水源地，建设项目地下水敏感程度为“较敏感”。</w:t>
      </w:r>
    </w:p>
    <w:p>
      <w:pPr>
        <w:spacing w:line="520" w:lineRule="exact"/>
        <w:ind w:firstLine="560" w:firstLineChars="200"/>
        <w:rPr>
          <w:sz w:val="28"/>
          <w:szCs w:val="28"/>
        </w:rPr>
      </w:pPr>
      <w:r>
        <w:rPr>
          <w:sz w:val="28"/>
          <w:szCs w:val="28"/>
        </w:rPr>
        <w:t>根据地下水环境影响评价工作划分原则，本项目地下水评价等级判定结果见下表5.4-1。</w:t>
      </w:r>
    </w:p>
    <w:p>
      <w:pPr>
        <w:spacing w:line="520" w:lineRule="exact"/>
        <w:ind w:firstLine="632" w:firstLineChars="300"/>
        <w:rPr>
          <w:rFonts w:eastAsia="黑体"/>
          <w:b/>
        </w:rPr>
      </w:pPr>
      <w:r>
        <w:rPr>
          <w:rFonts w:eastAsia="黑体"/>
          <w:b/>
        </w:rPr>
        <w:t>表5.4-1           地下水评价等价等级判别表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988"/>
        <w:gridCol w:w="1522"/>
        <w:gridCol w:w="2753"/>
        <w:gridCol w:w="2751"/>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426" w:hRule="atLeast"/>
        </w:trPr>
        <w:tc>
          <w:tcPr>
            <w:tcW w:w="1103" w:type="pct"/>
            <w:vAlign w:val="center"/>
          </w:tcPr>
          <w:p>
            <w:pPr>
              <w:spacing w:line="260" w:lineRule="exact"/>
              <w:jc w:val="center"/>
              <w:rPr>
                <w:b/>
                <w:bCs/>
                <w:sz w:val="21"/>
                <w:szCs w:val="21"/>
              </w:rPr>
            </w:pPr>
            <w:r>
              <w:rPr>
                <w:b/>
                <w:bCs/>
                <w:sz w:val="21"/>
                <w:szCs w:val="21"/>
              </w:rPr>
              <mc:AlternateContent>
                <mc:Choice Requires="wps">
                  <w:drawing>
                    <wp:anchor distT="0" distB="0" distL="114300" distR="114300" simplePos="0" relativeHeight="251662336" behindDoc="0" locked="0" layoutInCell="1" allowOverlap="1">
                      <wp:simplePos x="0" y="0"/>
                      <wp:positionH relativeFrom="column">
                        <wp:posOffset>-3175</wp:posOffset>
                      </wp:positionH>
                      <wp:positionV relativeFrom="paragraph">
                        <wp:posOffset>36195</wp:posOffset>
                      </wp:positionV>
                      <wp:extent cx="1253490" cy="280670"/>
                      <wp:effectExtent l="1270" t="4445" r="2540" b="19685"/>
                      <wp:wrapNone/>
                      <wp:docPr id="17" name="AutoShape 34"/>
                      <wp:cNvGraphicFramePr/>
                      <a:graphic xmlns:a="http://schemas.openxmlformats.org/drawingml/2006/main">
                        <a:graphicData uri="http://schemas.microsoft.com/office/word/2010/wordprocessingShape">
                          <wps:wsp>
                            <wps:cNvCnPr>
                              <a:cxnSpLocks noChangeShapeType="1"/>
                            </wps:cNvCnPr>
                            <wps:spPr bwMode="auto">
                              <a:xfrm>
                                <a:off x="0" y="0"/>
                                <a:ext cx="1253490" cy="280670"/>
                              </a:xfrm>
                              <a:prstGeom prst="straightConnector1">
                                <a:avLst/>
                              </a:prstGeom>
                              <a:noFill/>
                              <a:ln w="9525">
                                <a:solidFill>
                                  <a:srgbClr val="000000"/>
                                </a:solidFill>
                                <a:round/>
                              </a:ln>
                            </wps:spPr>
                            <wps:bodyPr/>
                          </wps:wsp>
                        </a:graphicData>
                      </a:graphic>
                    </wp:anchor>
                  </w:drawing>
                </mc:Choice>
                <mc:Fallback>
                  <w:pict>
                    <v:shape id="AutoShape 34" o:spid="_x0000_s1026" o:spt="32" type="#_x0000_t32" style="position:absolute;left:0pt;margin-left:-0.25pt;margin-top:2.85pt;height:22.1pt;width:98.7pt;z-index:251662336;mso-width-relative:page;mso-height-relative:page;" filled="f" stroked="t" coordsize="21600,21600" o:gfxdata="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oTEupdQAAAAGAQAADwAAAAAA&#10;AAABACAAAAAiAAAAZHJzL2Rvd25yZXYueG1sUEsBAhQAFAAAAAgAh07iQDB9BCneAQAAuQMAAA4A&#10;AAAAAAAAAQAgAAAAIwEAAGRycy9lMm9Eb2MueG1sUEsFBgAAAAAGAAYAWQEAAHMFAAAAAA==&#10;">
                      <v:fill on="f" focussize="0,0"/>
                      <v:stroke color="#000000" joinstyle="round"/>
                      <v:imagedata o:title=""/>
                      <o:lock v:ext="edit" aspectratio="f"/>
                    </v:shape>
                  </w:pict>
                </mc:Fallback>
              </mc:AlternateContent>
            </w:r>
            <w:r>
              <w:rPr>
                <w:b/>
                <w:bCs/>
                <w:sz w:val="21"/>
                <w:szCs w:val="21"/>
              </w:rPr>
              <w:t xml:space="preserve">       项目类别</w:t>
            </w:r>
          </w:p>
          <w:p>
            <w:pPr>
              <w:spacing w:line="260" w:lineRule="exact"/>
              <w:rPr>
                <w:b/>
                <w:bCs/>
                <w:sz w:val="21"/>
                <w:szCs w:val="21"/>
              </w:rPr>
            </w:pPr>
            <w:r>
              <w:rPr>
                <w:b/>
                <w:bCs/>
                <w:sz w:val="21"/>
                <w:szCs w:val="21"/>
              </w:rPr>
              <w:t>环境敏感程度</w:t>
            </w:r>
          </w:p>
        </w:tc>
        <w:tc>
          <w:tcPr>
            <w:tcW w:w="844" w:type="pct"/>
            <w:vAlign w:val="center"/>
          </w:tcPr>
          <w:p>
            <w:pPr>
              <w:spacing w:line="260" w:lineRule="exact"/>
              <w:jc w:val="center"/>
              <w:rPr>
                <w:b/>
                <w:bCs/>
                <w:sz w:val="21"/>
                <w:szCs w:val="21"/>
              </w:rPr>
            </w:pPr>
            <w:r>
              <w:rPr>
                <w:b/>
                <w:bCs/>
                <w:sz w:val="21"/>
                <w:szCs w:val="21"/>
              </w:rPr>
              <w:t>Ⅰ类项目</w:t>
            </w:r>
          </w:p>
        </w:tc>
        <w:tc>
          <w:tcPr>
            <w:tcW w:w="1527" w:type="pct"/>
            <w:vAlign w:val="center"/>
          </w:tcPr>
          <w:p>
            <w:pPr>
              <w:spacing w:line="260" w:lineRule="exact"/>
              <w:jc w:val="center"/>
              <w:rPr>
                <w:b/>
                <w:bCs/>
                <w:sz w:val="21"/>
                <w:szCs w:val="21"/>
              </w:rPr>
            </w:pPr>
            <w:r>
              <w:rPr>
                <w:b/>
                <w:bCs/>
                <w:sz w:val="21"/>
                <w:szCs w:val="21"/>
              </w:rPr>
              <w:t>Ⅱ类项目</w:t>
            </w:r>
          </w:p>
        </w:tc>
        <w:tc>
          <w:tcPr>
            <w:tcW w:w="1526" w:type="pct"/>
            <w:vAlign w:val="center"/>
          </w:tcPr>
          <w:p>
            <w:pPr>
              <w:spacing w:line="260" w:lineRule="exact"/>
              <w:jc w:val="center"/>
              <w:rPr>
                <w:b/>
                <w:bCs/>
                <w:sz w:val="21"/>
                <w:szCs w:val="21"/>
              </w:rPr>
            </w:pPr>
            <w:r>
              <w:rPr>
                <w:b/>
                <w:bCs/>
                <w:sz w:val="21"/>
                <w:szCs w:val="21"/>
              </w:rPr>
              <w:t>Ⅲ类项目</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1103" w:type="pct"/>
            <w:vAlign w:val="center"/>
          </w:tcPr>
          <w:p>
            <w:pPr>
              <w:spacing w:line="260" w:lineRule="exact"/>
              <w:jc w:val="center"/>
              <w:rPr>
                <w:sz w:val="21"/>
                <w:szCs w:val="21"/>
              </w:rPr>
            </w:pPr>
            <w:r>
              <w:rPr>
                <w:sz w:val="21"/>
                <w:szCs w:val="21"/>
              </w:rPr>
              <w:t>敏感</w:t>
            </w:r>
          </w:p>
        </w:tc>
        <w:tc>
          <w:tcPr>
            <w:tcW w:w="844" w:type="pct"/>
            <w:vAlign w:val="center"/>
          </w:tcPr>
          <w:p>
            <w:pPr>
              <w:spacing w:line="260" w:lineRule="exact"/>
              <w:jc w:val="center"/>
              <w:rPr>
                <w:sz w:val="21"/>
                <w:szCs w:val="21"/>
              </w:rPr>
            </w:pPr>
            <w:r>
              <w:rPr>
                <w:sz w:val="21"/>
                <w:szCs w:val="21"/>
              </w:rPr>
              <w:t>一</w:t>
            </w:r>
          </w:p>
        </w:tc>
        <w:tc>
          <w:tcPr>
            <w:tcW w:w="1527" w:type="pct"/>
            <w:vAlign w:val="center"/>
          </w:tcPr>
          <w:p>
            <w:pPr>
              <w:spacing w:line="260" w:lineRule="exact"/>
              <w:jc w:val="center"/>
              <w:rPr>
                <w:sz w:val="21"/>
                <w:szCs w:val="21"/>
              </w:rPr>
            </w:pPr>
            <w:r>
              <w:rPr>
                <w:sz w:val="21"/>
                <w:szCs w:val="21"/>
              </w:rPr>
              <w:t>一</w:t>
            </w:r>
          </w:p>
        </w:tc>
        <w:tc>
          <w:tcPr>
            <w:tcW w:w="1526" w:type="pct"/>
            <w:vAlign w:val="center"/>
          </w:tcPr>
          <w:p>
            <w:pPr>
              <w:spacing w:line="260" w:lineRule="exact"/>
              <w:ind w:firstLine="199" w:firstLineChars="95"/>
              <w:jc w:val="center"/>
              <w:rPr>
                <w:sz w:val="21"/>
                <w:szCs w:val="21"/>
              </w:rPr>
            </w:pPr>
            <w:r>
              <w:rPr>
                <w:sz w:val="21"/>
                <w:szCs w:val="21"/>
              </w:rPr>
              <w:t>二</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1103" w:type="pct"/>
            <w:vAlign w:val="center"/>
          </w:tcPr>
          <w:p>
            <w:pPr>
              <w:spacing w:line="260" w:lineRule="exact"/>
              <w:jc w:val="center"/>
              <w:rPr>
                <w:sz w:val="21"/>
                <w:szCs w:val="21"/>
              </w:rPr>
            </w:pPr>
            <w:r>
              <w:rPr>
                <w:sz w:val="21"/>
                <w:szCs w:val="21"/>
              </w:rPr>
              <w:t>较敏感</w:t>
            </w:r>
          </w:p>
        </w:tc>
        <w:tc>
          <w:tcPr>
            <w:tcW w:w="844" w:type="pct"/>
            <w:vAlign w:val="center"/>
          </w:tcPr>
          <w:p>
            <w:pPr>
              <w:spacing w:line="260" w:lineRule="exact"/>
              <w:jc w:val="center"/>
              <w:rPr>
                <w:sz w:val="21"/>
                <w:szCs w:val="21"/>
              </w:rPr>
            </w:pPr>
            <w:r>
              <w:rPr>
                <w:sz w:val="21"/>
                <w:szCs w:val="21"/>
              </w:rPr>
              <w:t>一*</w:t>
            </w:r>
          </w:p>
        </w:tc>
        <w:tc>
          <w:tcPr>
            <w:tcW w:w="1527" w:type="pct"/>
            <w:vAlign w:val="center"/>
          </w:tcPr>
          <w:p>
            <w:pPr>
              <w:spacing w:line="260" w:lineRule="exact"/>
              <w:jc w:val="center"/>
              <w:rPr>
                <w:sz w:val="21"/>
                <w:szCs w:val="21"/>
              </w:rPr>
            </w:pPr>
            <w:r>
              <w:rPr>
                <w:sz w:val="21"/>
                <w:szCs w:val="21"/>
              </w:rPr>
              <w:t>二</w:t>
            </w:r>
          </w:p>
        </w:tc>
        <w:tc>
          <w:tcPr>
            <w:tcW w:w="1526" w:type="pct"/>
            <w:vAlign w:val="center"/>
          </w:tcPr>
          <w:p>
            <w:pPr>
              <w:spacing w:line="260" w:lineRule="exact"/>
              <w:ind w:firstLine="199" w:firstLineChars="95"/>
              <w:jc w:val="center"/>
              <w:rPr>
                <w:sz w:val="21"/>
                <w:szCs w:val="21"/>
              </w:rPr>
            </w:pPr>
            <w:r>
              <w:rPr>
                <w:sz w:val="21"/>
                <w:szCs w:val="21"/>
              </w:rPr>
              <w:t>三</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1103" w:type="pct"/>
            <w:vAlign w:val="center"/>
          </w:tcPr>
          <w:p>
            <w:pPr>
              <w:spacing w:line="260" w:lineRule="exact"/>
              <w:jc w:val="center"/>
              <w:rPr>
                <w:sz w:val="21"/>
                <w:szCs w:val="21"/>
              </w:rPr>
            </w:pPr>
            <w:r>
              <w:rPr>
                <w:sz w:val="21"/>
                <w:szCs w:val="21"/>
              </w:rPr>
              <w:t>不敏感</w:t>
            </w:r>
          </w:p>
        </w:tc>
        <w:tc>
          <w:tcPr>
            <w:tcW w:w="844" w:type="pct"/>
            <w:vAlign w:val="center"/>
          </w:tcPr>
          <w:p>
            <w:pPr>
              <w:spacing w:line="260" w:lineRule="exact"/>
              <w:jc w:val="center"/>
              <w:rPr>
                <w:sz w:val="21"/>
                <w:szCs w:val="21"/>
              </w:rPr>
            </w:pPr>
            <w:r>
              <w:rPr>
                <w:sz w:val="21"/>
                <w:szCs w:val="21"/>
              </w:rPr>
              <w:t>二</w:t>
            </w:r>
          </w:p>
        </w:tc>
        <w:tc>
          <w:tcPr>
            <w:tcW w:w="1527" w:type="pct"/>
            <w:vAlign w:val="center"/>
          </w:tcPr>
          <w:p>
            <w:pPr>
              <w:spacing w:line="260" w:lineRule="exact"/>
              <w:jc w:val="center"/>
              <w:rPr>
                <w:sz w:val="21"/>
                <w:szCs w:val="21"/>
              </w:rPr>
            </w:pPr>
            <w:r>
              <w:rPr>
                <w:sz w:val="21"/>
                <w:szCs w:val="21"/>
              </w:rPr>
              <w:t>三</w:t>
            </w:r>
          </w:p>
        </w:tc>
        <w:tc>
          <w:tcPr>
            <w:tcW w:w="1526" w:type="pct"/>
            <w:vAlign w:val="center"/>
          </w:tcPr>
          <w:p>
            <w:pPr>
              <w:spacing w:line="260" w:lineRule="exact"/>
              <w:ind w:firstLine="199" w:firstLineChars="95"/>
              <w:jc w:val="center"/>
              <w:rPr>
                <w:sz w:val="21"/>
                <w:szCs w:val="21"/>
              </w:rPr>
            </w:pPr>
            <w:r>
              <w:rPr>
                <w:sz w:val="21"/>
                <w:szCs w:val="21"/>
              </w:rPr>
              <w:t>三</w:t>
            </w:r>
          </w:p>
        </w:tc>
      </w:tr>
    </w:tbl>
    <w:p>
      <w:pPr>
        <w:adjustRightInd w:val="0"/>
        <w:snapToGrid w:val="0"/>
        <w:spacing w:line="520" w:lineRule="exact"/>
        <w:ind w:firstLine="560" w:firstLineChars="200"/>
        <w:rPr>
          <w:sz w:val="28"/>
          <w:szCs w:val="28"/>
        </w:rPr>
      </w:pPr>
      <w:r>
        <w:rPr>
          <w:sz w:val="28"/>
          <w:szCs w:val="28"/>
        </w:rPr>
        <w:t>由表5.4-1可知，本次地下水评价等级为</w:t>
      </w:r>
      <w:r>
        <w:rPr>
          <w:rFonts w:hint="eastAsia"/>
          <w:sz w:val="28"/>
          <w:szCs w:val="28"/>
        </w:rPr>
        <w:t>一级</w:t>
      </w:r>
      <w:r>
        <w:rPr>
          <w:sz w:val="28"/>
          <w:szCs w:val="28"/>
        </w:rPr>
        <w:t>。</w:t>
      </w:r>
    </w:p>
    <w:p>
      <w:pPr>
        <w:pStyle w:val="31"/>
      </w:pPr>
      <w:r>
        <w:t xml:space="preserve">5.4.2  </w:t>
      </w:r>
      <w:bookmarkStart w:id="127" w:name="_Toc67855402"/>
      <w:r>
        <w:t>评价范围及保护目标</w:t>
      </w:r>
      <w:bookmarkEnd w:id="127"/>
    </w:p>
    <w:p>
      <w:pPr>
        <w:pStyle w:val="33"/>
      </w:pPr>
      <w:bookmarkStart w:id="128" w:name="_Toc67855403"/>
      <w:r>
        <w:t>5.4.2.1 评价范围</w:t>
      </w:r>
      <w:bookmarkEnd w:id="128"/>
    </w:p>
    <w:p>
      <w:pPr>
        <w:pStyle w:val="27"/>
        <w:ind w:firstLine="560"/>
      </w:pPr>
      <w:r>
        <w:t>按照《环境影响评价技术导则 地下水环境》（HJ 610-2016）的规定，一级评价调查评价范围≥20km</w:t>
      </w:r>
      <w:r>
        <w:rPr>
          <w:vertAlign w:val="superscript"/>
        </w:rPr>
        <w:t>2</w:t>
      </w:r>
      <w:r>
        <w:t>。地下水环境现状调查范围应包括与建设项目相关的地下水环境保护目标，能说明地下水环境的现状，反映调查评价区地下水基本流场特征，满足地下水环境影响评价为基本原则。</w:t>
      </w:r>
    </w:p>
    <w:p>
      <w:pPr>
        <w:pStyle w:val="27"/>
        <w:ind w:firstLine="560"/>
      </w:pPr>
      <w:r>
        <w:t>项目场地位于濮阳市西南部，属于泛流冲积平原，水文地质条件相对简单，本次调查范围采用公式计算法确定。调查评价区水流方向由西向东方向，根据收集资料及现场试验确定的各类参数项，见表5.4</w:t>
      </w:r>
      <w:r>
        <w:noBreakHyphen/>
      </w:r>
      <w:r>
        <w:t>2。</w:t>
      </w:r>
    </w:p>
    <w:p>
      <w:pPr>
        <w:pStyle w:val="27"/>
        <w:ind w:firstLine="560"/>
        <w:jc w:val="center"/>
      </w:pPr>
      <w:r>
        <w:t>L=α×K×I×T/n</w:t>
      </w:r>
      <w:r>
        <w:rPr>
          <w:vertAlign w:val="subscript"/>
        </w:rPr>
        <w:t>e</w:t>
      </w:r>
    </w:p>
    <w:p>
      <w:pPr>
        <w:pStyle w:val="27"/>
        <w:ind w:firstLine="560"/>
      </w:pPr>
      <w:r>
        <w:t>式中：L——下游迁移距离，m；</w:t>
      </w:r>
    </w:p>
    <w:p>
      <w:pPr>
        <w:pStyle w:val="27"/>
        <w:ind w:firstLine="1400" w:firstLineChars="500"/>
      </w:pPr>
      <w:r>
        <w:t>α——变化系数，一般取2；</w:t>
      </w:r>
    </w:p>
    <w:p>
      <w:pPr>
        <w:pStyle w:val="27"/>
        <w:ind w:firstLine="1400" w:firstLineChars="500"/>
      </w:pPr>
      <w:r>
        <w:t>K——渗透系数，m/d；</w:t>
      </w:r>
    </w:p>
    <w:p>
      <w:pPr>
        <w:pStyle w:val="27"/>
        <w:ind w:firstLine="1400" w:firstLineChars="500"/>
      </w:pPr>
      <w:r>
        <w:t>I——水力坡度；</w:t>
      </w:r>
    </w:p>
    <w:p>
      <w:pPr>
        <w:pStyle w:val="27"/>
        <w:ind w:firstLine="1400" w:firstLineChars="500"/>
      </w:pPr>
      <w:r>
        <w:t>T——质点迁移天数；</w:t>
      </w:r>
    </w:p>
    <w:p>
      <w:pPr>
        <w:pStyle w:val="27"/>
        <w:ind w:firstLine="1400" w:firstLineChars="500"/>
      </w:pPr>
      <w:r>
        <w:t>n</w:t>
      </w:r>
      <w:r>
        <w:rPr>
          <w:vertAlign w:val="subscript"/>
        </w:rPr>
        <w:t>e</w:t>
      </w:r>
      <w:r>
        <w:t>——有效孔隙度。</w:t>
      </w:r>
    </w:p>
    <w:p>
      <w:pPr>
        <w:pStyle w:val="32"/>
        <w:ind w:right="240"/>
      </w:pPr>
      <w:bookmarkStart w:id="129" w:name="_Ref38379132"/>
      <w:r>
        <w:t>表5.4</w:t>
      </w:r>
      <w:r>
        <w:noBreakHyphen/>
      </w:r>
      <w:bookmarkEnd w:id="129"/>
      <w:r>
        <w:t>2          地下水下游迁移距离计算参数表</w:t>
      </w:r>
    </w:p>
    <w:tbl>
      <w:tblPr>
        <w:tblStyle w:val="21"/>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7"/>
        <w:gridCol w:w="1407"/>
        <w:gridCol w:w="1227"/>
        <w:gridCol w:w="1202"/>
        <w:gridCol w:w="1209"/>
        <w:gridCol w:w="1185"/>
        <w:gridCol w:w="153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67" w:type="pct"/>
            <w:vAlign w:val="center"/>
          </w:tcPr>
          <w:p>
            <w:pPr>
              <w:pStyle w:val="35"/>
              <w:rPr>
                <w:b/>
                <w:bCs/>
              </w:rPr>
            </w:pPr>
            <w:r>
              <w:rPr>
                <w:b/>
                <w:bCs/>
              </w:rPr>
              <w:t>参数名称</w:t>
            </w:r>
          </w:p>
        </w:tc>
        <w:tc>
          <w:tcPr>
            <w:tcW w:w="767" w:type="pct"/>
            <w:tcBorders>
              <w:left w:val="single" w:color="auto" w:sz="4" w:space="0"/>
            </w:tcBorders>
            <w:vAlign w:val="center"/>
          </w:tcPr>
          <w:p>
            <w:pPr>
              <w:pStyle w:val="35"/>
              <w:rPr>
                <w:b/>
                <w:bCs/>
              </w:rPr>
            </w:pPr>
            <w:r>
              <w:rPr>
                <w:b/>
                <w:bCs/>
              </w:rPr>
              <w:t>α</w:t>
            </w:r>
          </w:p>
        </w:tc>
        <w:tc>
          <w:tcPr>
            <w:tcW w:w="669" w:type="pct"/>
            <w:vAlign w:val="center"/>
          </w:tcPr>
          <w:p>
            <w:pPr>
              <w:pStyle w:val="35"/>
              <w:rPr>
                <w:b/>
                <w:bCs/>
              </w:rPr>
            </w:pPr>
            <w:r>
              <w:rPr>
                <w:b/>
                <w:bCs/>
              </w:rPr>
              <w:t>K（m/d）</w:t>
            </w:r>
          </w:p>
        </w:tc>
        <w:tc>
          <w:tcPr>
            <w:tcW w:w="655" w:type="pct"/>
            <w:vAlign w:val="center"/>
          </w:tcPr>
          <w:p>
            <w:pPr>
              <w:pStyle w:val="35"/>
              <w:rPr>
                <w:b/>
                <w:bCs/>
              </w:rPr>
            </w:pPr>
            <w:r>
              <w:rPr>
                <w:b/>
                <w:bCs/>
              </w:rPr>
              <w:t>I</w:t>
            </w:r>
          </w:p>
        </w:tc>
        <w:tc>
          <w:tcPr>
            <w:tcW w:w="659" w:type="pct"/>
            <w:vAlign w:val="center"/>
          </w:tcPr>
          <w:p>
            <w:pPr>
              <w:pStyle w:val="35"/>
              <w:rPr>
                <w:b/>
                <w:bCs/>
              </w:rPr>
            </w:pPr>
            <w:r>
              <w:rPr>
                <w:b/>
                <w:bCs/>
              </w:rPr>
              <w:t>T(d)</w:t>
            </w:r>
          </w:p>
        </w:tc>
        <w:tc>
          <w:tcPr>
            <w:tcW w:w="646" w:type="pct"/>
            <w:tcBorders>
              <w:right w:val="single" w:color="auto" w:sz="4" w:space="0"/>
            </w:tcBorders>
            <w:vAlign w:val="center"/>
          </w:tcPr>
          <w:p>
            <w:pPr>
              <w:pStyle w:val="35"/>
              <w:rPr>
                <w:b/>
                <w:bCs/>
              </w:rPr>
            </w:pPr>
            <w:r>
              <w:rPr>
                <w:b/>
                <w:bCs/>
              </w:rPr>
              <w:t>n</w:t>
            </w:r>
            <w:r>
              <w:rPr>
                <w:b/>
                <w:bCs/>
                <w:vertAlign w:val="subscript"/>
              </w:rPr>
              <w:t>e</w:t>
            </w:r>
          </w:p>
        </w:tc>
        <w:tc>
          <w:tcPr>
            <w:tcW w:w="834" w:type="pct"/>
            <w:vAlign w:val="center"/>
          </w:tcPr>
          <w:p>
            <w:pPr>
              <w:pStyle w:val="35"/>
              <w:rPr>
                <w:b/>
                <w:bCs/>
              </w:rPr>
            </w:pPr>
            <w:r>
              <w:rPr>
                <w:b/>
                <w:bCs/>
              </w:rPr>
              <w:t>L（m）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67" w:type="pct"/>
            <w:vAlign w:val="center"/>
          </w:tcPr>
          <w:p>
            <w:pPr>
              <w:pStyle w:val="35"/>
            </w:pPr>
            <w:r>
              <w:t>参数值</w:t>
            </w:r>
          </w:p>
        </w:tc>
        <w:tc>
          <w:tcPr>
            <w:tcW w:w="767" w:type="pct"/>
            <w:tcBorders>
              <w:left w:val="single" w:color="auto" w:sz="4" w:space="0"/>
            </w:tcBorders>
            <w:vAlign w:val="center"/>
          </w:tcPr>
          <w:p>
            <w:pPr>
              <w:pStyle w:val="35"/>
            </w:pPr>
            <w:r>
              <w:t>2</w:t>
            </w:r>
          </w:p>
        </w:tc>
        <w:tc>
          <w:tcPr>
            <w:tcW w:w="669" w:type="pct"/>
            <w:vAlign w:val="center"/>
          </w:tcPr>
          <w:p>
            <w:pPr>
              <w:pStyle w:val="35"/>
            </w:pPr>
            <w:r>
              <w:t>9.61</w:t>
            </w:r>
          </w:p>
        </w:tc>
        <w:tc>
          <w:tcPr>
            <w:tcW w:w="655" w:type="pct"/>
            <w:vAlign w:val="center"/>
          </w:tcPr>
          <w:p>
            <w:pPr>
              <w:pStyle w:val="35"/>
            </w:pPr>
            <w:r>
              <w:t>0.003</w:t>
            </w:r>
          </w:p>
        </w:tc>
        <w:tc>
          <w:tcPr>
            <w:tcW w:w="659" w:type="pct"/>
            <w:vAlign w:val="center"/>
          </w:tcPr>
          <w:p>
            <w:pPr>
              <w:pStyle w:val="35"/>
            </w:pPr>
            <w:r>
              <w:t>5000</w:t>
            </w:r>
          </w:p>
        </w:tc>
        <w:tc>
          <w:tcPr>
            <w:tcW w:w="646" w:type="pct"/>
            <w:tcBorders>
              <w:right w:val="single" w:color="auto" w:sz="4" w:space="0"/>
            </w:tcBorders>
            <w:vAlign w:val="center"/>
          </w:tcPr>
          <w:p>
            <w:pPr>
              <w:pStyle w:val="35"/>
            </w:pPr>
            <w:r>
              <w:t>0.21</w:t>
            </w:r>
          </w:p>
        </w:tc>
        <w:tc>
          <w:tcPr>
            <w:tcW w:w="834" w:type="pct"/>
            <w:vAlign w:val="center"/>
          </w:tcPr>
          <w:p>
            <w:pPr>
              <w:pStyle w:val="35"/>
            </w:pPr>
            <w:r>
              <w:t>1373</w:t>
            </w:r>
          </w:p>
        </w:tc>
      </w:tr>
    </w:tbl>
    <w:p>
      <w:pPr>
        <w:pStyle w:val="27"/>
        <w:ind w:firstLine="560"/>
        <w:rPr>
          <w:spacing w:val="4"/>
        </w:rPr>
      </w:pPr>
      <w:r>
        <w:t>根据公式法计算，下游迁移距离为1373m，因此调查评价区的计算范围为：场地东界1373m，场地南界北界686.5m，西界外推200m。由于调查区地形特征变化较小、水文地质条件单一，地下水流向为西向东，综合分析确定调查范围如下：西侧为地下水流向的上游，以厂区中心外延2.5公里作为边界；北侧和南侧为地下水流向的侧向，以厂区中心外延2公里作为边界；东侧为地下水流向的下游，以厂区中心外延4公里作为边界，详见下图。本次地下水调查评价区面积约</w:t>
      </w:r>
      <w:r>
        <w:rPr>
          <w:rFonts w:eastAsiaTheme="minorEastAsia"/>
        </w:rPr>
        <w:t>27.36km</w:t>
      </w:r>
      <w:r>
        <w:rPr>
          <w:rFonts w:eastAsiaTheme="minorEastAsia"/>
          <w:vertAlign w:val="superscript"/>
        </w:rPr>
        <w:t>2</w:t>
      </w:r>
      <w:r>
        <w:t>。</w:t>
      </w:r>
    </w:p>
    <w:p>
      <w:pPr>
        <w:pStyle w:val="57"/>
      </w:pPr>
      <w:r>
        <w:drawing>
          <wp:inline distT="0" distB="0" distL="0" distR="0">
            <wp:extent cx="5429250" cy="3893820"/>
            <wp:effectExtent l="0" t="0" r="0"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429250" cy="3893820"/>
                    </a:xfrm>
                    <a:prstGeom prst="rect">
                      <a:avLst/>
                    </a:prstGeom>
                    <a:noFill/>
                    <a:ln>
                      <a:noFill/>
                    </a:ln>
                  </pic:spPr>
                </pic:pic>
              </a:graphicData>
            </a:graphic>
          </wp:inline>
        </w:drawing>
      </w:r>
    </w:p>
    <w:p>
      <w:pPr>
        <w:pStyle w:val="58"/>
      </w:pPr>
      <w:bookmarkStart w:id="130" w:name="_Ref38379107"/>
      <w:r>
        <w:t>图</w:t>
      </w:r>
      <w:bookmarkEnd w:id="130"/>
      <w:r>
        <w:t>5.4-1    调查范围图</w:t>
      </w:r>
    </w:p>
    <w:p>
      <w:pPr>
        <w:pStyle w:val="33"/>
      </w:pPr>
      <w:bookmarkStart w:id="131" w:name="_Toc67855404"/>
      <w:r>
        <w:t>5.4.2.2 保护目标</w:t>
      </w:r>
      <w:bookmarkEnd w:id="131"/>
    </w:p>
    <w:p>
      <w:pPr>
        <w:pStyle w:val="27"/>
        <w:ind w:firstLine="560"/>
      </w:pPr>
      <w:r>
        <w:t>依据《环境影响评价技术导则 地下水环境》（HJ 610-2016），地下水环境保护目标指潜水含水层和可能受建设项目影响且具有饮用水开发利用价值的含水层，集中式饮用水水源、分散式饮用水水源地。</w:t>
      </w:r>
    </w:p>
    <w:p>
      <w:pPr>
        <w:pStyle w:val="27"/>
        <w:ind w:firstLine="560"/>
      </w:pPr>
      <w:r>
        <w:t>由于调查区内存在康呼村和前漳消村等分散式饮水源地，本次调查评价具体保护目标主要为康呼村和前漳消村分散式水源地和潜水含水层。</w:t>
      </w:r>
    </w:p>
    <w:p>
      <w:pPr>
        <w:pStyle w:val="31"/>
      </w:pPr>
      <w:r>
        <w:t>5.4.3  调查评价区水文地质条件</w:t>
      </w:r>
    </w:p>
    <w:p>
      <w:pPr>
        <w:pStyle w:val="27"/>
        <w:ind w:firstLine="560"/>
      </w:pPr>
      <w:r>
        <w:t>本次地下水调查评价区面积约27.36km</w:t>
      </w:r>
      <w:r>
        <w:rPr>
          <w:vertAlign w:val="superscript"/>
        </w:rPr>
        <w:t>2</w:t>
      </w:r>
      <w:r>
        <w:t>，位于濮阳市西南部，属于黄河下游冲积平原。地下水类型属于松散岩类孔隙水。由于含水层厚薄和粒度粗细的变化，富水性存在一定的差异。由地下水水位流场图可见调查区浅层地下水总体是由西向东流动。根据含水介质的成因、结构、岩性、埋藏条件、水力特征等的不同，可将本调查评价区含水层划分为浅层、中深层两个含水岩组。</w:t>
      </w:r>
    </w:p>
    <w:p>
      <w:pPr>
        <w:pStyle w:val="33"/>
      </w:pPr>
      <w:bookmarkStart w:id="132" w:name="_Toc67855420"/>
      <w:r>
        <w:t>5.4.3.1 浅层地下水含水岩组水文地质条件</w:t>
      </w:r>
    </w:p>
    <w:p>
      <w:pPr>
        <w:pStyle w:val="27"/>
        <w:ind w:firstLine="560"/>
      </w:pPr>
      <w:r>
        <w:t>（1）含水岩组岩性结构及富水性特征</w:t>
      </w:r>
      <w:bookmarkEnd w:id="132"/>
    </w:p>
    <w:p>
      <w:pPr>
        <w:pStyle w:val="27"/>
        <w:ind w:firstLine="560"/>
      </w:pPr>
      <w:r>
        <w:t>浅层含水岩组由全新统及上更新统两个岩组组成，由黄河冲积物组成。</w:t>
      </w:r>
    </w:p>
    <w:p>
      <w:pPr>
        <w:pStyle w:val="27"/>
        <w:ind w:firstLine="560"/>
      </w:pPr>
      <w:r>
        <w:fldChar w:fldCharType="begin"/>
      </w:r>
      <w:r>
        <w:instrText xml:space="preserve"> = 1 \* GB3 \* MERGEFORMAT </w:instrText>
      </w:r>
      <w:r>
        <w:fldChar w:fldCharType="separate"/>
      </w:r>
      <w:r>
        <w:t>①</w:t>
      </w:r>
      <w:r>
        <w:fldChar w:fldCharType="end"/>
      </w:r>
      <w:r>
        <w:t>全新统含水岩组</w:t>
      </w:r>
    </w:p>
    <w:p>
      <w:pPr>
        <w:pStyle w:val="27"/>
        <w:ind w:firstLine="560"/>
      </w:pPr>
      <w:r>
        <w:t>该含水岩组在调查评价区内均有分布，含水层岩性主要为粉细砂，局部为砾砂，总厚度一般5-15m，底板由不甚稳定的粘性土层所组成，埋深30m左右。由于地下水位的持续下降，上部砂层大都已被疏干。根据其赋存条件属潜水，局部承压。</w:t>
      </w:r>
    </w:p>
    <w:p>
      <w:pPr>
        <w:pStyle w:val="27"/>
        <w:ind w:firstLine="560"/>
      </w:pPr>
      <w:r>
        <w:fldChar w:fldCharType="begin"/>
      </w:r>
      <w:r>
        <w:instrText xml:space="preserve"> = 2 \* GB3 \* MERGEFORMAT </w:instrText>
      </w:r>
      <w:r>
        <w:fldChar w:fldCharType="separate"/>
      </w:r>
      <w:r>
        <w:t>②</w:t>
      </w:r>
      <w:r>
        <w:fldChar w:fldCharType="end"/>
      </w:r>
      <w:r>
        <w:t>上更新统含水岩组</w:t>
      </w:r>
    </w:p>
    <w:p>
      <w:pPr>
        <w:pStyle w:val="27"/>
        <w:ind w:firstLine="560"/>
      </w:pPr>
      <w:r>
        <w:t>该含水岩组由上更新统黄河冲积物所组成，含水层岩性以细砂、中砂为主，局部为粉砂、粗砾。含水层厚度一般大于30m，底板埋深70-100m。该层地下水属承压水。</w:t>
      </w:r>
    </w:p>
    <w:p>
      <w:pPr>
        <w:pStyle w:val="27"/>
        <w:ind w:firstLine="560"/>
      </w:pPr>
      <w:r>
        <w:fldChar w:fldCharType="begin"/>
      </w:r>
      <w:r>
        <w:instrText xml:space="preserve"> = 3 \* GB3 \* MERGEFORMAT </w:instrText>
      </w:r>
      <w:r>
        <w:fldChar w:fldCharType="separate"/>
      </w:r>
      <w:r>
        <w:t>③</w:t>
      </w:r>
      <w:r>
        <w:fldChar w:fldCharType="end"/>
      </w:r>
      <w:r>
        <w:t>富水性特征</w:t>
      </w:r>
    </w:p>
    <w:p>
      <w:pPr>
        <w:pStyle w:val="27"/>
        <w:ind w:firstLine="560"/>
      </w:pPr>
      <w:r>
        <w:t>根据单井涌水量特征，将调查评价区分为强富水区和中等富水区，其分布范围如图5.4</w:t>
      </w:r>
      <w:r>
        <w:noBreakHyphen/>
      </w:r>
      <w:r>
        <w:t>2。</w:t>
      </w:r>
    </w:p>
    <w:p>
      <w:pPr>
        <w:pStyle w:val="27"/>
        <w:ind w:firstLine="560"/>
      </w:pPr>
      <w:r>
        <w:t>强富水区分布于评价区的南部，单井涌水量2000～3000m</w:t>
      </w:r>
      <w:r>
        <w:rPr>
          <w:vertAlign w:val="superscript"/>
        </w:rPr>
        <w:t>3</w:t>
      </w:r>
      <w:r>
        <w:t>/d。中等富水区分布于评价区北部，地下水化学类型为Cl·SO</w:t>
      </w:r>
      <w:r>
        <w:rPr>
          <w:vertAlign w:val="subscript"/>
        </w:rPr>
        <w:t>4</w:t>
      </w:r>
      <w:r>
        <w:t>-Na型。Na含量及矿化度沿地下水径流方向不断增高，矿化度0.51-0.58g/L，具有Na含量高，矿化度低的特点。</w:t>
      </w:r>
    </w:p>
    <w:p>
      <w:pPr>
        <w:pStyle w:val="57"/>
        <w:spacing w:line="240" w:lineRule="atLeast"/>
      </w:pPr>
      <w:r>
        <w:drawing>
          <wp:inline distT="0" distB="0" distL="0" distR="0">
            <wp:extent cx="5478780" cy="4233545"/>
            <wp:effectExtent l="0" t="0" r="7620"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2">
                      <a:extLst>
                        <a:ext uri="{28A0092B-C50C-407E-A947-70E740481C1C}">
                          <a14:useLocalDpi xmlns:a14="http://schemas.microsoft.com/office/drawing/2010/main" val="0"/>
                        </a:ext>
                      </a:extLst>
                    </a:blip>
                    <a:srcRect t="1475" r="7908" b="1670"/>
                    <a:stretch>
                      <a:fillRect/>
                    </a:stretch>
                  </pic:blipFill>
                  <pic:spPr>
                    <a:xfrm>
                      <a:off x="0" y="0"/>
                      <a:ext cx="5479200" cy="4233919"/>
                    </a:xfrm>
                    <a:prstGeom prst="rect">
                      <a:avLst/>
                    </a:prstGeom>
                    <a:noFill/>
                    <a:ln>
                      <a:noFill/>
                    </a:ln>
                  </pic:spPr>
                </pic:pic>
              </a:graphicData>
            </a:graphic>
          </wp:inline>
        </w:drawing>
      </w:r>
    </w:p>
    <w:p>
      <w:pPr>
        <w:pStyle w:val="58"/>
        <w:spacing w:line="240" w:lineRule="atLeast"/>
      </w:pPr>
      <w:bookmarkStart w:id="133" w:name="_Ref42246461"/>
      <w:bookmarkStart w:id="134" w:name="_Ref67840896"/>
      <w:r>
        <w:t>图</w:t>
      </w:r>
      <w:bookmarkEnd w:id="133"/>
      <w:r>
        <w:t>5.4-2    调查评价区水文地质图</w:t>
      </w:r>
      <w:bookmarkEnd w:id="134"/>
    </w:p>
    <w:p>
      <w:r>
        <w:drawing>
          <wp:inline distT="0" distB="0" distL="0" distR="0">
            <wp:extent cx="5590540" cy="4126230"/>
            <wp:effectExtent l="0" t="0" r="10160" b="7620"/>
            <wp:docPr id="19" name="图片 19" descr="C:\Users\wwj889\Desktop\濮阳环评\剖面图\剖面wenfang\BB剖面\剖面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wwj889\Desktop\濮阳环评\剖面图\剖面wenfang\BB剖面\剖面0.jpg"/>
                    <pic:cNvPicPr>
                      <a:picLocks noChangeAspect="1" noChangeArrowheads="1"/>
                    </pic:cNvPicPr>
                  </pic:nvPicPr>
                  <pic:blipFill>
                    <a:blip r:embed="rId73">
                      <a:extLst>
                        <a:ext uri="{28A0092B-C50C-407E-A947-70E740481C1C}">
                          <a14:useLocalDpi xmlns:a14="http://schemas.microsoft.com/office/drawing/2010/main" val="0"/>
                        </a:ext>
                      </a:extLst>
                    </a:blip>
                    <a:srcRect b="3008"/>
                    <a:stretch>
                      <a:fillRect/>
                    </a:stretch>
                  </pic:blipFill>
                  <pic:spPr>
                    <a:xfrm>
                      <a:off x="0" y="0"/>
                      <a:ext cx="5602370" cy="4134821"/>
                    </a:xfrm>
                    <a:prstGeom prst="rect">
                      <a:avLst/>
                    </a:prstGeom>
                    <a:noFill/>
                    <a:ln>
                      <a:noFill/>
                    </a:ln>
                  </pic:spPr>
                </pic:pic>
              </a:graphicData>
            </a:graphic>
          </wp:inline>
        </w:drawing>
      </w:r>
    </w:p>
    <w:p>
      <w:pPr>
        <w:pStyle w:val="58"/>
      </w:pPr>
      <w:r>
        <w:t>图5.4-3    A-A′水文地质剖面图</w:t>
      </w:r>
    </w:p>
    <w:p>
      <w:pPr>
        <w:pStyle w:val="57"/>
        <w:jc w:val="both"/>
      </w:pPr>
      <w:r>
        <w:drawing>
          <wp:inline distT="0" distB="0" distL="0" distR="0">
            <wp:extent cx="5743575" cy="4137025"/>
            <wp:effectExtent l="0" t="0" r="9525" b="15875"/>
            <wp:docPr id="20" name="图片 20" descr="C:\Users\wwj889\Desktop\濮阳环评\剖面图\剖面wenfang\AA剖面\剖面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wwj889\Desktop\濮阳环评\剖面图\剖面wenfang\AA剖面\剖面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58804" cy="4148139"/>
                    </a:xfrm>
                    <a:prstGeom prst="rect">
                      <a:avLst/>
                    </a:prstGeom>
                    <a:noFill/>
                    <a:ln>
                      <a:noFill/>
                    </a:ln>
                  </pic:spPr>
                </pic:pic>
              </a:graphicData>
            </a:graphic>
          </wp:inline>
        </w:drawing>
      </w:r>
    </w:p>
    <w:p>
      <w:pPr>
        <w:pStyle w:val="58"/>
        <w:spacing w:line="240" w:lineRule="atLeast"/>
      </w:pPr>
      <w:r>
        <w:t>图5.4-4    B-B′水文地质剖面图</w:t>
      </w:r>
    </w:p>
    <w:p>
      <w:r>
        <w:drawing>
          <wp:inline distT="0" distB="0" distL="0" distR="0">
            <wp:extent cx="5640705" cy="8016875"/>
            <wp:effectExtent l="0" t="0" r="17145"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641200" cy="8017200"/>
                    </a:xfrm>
                    <a:prstGeom prst="rect">
                      <a:avLst/>
                    </a:prstGeom>
                    <a:noFill/>
                  </pic:spPr>
                </pic:pic>
              </a:graphicData>
            </a:graphic>
          </wp:inline>
        </w:drawing>
      </w:r>
    </w:p>
    <w:p>
      <w:pPr>
        <w:pStyle w:val="58"/>
        <w:spacing w:line="240" w:lineRule="atLeast"/>
      </w:pPr>
      <w:bookmarkStart w:id="135" w:name="_Ref38379676"/>
      <w:r>
        <w:t>图</w:t>
      </w:r>
      <w:bookmarkEnd w:id="135"/>
      <w:r>
        <w:t>5.4-5    SQ33钻孔柱状图</w:t>
      </w:r>
    </w:p>
    <w:p>
      <w:pPr>
        <w:pStyle w:val="27"/>
        <w:ind w:firstLine="560"/>
      </w:pPr>
      <w:bookmarkStart w:id="136" w:name="_Toc67855421"/>
      <w:r>
        <w:t>（2）浅层地下水补给、径流与排泄</w:t>
      </w:r>
      <w:bookmarkEnd w:id="136"/>
    </w:p>
    <w:p>
      <w:pPr>
        <w:pStyle w:val="27"/>
        <w:ind w:firstLine="560"/>
      </w:pPr>
      <w:r>
        <w:fldChar w:fldCharType="begin"/>
      </w:r>
      <w:r>
        <w:instrText xml:space="preserve"> = 1 \* GB3 \* MERGEFORMAT </w:instrText>
      </w:r>
      <w:r>
        <w:fldChar w:fldCharType="separate"/>
      </w:r>
      <w:r>
        <w:t>①</w:t>
      </w:r>
      <w:r>
        <w:fldChar w:fldCharType="end"/>
      </w:r>
      <w:r>
        <w:t>补给</w:t>
      </w:r>
    </w:p>
    <w:p>
      <w:pPr>
        <w:pStyle w:val="27"/>
        <w:ind w:firstLine="560"/>
      </w:pPr>
      <w:r>
        <w:t>调查评价区地下水主要补给源有：大气降水入渗，地表水渗漏（濮水河），农田灌溉水回渗等。</w:t>
      </w:r>
    </w:p>
    <w:p>
      <w:pPr>
        <w:pStyle w:val="27"/>
        <w:ind w:firstLine="560"/>
      </w:pPr>
      <w:r>
        <w:fldChar w:fldCharType="begin"/>
      </w:r>
      <w:r>
        <w:instrText xml:space="preserve"> = 2 \* GB3 \* MERGEFORMAT </w:instrText>
      </w:r>
      <w:r>
        <w:fldChar w:fldCharType="separate"/>
      </w:r>
      <w:r>
        <w:t>②</w:t>
      </w:r>
      <w:r>
        <w:fldChar w:fldCharType="end"/>
      </w:r>
      <w:r>
        <w:t>大气降水入渗补给</w:t>
      </w:r>
    </w:p>
    <w:p>
      <w:pPr>
        <w:pStyle w:val="27"/>
        <w:ind w:firstLine="560"/>
      </w:pPr>
      <w:r>
        <w:t>调查评价区地形平坦，包气带岩性由粉砂渐变为粉土、粉质粘土，局部为粘土，渗透性差，降水入渗逐渐减弱。降雨入渗的多少与降雨历时、强度、包气带厚度、渗透性息息相关。雨量大、历时长、包气带渗透性强、地表径流条件差有利于降雨入渗，入渗补给量大，表现在丰水期地下水位上上升明显。</w:t>
      </w:r>
    </w:p>
    <w:p>
      <w:pPr>
        <w:pStyle w:val="27"/>
        <w:ind w:firstLine="560"/>
      </w:pPr>
      <w:r>
        <w:t>调查评价区降水主要集中在6~8月份，因而降水入渗补给具有明显的季节性。反映在地下水位动态上，雨季地下水位呈上升趋势。</w:t>
      </w:r>
    </w:p>
    <w:p>
      <w:pPr>
        <w:pStyle w:val="27"/>
        <w:ind w:firstLine="560"/>
      </w:pPr>
      <w:r>
        <w:fldChar w:fldCharType="begin"/>
      </w:r>
      <w:r>
        <w:instrText xml:space="preserve"> = 3 \* GB3 \* MERGEFORMAT </w:instrText>
      </w:r>
      <w:r>
        <w:fldChar w:fldCharType="separate"/>
      </w:r>
      <w:r>
        <w:t>③</w:t>
      </w:r>
      <w:r>
        <w:fldChar w:fldCharType="end"/>
      </w:r>
      <w:r>
        <w:t>地表水渗漏补给</w:t>
      </w:r>
    </w:p>
    <w:p>
      <w:pPr>
        <w:pStyle w:val="27"/>
        <w:ind w:firstLine="560"/>
      </w:pPr>
      <w:r>
        <w:t>濮水河发源于王助乡黄甫林场东，从西南方向进入调查评价区，在调查评价区北部向东折向濮阳市区，最终汇入马颊河。濮水河的渗漏可补给地下水。</w:t>
      </w:r>
    </w:p>
    <w:p>
      <w:pPr>
        <w:pStyle w:val="27"/>
        <w:ind w:firstLine="560"/>
      </w:pPr>
      <w:r>
        <w:fldChar w:fldCharType="begin"/>
      </w:r>
      <w:r>
        <w:instrText xml:space="preserve"> = 4 \* GB3 \* MERGEFORMAT </w:instrText>
      </w:r>
      <w:r>
        <w:fldChar w:fldCharType="separate"/>
      </w:r>
      <w:r>
        <w:t>④</w:t>
      </w:r>
      <w:r>
        <w:fldChar w:fldCharType="end"/>
      </w:r>
      <w:r>
        <w:t>农田灌溉水回渗补给</w:t>
      </w:r>
    </w:p>
    <w:p>
      <w:pPr>
        <w:pStyle w:val="27"/>
        <w:ind w:firstLine="560"/>
      </w:pPr>
      <w:r>
        <w:t>调查评价区的西部和南部，大部分为农田，地表岩性大部分为粉砂、粉土，旱季农田灌溉时地表水下渗补给地下水，具有明显的季节性。</w:t>
      </w:r>
    </w:p>
    <w:p>
      <w:pPr>
        <w:pStyle w:val="27"/>
        <w:ind w:firstLine="560"/>
      </w:pPr>
      <w:r>
        <w:fldChar w:fldCharType="begin"/>
      </w:r>
      <w:r>
        <w:instrText xml:space="preserve"> = 5 \* GB3 \* MERGEFORMAT </w:instrText>
      </w:r>
      <w:r>
        <w:fldChar w:fldCharType="separate"/>
      </w:r>
      <w:r>
        <w:t>⑤</w:t>
      </w:r>
      <w:r>
        <w:fldChar w:fldCharType="end"/>
      </w:r>
      <w:r>
        <w:t>径流</w:t>
      </w:r>
    </w:p>
    <w:p>
      <w:pPr>
        <w:pStyle w:val="27"/>
        <w:ind w:firstLine="560"/>
      </w:pPr>
      <w:r>
        <w:t>根据调查评价区内地下水水位调查情况，结合地形地貌条件，判断调查评价区内浅层地下水总体由西向东径流，地下水流场见图5.4-2。</w:t>
      </w:r>
    </w:p>
    <w:p>
      <w:pPr>
        <w:pStyle w:val="27"/>
        <w:ind w:firstLine="560"/>
      </w:pPr>
      <w:r>
        <w:fldChar w:fldCharType="begin"/>
      </w:r>
      <w:r>
        <w:instrText xml:space="preserve"> = 6 \* GB3 \* MERGEFORMAT </w:instrText>
      </w:r>
      <w:r>
        <w:fldChar w:fldCharType="separate"/>
      </w:r>
      <w:r>
        <w:t>⑥</w:t>
      </w:r>
      <w:r>
        <w:fldChar w:fldCharType="end"/>
      </w:r>
      <w:r>
        <w:t>排泄</w:t>
      </w:r>
    </w:p>
    <w:p>
      <w:pPr>
        <w:pStyle w:val="27"/>
        <w:ind w:firstLine="560"/>
      </w:pPr>
      <w:r>
        <w:t>地下水排泄方式主要为人工开采。开采主要是城市工业及生活用水开采和农业灌溉开采。</w:t>
      </w:r>
    </w:p>
    <w:p>
      <w:pPr>
        <w:pStyle w:val="27"/>
        <w:ind w:firstLine="560"/>
      </w:pPr>
      <w:r>
        <w:t>浅层水上部包气带主要由粉土夹薄层粉质黏土和粉砂组成，存在污染风险。该层水目前主要为农业灌溉和农村人畜用水。</w:t>
      </w:r>
    </w:p>
    <w:p>
      <w:pPr>
        <w:pStyle w:val="33"/>
      </w:pPr>
      <w:r>
        <w:t>5.4.3.2 中深层含水岩组水文地质条件</w:t>
      </w:r>
    </w:p>
    <w:p>
      <w:pPr>
        <w:pStyle w:val="27"/>
        <w:ind w:firstLine="560"/>
      </w:pPr>
      <w:bookmarkStart w:id="137" w:name="_Toc67855423"/>
      <w:r>
        <w:t>（1）含水岩组岩性结构及富水性特征</w:t>
      </w:r>
      <w:bookmarkEnd w:id="137"/>
    </w:p>
    <w:p>
      <w:pPr>
        <w:pStyle w:val="27"/>
        <w:ind w:firstLine="560"/>
      </w:pPr>
      <w:r>
        <w:t>调查评价区中深层含水岩组包括中更新统含水岩组和下更新统含水岩组，为承压水。</w:t>
      </w:r>
    </w:p>
    <w:p>
      <w:pPr>
        <w:pStyle w:val="27"/>
        <w:ind w:firstLine="560"/>
      </w:pPr>
      <w:r>
        <w:t>中更新统含水岩组岩性以细砂、中砂为主，局部为粗砂，含水层底板埋深一般为200-240m。中更新统含水岩组的富水性与古河道的分布和结构密切相关。古河道带沉积物主要为中细砂，颗粒粗渗透性强，地下水补给条件良好，单井涌水量大，水量较丰富；而古河道间带颗粒细，渗透性差，单井涌水量小。地下水水化学类型以HCO</w:t>
      </w:r>
      <w:r>
        <w:rPr>
          <w:vertAlign w:val="subscript"/>
        </w:rPr>
        <w:t>3</w:t>
      </w:r>
      <w:r>
        <w:t>型为主，矿化度0.7-1.1g/L，绝大部分小于1.0g/L，沿地下水流向由于Ca、Mg与Na交换所致，水化学类型由HCO</w:t>
      </w:r>
      <w:r>
        <w:rPr>
          <w:vertAlign w:val="subscript"/>
        </w:rPr>
        <w:t>3</w:t>
      </w:r>
      <w:r>
        <w:t>—Ca·Mg型向HCO</w:t>
      </w:r>
      <w:r>
        <w:rPr>
          <w:vertAlign w:val="subscript"/>
        </w:rPr>
        <w:t>3</w:t>
      </w:r>
      <w:r>
        <w:t>—Na·Ca·Mg型转化。</w:t>
      </w:r>
    </w:p>
    <w:p>
      <w:pPr>
        <w:pStyle w:val="27"/>
        <w:ind w:firstLine="560"/>
      </w:pPr>
      <w:r>
        <w:t>下更新统含水岩组岩性主要为中、细砂、粉砂，含水层厚度一般20-30m，埋藏深度260-450m。深层承压水含水系统地下水化学类型以SO</w:t>
      </w:r>
      <w:r>
        <w:rPr>
          <w:vertAlign w:val="subscript"/>
        </w:rPr>
        <w:t>4</w:t>
      </w:r>
      <w:r>
        <w:t>·Cl—Na·Mg及HCO</w:t>
      </w:r>
      <w:r>
        <w:rPr>
          <w:vertAlign w:val="subscript"/>
        </w:rPr>
        <w:t>3</w:t>
      </w:r>
      <w:r>
        <w:t>·Cl—Na·Mg为主，矿化度0.89-2.1g/L，为微咸水，随深度增加，矿化度有增高的趋势，而硬度有减少的趋势，反应深层承压含水系统的湖湘沉积背景和封闭还原的水文地球环境，不宜作为饮用水水源。</w:t>
      </w:r>
    </w:p>
    <w:p>
      <w:pPr>
        <w:pStyle w:val="27"/>
        <w:ind w:firstLine="560"/>
      </w:pPr>
      <w:bookmarkStart w:id="138" w:name="_Toc67855424"/>
      <w:r>
        <w:t>（2）中深层地下补给、径流与排泄</w:t>
      </w:r>
      <w:bookmarkEnd w:id="138"/>
    </w:p>
    <w:p>
      <w:pPr>
        <w:pStyle w:val="27"/>
        <w:ind w:firstLine="560"/>
      </w:pPr>
      <w:r>
        <w:t>本区中深层地下水仅仅接受区域地下水径流的微弱补给，从径流方向看，主要来自西南部黄河冲积平原。人工开采是中深层地下水排泄的主要方式，开采主要是地热水的开发。</w:t>
      </w:r>
    </w:p>
    <w:p>
      <w:pPr>
        <w:pStyle w:val="27"/>
        <w:ind w:firstLine="560"/>
      </w:pPr>
      <w:r>
        <w:t>本项目的保护目标为地下水。根据调查评价区的水文地质条件，浅层地下水含水岩组是污染物渗透、运移的主要目标层位。浅层含水岩组与中、深层含水岩组因隔水层的存在，对污染物向更深范围的渗透与扩散起到了阻隔作用，因此污染物对中、深层的含水岩组的直接影响较小。</w:t>
      </w:r>
    </w:p>
    <w:p>
      <w:pPr>
        <w:pStyle w:val="33"/>
      </w:pPr>
      <w:bookmarkStart w:id="139" w:name="_Toc67991841"/>
      <w:r>
        <w:t>5.4.3.</w:t>
      </w:r>
      <w:r>
        <w:rPr>
          <w:rFonts w:hint="eastAsia"/>
        </w:rPr>
        <w:t>3</w:t>
      </w:r>
      <w:r>
        <w:t xml:space="preserve"> </w:t>
      </w:r>
      <w:r>
        <w:rPr>
          <w:rFonts w:hint="eastAsia"/>
        </w:rPr>
        <w:t>地下水流场特征</w:t>
      </w:r>
      <w:bookmarkEnd w:id="139"/>
    </w:p>
    <w:p>
      <w:pPr>
        <w:pStyle w:val="27"/>
        <w:ind w:firstLine="560"/>
      </w:pPr>
      <w:r>
        <w:rPr>
          <w:rFonts w:hint="eastAsia"/>
        </w:rPr>
        <w:t>按照导则要求，对于地处“其它平原区”的一级评价项目需完成一个连续水文年的枯、丰两期地下水位现状监测。</w:t>
      </w:r>
    </w:p>
    <w:p>
      <w:pPr>
        <w:pStyle w:val="27"/>
        <w:ind w:firstLine="560"/>
      </w:pPr>
      <w:r>
        <w:rPr>
          <w:rFonts w:hint="eastAsia"/>
        </w:rPr>
        <w:t>（1）本次地下水水位监测情况</w:t>
      </w:r>
    </w:p>
    <w:p>
      <w:pPr>
        <w:pStyle w:val="57"/>
        <w:spacing w:line="240" w:lineRule="atLeast"/>
      </w:pPr>
      <w:r>
        <w:drawing>
          <wp:inline distT="0" distB="0" distL="0" distR="0">
            <wp:extent cx="5478780" cy="4233545"/>
            <wp:effectExtent l="0" t="0" r="7620" b="146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72">
                      <a:extLst>
                        <a:ext uri="{28A0092B-C50C-407E-A947-70E740481C1C}">
                          <a14:useLocalDpi xmlns:a14="http://schemas.microsoft.com/office/drawing/2010/main" val="0"/>
                        </a:ext>
                      </a:extLst>
                    </a:blip>
                    <a:srcRect t="1475" r="7908" b="1670"/>
                    <a:stretch>
                      <a:fillRect/>
                    </a:stretch>
                  </pic:blipFill>
                  <pic:spPr>
                    <a:xfrm>
                      <a:off x="0" y="0"/>
                      <a:ext cx="5479200" cy="4233919"/>
                    </a:xfrm>
                    <a:prstGeom prst="rect">
                      <a:avLst/>
                    </a:prstGeom>
                    <a:noFill/>
                    <a:ln>
                      <a:noFill/>
                    </a:ln>
                  </pic:spPr>
                </pic:pic>
              </a:graphicData>
            </a:graphic>
          </wp:inline>
        </w:drawing>
      </w:r>
    </w:p>
    <w:p>
      <w:pPr>
        <w:pStyle w:val="58"/>
        <w:spacing w:line="240" w:lineRule="atLeast"/>
      </w:pPr>
      <w:r>
        <w:t>图5.4-2    调查评价区水文地质图</w:t>
      </w:r>
    </w:p>
    <w:p>
      <w:pPr>
        <w:pStyle w:val="27"/>
        <w:ind w:firstLine="560"/>
      </w:pPr>
      <w:r>
        <w:rPr>
          <w:rFonts w:hint="eastAsia"/>
        </w:rPr>
        <w:t>（2）引用水位监测数据情况</w:t>
      </w:r>
    </w:p>
    <w:p>
      <w:pPr>
        <w:pStyle w:val="27"/>
        <w:ind w:firstLine="560"/>
      </w:pPr>
      <w:r>
        <w:rPr>
          <w:rFonts w:hint="eastAsia"/>
        </w:rPr>
        <w:t>本次评价除自行开展的一期调查外，引用了《河南华龙香料有限公司年产1000吨香料搬迁项目环境影响报告书》中2</w:t>
      </w:r>
      <w:r>
        <w:t>020</w:t>
      </w:r>
      <w:r>
        <w:rPr>
          <w:rFonts w:hint="eastAsia"/>
        </w:rPr>
        <w:t>年现状水位监测数据，基本覆盖了本次调查区范围。见</w:t>
      </w:r>
      <w:r>
        <w:t>图5.4-</w:t>
      </w:r>
      <w:r>
        <w:rPr>
          <w:rFonts w:hint="eastAsia"/>
        </w:rPr>
        <w:t>6、</w:t>
      </w:r>
      <w:r>
        <w:t>图5.4-</w:t>
      </w:r>
      <w:r>
        <w:rPr>
          <w:rFonts w:hint="eastAsia"/>
        </w:rPr>
        <w:t>7。</w:t>
      </w:r>
    </w:p>
    <w:p>
      <w:pPr>
        <w:adjustRightInd w:val="0"/>
        <w:snapToGrid w:val="0"/>
        <w:spacing w:line="240" w:lineRule="atLeast"/>
        <w:jc w:val="center"/>
        <w:rPr>
          <w:rFonts w:ascii="宋体" w:hAnsi="宋体" w:cs="宋体"/>
          <w:kern w:val="0"/>
        </w:rPr>
      </w:pPr>
      <w:r>
        <w:drawing>
          <wp:inline distT="0" distB="0" distL="0" distR="0">
            <wp:extent cx="5231765" cy="3959860"/>
            <wp:effectExtent l="0" t="0" r="6985" b="254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31765" cy="3959860"/>
                    </a:xfrm>
                    <a:prstGeom prst="rect">
                      <a:avLst/>
                    </a:prstGeom>
                    <a:noFill/>
                    <a:ln>
                      <a:noFill/>
                    </a:ln>
                  </pic:spPr>
                </pic:pic>
              </a:graphicData>
            </a:graphic>
          </wp:inline>
        </w:drawing>
      </w:r>
    </w:p>
    <w:p>
      <w:pPr>
        <w:pStyle w:val="58"/>
      </w:pPr>
      <w:r>
        <w:rPr>
          <w:rFonts w:hint="eastAsia"/>
        </w:rPr>
        <w:t xml:space="preserve">图5.4-6 </w:t>
      </w:r>
      <w:r>
        <w:t xml:space="preserve"> </w:t>
      </w:r>
      <w:r>
        <w:rPr>
          <w:rFonts w:hint="eastAsia"/>
        </w:rPr>
        <w:t>调查评价区枯水期浅层地下水等水位线图</w:t>
      </w:r>
    </w:p>
    <w:p>
      <w:pPr>
        <w:adjustRightInd w:val="0"/>
        <w:snapToGrid w:val="0"/>
        <w:spacing w:line="240" w:lineRule="atLeast"/>
        <w:jc w:val="center"/>
      </w:pPr>
      <w:r>
        <w:drawing>
          <wp:inline distT="0" distB="0" distL="0" distR="0">
            <wp:extent cx="5297805" cy="3959860"/>
            <wp:effectExtent l="0" t="0" r="17145" b="254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97805" cy="3959860"/>
                    </a:xfrm>
                    <a:prstGeom prst="rect">
                      <a:avLst/>
                    </a:prstGeom>
                    <a:noFill/>
                    <a:ln>
                      <a:noFill/>
                    </a:ln>
                  </pic:spPr>
                </pic:pic>
              </a:graphicData>
            </a:graphic>
          </wp:inline>
        </w:drawing>
      </w:r>
    </w:p>
    <w:p>
      <w:pPr>
        <w:pStyle w:val="58"/>
      </w:pPr>
      <w:r>
        <w:t>图5.4-</w:t>
      </w:r>
      <w:r>
        <w:rPr>
          <w:rFonts w:hint="eastAsia"/>
        </w:rPr>
        <w:t xml:space="preserve">7 </w:t>
      </w:r>
      <w:r>
        <w:t xml:space="preserve"> </w:t>
      </w:r>
      <w:r>
        <w:rPr>
          <w:rFonts w:hint="eastAsia"/>
        </w:rPr>
        <w:t>调查评价区丰水期浅层地下水等水位线图</w:t>
      </w:r>
    </w:p>
    <w:p>
      <w:pPr>
        <w:pStyle w:val="31"/>
      </w:pPr>
      <w:bookmarkStart w:id="140" w:name="_Toc67855425"/>
      <w:r>
        <w:t>5.4.4  场地水文地质特征</w:t>
      </w:r>
      <w:bookmarkEnd w:id="140"/>
    </w:p>
    <w:p>
      <w:pPr>
        <w:pStyle w:val="27"/>
        <w:ind w:firstLine="560"/>
      </w:pPr>
      <w:r>
        <w:t>本项目选址位于濮阳市经济技术开发区濮水街道办事处石化路与濮水路交叉口往南中原大化厂区内。项目场地地貌属黄河冲积平原泛流平地与决扇口过渡地带，地形平坦。建设项目周边为工业用地与农业用地，无珍稀保护物种和名胜古迹。厂址交通条件便利，建设环境条件良好。</w:t>
      </w:r>
    </w:p>
    <w:p>
      <w:pPr>
        <w:pStyle w:val="33"/>
      </w:pPr>
      <w:bookmarkStart w:id="141" w:name="_Toc67855426"/>
      <w:r>
        <w:t>5.4.4.1 水文地质勘察</w:t>
      </w:r>
      <w:bookmarkEnd w:id="141"/>
    </w:p>
    <w:p>
      <w:pPr>
        <w:pStyle w:val="27"/>
        <w:ind w:firstLine="560"/>
      </w:pPr>
      <w:r>
        <w:t>场地地形平坦，浅部地层主要由全新统（Q</w:t>
      </w:r>
      <w:r>
        <w:rPr>
          <w:vertAlign w:val="subscript"/>
        </w:rPr>
        <w:t>h</w:t>
      </w:r>
      <w:r>
        <w:t>）黄河冲积成因组成的沉积物。根据河南煤业化工集团濮阳20万吨/年乙二醇项目（装置区）场地岩土工程勘察报告，勘查深度范围内揭露的岩土自上而下分为11层，分述如下（图5.4-</w:t>
      </w:r>
      <w:r>
        <w:rPr>
          <w:rFonts w:hint="eastAsia"/>
        </w:rPr>
        <w:t>8</w:t>
      </w:r>
      <w:r>
        <w:t>）：</w:t>
      </w:r>
    </w:p>
    <w:p>
      <w:pPr>
        <w:pStyle w:val="27"/>
        <w:ind w:firstLine="560"/>
      </w:pPr>
      <w:r>
        <w:t>（1）耕土：地层呈褐黄色，稍湿，稍密。含植物根系。厚度0.7m，层底埋深0.7m，层底标高51.9m。</w:t>
      </w:r>
    </w:p>
    <w:p>
      <w:pPr>
        <w:pStyle w:val="27"/>
        <w:ind w:firstLine="560"/>
      </w:pPr>
      <w:r>
        <w:t>（2）粉土夹粉砂：地层呈浅黄-褐黄色，稍湿，稍密。摇振反应中等，无光泽，干强度低，韧性低，含大量灰色和铁染团块。局部为粉砂，主要成份为石英、长石。厚度4.00m，层底埋深4.70m，层底标高47.90m。</w:t>
      </w:r>
    </w:p>
    <w:p>
      <w:pPr>
        <w:pStyle w:val="27"/>
        <w:ind w:firstLine="560"/>
      </w:pPr>
      <w:r>
        <w:t>（3）灰淤泥质粉质粘土：地层呈灰-灰褐色，饱和，软塑—流塑。摇振反应无，稍有光泽，干强度中等，韧性中等。见蜗牛壳碎片和小粒径钙质结核，可见褐红色铁染。下部为可塑。顶、底部常为粉土，稍密，湿，无光泽，干强度低，韧性低，摇振反应迅速。厚度2.50m，层底埋深7.20m，层底标高45.40m。</w:t>
      </w:r>
    </w:p>
    <w:p>
      <w:pPr>
        <w:pStyle w:val="27"/>
        <w:ind w:firstLine="560"/>
      </w:pPr>
      <w:r>
        <w:t>（4）粉砂：地层呈灰黄色、灰色，稍湿，稍密-中密。主要成份为石英、长石、云母，偶见螺壳碎片。局部为粉土。厚度4.80m，层底埋深12.00m，层底标高40.60m。</w:t>
      </w:r>
    </w:p>
    <w:p>
      <w:pPr>
        <w:pStyle w:val="27"/>
        <w:ind w:firstLine="560"/>
      </w:pPr>
      <w:r>
        <w:t>（5）粉砂：地层呈青灰色、灰色，稍湿，中密。主要成分为石英、长石等。局部夹粉土薄层（厚度＜30cm，灰-灰褐色，可塑（稍密）。厚度6.30m，层底埋深18.30m，层底标高34.30m。</w:t>
      </w:r>
    </w:p>
    <w:p>
      <w:pPr>
        <w:pStyle w:val="27"/>
        <w:ind w:firstLine="560"/>
      </w:pPr>
      <w:r>
        <w:t>（6）粉细砂：地层呈灰色，饱和，中密-密实。自上而下粒径变粗，上部主要为粉砂，下部以细砂为主，夹中砂，主要成分为石英、长石、云母等。局部夹透镜状粉质粘土、粉土，厚度＜50cm。厚度4.60m，层底埋深22.90m，层底标高29.70m。</w:t>
      </w:r>
    </w:p>
    <w:p>
      <w:pPr>
        <w:pStyle w:val="27"/>
        <w:ind w:firstLine="560"/>
      </w:pPr>
      <w:r>
        <w:t>（7）粉土：地层呈灰色、褐黄色，湿，密实。含钙质结核，局部富积，可见褐色铁质斑纹，摇振反应中等，干强度低，韧性低，粘性较强。局部为粉质粘土，可塑，稍有光泽，干强度中等，韧性中等。厚度5.40m，层底埋深28.30m，层底标高24.30m。</w:t>
      </w:r>
    </w:p>
    <w:p>
      <w:pPr>
        <w:pStyle w:val="27"/>
        <w:ind w:firstLine="560"/>
      </w:pPr>
      <w:r>
        <w:t>（8）粉土：地层呈褐黄色、褐红色，湿，密实。摇振反应迅速，干强度低，韧性低。含较多钙质结核，局部富集，粒径φ0.5-3.0cm，大者粒径5.0-8.0cm。局部夹粉质粘土，可塑。厚度4.70m，层底埋深33.00m，层底标高19.60m。</w:t>
      </w:r>
    </w:p>
    <w:p>
      <w:pPr>
        <w:pStyle w:val="27"/>
        <w:ind w:firstLine="560"/>
      </w:pPr>
      <w:r>
        <w:t>（9）粉土夹粉质粘土：地层呈褐红色、褐黄色。粉土，湿，密实，摇振反应中等，干强度中等，韧性中等，粘性较强。夹粉质粘土，呈可塑—硬塑状态，稍有光泽，干强度高，韧性高，与粉土呈过渡相变存在。含小粒径钙质结核，有灰色团块及褐色条纹。厚度5.90m，层底埋深38.90m，层底标高13.70m。</w:t>
      </w:r>
    </w:p>
    <w:p>
      <w:pPr>
        <w:pStyle w:val="27"/>
        <w:ind w:firstLine="560"/>
      </w:pPr>
      <w:r>
        <w:t>（10）粉土：地层呈褐黄色，粘性较强，湿，密实，摇振反应中等，干强度中等，韧性中等，含钙质结核及灰色团块。局部夹粉质粘土，可塑，稍有光泽，干强度高，韧性高。厚度6.90m，层底埋深45.80m，层底标高6.80m。</w:t>
      </w:r>
    </w:p>
    <w:p>
      <w:pPr>
        <w:pStyle w:val="27"/>
        <w:ind w:firstLine="560"/>
      </w:pPr>
      <w:r>
        <w:t>（11）粉质粘土：地层呈褐黄色、褐红色，可塑—硬塑状态，摇振反应无，稍有光泽，干强度高，韧性高。夹粉土，湿，密实，摇振反应中等-迅速，干强度中等-低，韧性低，粘性不均，粉土与粉质粘土交互发育。含钙质结核、灰色团块等。顶部局部夹粉砂，中密—密实。厚度4.40m，层底埋深50.20m，层底标高2.40m。该层未揭穿。</w:t>
      </w:r>
    </w:p>
    <w:p>
      <w:pPr>
        <w:pStyle w:val="27"/>
        <w:ind w:firstLine="560"/>
      </w:pPr>
      <w:r>
        <w:t>根</w:t>
      </w:r>
      <w:bookmarkStart w:id="142" w:name="_Hlk35823357"/>
      <w:r>
        <w:t>据C03钻孔资料，含水层位岩性为粉细砂和粉土，含水层总厚度为25.54m，其中粉细砂2.64m，下部为粉土。</w:t>
      </w:r>
      <w:bookmarkStart w:id="143" w:name="_Hlk36441734"/>
      <w:r>
        <w:t>底板岩性为粉质粘土。</w:t>
      </w:r>
      <w:bookmarkEnd w:id="143"/>
      <w:r>
        <w:t>根据收集资料，场地周边地下水水位下降较多，上层透水层中的水已被疏干，地下水主要赋存于Q</w:t>
      </w:r>
      <w:r>
        <w:rPr>
          <w:vertAlign w:val="subscript"/>
        </w:rPr>
        <w:t>p</w:t>
      </w:r>
      <w:r>
        <w:rPr>
          <w:vertAlign w:val="superscript"/>
        </w:rPr>
        <w:t>3</w:t>
      </w:r>
      <w:r>
        <w:t>粉土中。</w:t>
      </w:r>
    </w:p>
    <w:p>
      <w:pPr>
        <w:pStyle w:val="27"/>
        <w:ind w:firstLine="560"/>
      </w:pPr>
      <w:r>
        <w:t>场地稳定水位埋深为21.52m，埋深标高32.34m。</w:t>
      </w:r>
    </w:p>
    <w:bookmarkEnd w:id="142"/>
    <w:p>
      <w:pPr>
        <w:pStyle w:val="27"/>
        <w:ind w:firstLine="560"/>
      </w:pPr>
      <w:r>
        <w:t>根据场</w:t>
      </w:r>
      <w:bookmarkStart w:id="144" w:name="_Hlk36180087"/>
      <w:r>
        <w:t>地的水文地质特征同区域以及调查评价区的水文地质特征总体一致。</w:t>
      </w:r>
      <w:bookmarkEnd w:id="144"/>
    </w:p>
    <w:p>
      <w:pPr>
        <w:adjustRightInd w:val="0"/>
        <w:snapToGrid w:val="0"/>
        <w:spacing w:line="240" w:lineRule="atLeast"/>
        <w:jc w:val="center"/>
      </w:pPr>
      <w:r>
        <w:drawing>
          <wp:inline distT="0" distB="0" distL="0" distR="0">
            <wp:extent cx="5645785" cy="8230870"/>
            <wp:effectExtent l="0" t="0" r="12065" b="177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8">
                      <a:extLst>
                        <a:ext uri="{28A0092B-C50C-407E-A947-70E740481C1C}">
                          <a14:useLocalDpi xmlns:a14="http://schemas.microsoft.com/office/drawing/2010/main" val="0"/>
                        </a:ext>
                      </a:extLst>
                    </a:blip>
                    <a:srcRect l="5639" r="5582"/>
                    <a:stretch>
                      <a:fillRect/>
                    </a:stretch>
                  </pic:blipFill>
                  <pic:spPr>
                    <a:xfrm>
                      <a:off x="0" y="0"/>
                      <a:ext cx="5645785" cy="8230870"/>
                    </a:xfrm>
                    <a:prstGeom prst="rect">
                      <a:avLst/>
                    </a:prstGeom>
                    <a:noFill/>
                    <a:ln>
                      <a:noFill/>
                    </a:ln>
                  </pic:spPr>
                </pic:pic>
              </a:graphicData>
            </a:graphic>
          </wp:inline>
        </w:drawing>
      </w:r>
    </w:p>
    <w:p>
      <w:pPr>
        <w:pStyle w:val="58"/>
        <w:spacing w:line="240" w:lineRule="atLeast"/>
      </w:pPr>
      <w:bookmarkStart w:id="145" w:name="_Ref38379855"/>
      <w:r>
        <w:t>图</w:t>
      </w:r>
      <w:bookmarkEnd w:id="145"/>
      <w:r>
        <w:t>5.4-</w:t>
      </w:r>
      <w:r>
        <w:rPr>
          <w:rFonts w:hint="eastAsia"/>
        </w:rPr>
        <w:t>8</w:t>
      </w:r>
      <w:r>
        <w:t xml:space="preserve">    C03钻孔柱状图</w:t>
      </w:r>
    </w:p>
    <w:p>
      <w:pPr>
        <w:adjustRightInd w:val="0"/>
        <w:snapToGrid w:val="0"/>
        <w:jc w:val="center"/>
      </w:pPr>
      <w:r>
        <w:drawing>
          <wp:inline distT="0" distB="0" distL="0" distR="0">
            <wp:extent cx="5288280" cy="4032885"/>
            <wp:effectExtent l="0" t="0" r="762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9">
                      <a:extLst>
                        <a:ext uri="{28A0092B-C50C-407E-A947-70E740481C1C}">
                          <a14:useLocalDpi xmlns:a14="http://schemas.microsoft.com/office/drawing/2010/main" val="0"/>
                        </a:ext>
                      </a:extLst>
                    </a:blip>
                    <a:srcRect r="2597"/>
                    <a:stretch>
                      <a:fillRect/>
                    </a:stretch>
                  </pic:blipFill>
                  <pic:spPr>
                    <a:xfrm>
                      <a:off x="0" y="0"/>
                      <a:ext cx="5288280" cy="4032885"/>
                    </a:xfrm>
                    <a:prstGeom prst="rect">
                      <a:avLst/>
                    </a:prstGeom>
                    <a:noFill/>
                    <a:ln>
                      <a:noFill/>
                    </a:ln>
                  </pic:spPr>
                </pic:pic>
              </a:graphicData>
            </a:graphic>
          </wp:inline>
        </w:drawing>
      </w:r>
    </w:p>
    <w:p>
      <w:pPr>
        <w:pStyle w:val="58"/>
      </w:pPr>
      <w:r>
        <w:t>图5.4-</w:t>
      </w:r>
      <w:r>
        <w:rPr>
          <w:rFonts w:hint="eastAsia"/>
        </w:rPr>
        <w:t>9</w:t>
      </w:r>
      <w:r>
        <w:t xml:space="preserve">    场地1-1′剖面图</w:t>
      </w:r>
    </w:p>
    <w:p/>
    <w:p>
      <w:pPr>
        <w:adjustRightInd w:val="0"/>
        <w:snapToGrid w:val="0"/>
        <w:jc w:val="center"/>
      </w:pPr>
      <w:r>
        <w:drawing>
          <wp:inline distT="0" distB="0" distL="0" distR="0">
            <wp:extent cx="5429250" cy="51435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429250" cy="5143500"/>
                    </a:xfrm>
                    <a:prstGeom prst="rect">
                      <a:avLst/>
                    </a:prstGeom>
                    <a:noFill/>
                    <a:ln>
                      <a:noFill/>
                    </a:ln>
                  </pic:spPr>
                </pic:pic>
              </a:graphicData>
            </a:graphic>
          </wp:inline>
        </w:drawing>
      </w:r>
    </w:p>
    <w:p>
      <w:pPr>
        <w:pStyle w:val="58"/>
      </w:pPr>
      <w:bookmarkStart w:id="146" w:name="_Hlk35823406"/>
      <w:r>
        <w:t>图5.4-</w:t>
      </w:r>
      <w:r>
        <w:rPr>
          <w:rFonts w:hint="eastAsia"/>
        </w:rPr>
        <w:t>10</w:t>
      </w:r>
      <w:r>
        <w:t xml:space="preserve">    场地2-2′剖面图</w:t>
      </w:r>
    </w:p>
    <w:bookmarkEnd w:id="146"/>
    <w:p>
      <w:pPr>
        <w:pStyle w:val="33"/>
      </w:pPr>
      <w:bookmarkStart w:id="147" w:name="_Toc67855427"/>
      <w:r>
        <w:t>5.4.4.2 水文地质试验</w:t>
      </w:r>
      <w:bookmarkEnd w:id="147"/>
    </w:p>
    <w:p>
      <w:pPr>
        <w:pStyle w:val="27"/>
        <w:ind w:firstLine="560"/>
      </w:pPr>
      <w:bookmarkStart w:id="148" w:name="_Toc67855428"/>
      <w:r>
        <w:t>（1）抽水试验</w:t>
      </w:r>
      <w:bookmarkEnd w:id="148"/>
    </w:p>
    <w:p>
      <w:pPr>
        <w:pStyle w:val="27"/>
        <w:ind w:firstLine="560"/>
      </w:pPr>
      <w:r>
        <w:t>为了求取场地内水文地质参数，2020年3月7日，在CS1水井开展稳定流抽水试验，试验井深30m，井径0.4m，水泵流量30m3/h，抽水试验持续时间308分钟，抽水至水位稳定，在水位稳定前对时间和水位进行持续记录，数据见下表。</w:t>
      </w:r>
    </w:p>
    <w:p>
      <w:pPr>
        <w:pStyle w:val="32"/>
        <w:ind w:right="240"/>
      </w:pPr>
      <w:bookmarkStart w:id="149" w:name="_Ref38380093"/>
      <w:r>
        <w:t>表</w:t>
      </w:r>
      <w:bookmarkEnd w:id="149"/>
      <w:r>
        <w:t>5.4-</w:t>
      </w:r>
      <w:r>
        <w:rPr>
          <w:rFonts w:hint="eastAsia"/>
        </w:rPr>
        <w:t>4</w:t>
      </w:r>
      <w:r>
        <w:t xml:space="preserve">                   抽水试验记录表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5"/>
        <w:gridCol w:w="3169"/>
        <w:gridCol w:w="301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1627" w:type="pct"/>
            <w:shd w:val="clear" w:color="auto" w:fill="auto"/>
            <w:noWrap/>
            <w:vAlign w:val="center"/>
          </w:tcPr>
          <w:p>
            <w:pPr>
              <w:pStyle w:val="35"/>
              <w:rPr>
                <w:b/>
                <w:bCs/>
              </w:rPr>
            </w:pPr>
            <w:r>
              <w:rPr>
                <w:b/>
                <w:bCs/>
              </w:rPr>
              <w:t>累积时间</w:t>
            </w:r>
          </w:p>
        </w:tc>
        <w:tc>
          <w:tcPr>
            <w:tcW w:w="1727" w:type="pct"/>
            <w:shd w:val="clear" w:color="auto" w:fill="auto"/>
            <w:noWrap/>
            <w:vAlign w:val="center"/>
          </w:tcPr>
          <w:p>
            <w:pPr>
              <w:pStyle w:val="35"/>
              <w:rPr>
                <w:b/>
                <w:bCs/>
              </w:rPr>
            </w:pPr>
            <w:r>
              <w:rPr>
                <w:b/>
                <w:bCs/>
              </w:rPr>
              <w:t>水位埋深</w:t>
            </w:r>
          </w:p>
        </w:tc>
        <w:tc>
          <w:tcPr>
            <w:tcW w:w="1645" w:type="pct"/>
            <w:shd w:val="clear" w:color="auto" w:fill="auto"/>
            <w:noWrap/>
            <w:vAlign w:val="center"/>
          </w:tcPr>
          <w:p>
            <w:pPr>
              <w:pStyle w:val="35"/>
              <w:rPr>
                <w:b/>
                <w:bCs/>
              </w:rPr>
            </w:pPr>
            <w:r>
              <w:rPr>
                <w:b/>
                <w:bCs/>
              </w:rPr>
              <w:t>降深</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0</w:t>
            </w:r>
          </w:p>
        </w:tc>
        <w:tc>
          <w:tcPr>
            <w:tcW w:w="1727" w:type="pct"/>
            <w:shd w:val="clear" w:color="auto" w:fill="auto"/>
            <w:noWrap/>
            <w:vAlign w:val="center"/>
          </w:tcPr>
          <w:p>
            <w:pPr>
              <w:pStyle w:val="35"/>
            </w:pPr>
            <w:r>
              <w:t>21.30</w:t>
            </w:r>
          </w:p>
        </w:tc>
        <w:tc>
          <w:tcPr>
            <w:tcW w:w="1645" w:type="pct"/>
            <w:shd w:val="clear" w:color="auto" w:fill="auto"/>
            <w:noWrap/>
            <w:vAlign w:val="center"/>
          </w:tcPr>
          <w:p>
            <w:pPr>
              <w:pStyle w:val="35"/>
            </w:pPr>
            <w: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w:t>
            </w:r>
          </w:p>
        </w:tc>
        <w:tc>
          <w:tcPr>
            <w:tcW w:w="1727" w:type="pct"/>
            <w:shd w:val="clear" w:color="auto" w:fill="auto"/>
            <w:noWrap/>
            <w:vAlign w:val="center"/>
          </w:tcPr>
          <w:p>
            <w:pPr>
              <w:pStyle w:val="35"/>
            </w:pPr>
            <w:r>
              <w:t>23.30</w:t>
            </w:r>
          </w:p>
        </w:tc>
        <w:tc>
          <w:tcPr>
            <w:tcW w:w="1645" w:type="pct"/>
            <w:shd w:val="clear" w:color="auto" w:fill="auto"/>
            <w:noWrap/>
            <w:vAlign w:val="center"/>
          </w:tcPr>
          <w:p>
            <w:pPr>
              <w:pStyle w:val="35"/>
            </w:pPr>
            <w:r>
              <w:t>2.00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w:t>
            </w:r>
          </w:p>
        </w:tc>
        <w:tc>
          <w:tcPr>
            <w:tcW w:w="1727" w:type="pct"/>
            <w:shd w:val="clear" w:color="auto" w:fill="auto"/>
            <w:noWrap/>
            <w:vAlign w:val="center"/>
          </w:tcPr>
          <w:p>
            <w:pPr>
              <w:pStyle w:val="35"/>
            </w:pPr>
            <w:r>
              <w:t>23.69</w:t>
            </w:r>
          </w:p>
        </w:tc>
        <w:tc>
          <w:tcPr>
            <w:tcW w:w="1645" w:type="pct"/>
            <w:shd w:val="clear" w:color="auto" w:fill="auto"/>
            <w:noWrap/>
            <w:vAlign w:val="center"/>
          </w:tcPr>
          <w:p>
            <w:pPr>
              <w:pStyle w:val="35"/>
            </w:pPr>
            <w:r>
              <w:t>2.39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3</w:t>
            </w:r>
          </w:p>
        </w:tc>
        <w:tc>
          <w:tcPr>
            <w:tcW w:w="1727" w:type="pct"/>
            <w:shd w:val="clear" w:color="auto" w:fill="auto"/>
            <w:noWrap/>
            <w:vAlign w:val="center"/>
          </w:tcPr>
          <w:p>
            <w:pPr>
              <w:pStyle w:val="35"/>
            </w:pPr>
            <w:r>
              <w:t>23.92</w:t>
            </w:r>
          </w:p>
        </w:tc>
        <w:tc>
          <w:tcPr>
            <w:tcW w:w="1645" w:type="pct"/>
            <w:shd w:val="clear" w:color="auto" w:fill="auto"/>
            <w:noWrap/>
            <w:vAlign w:val="center"/>
          </w:tcPr>
          <w:p>
            <w:pPr>
              <w:pStyle w:val="35"/>
            </w:pPr>
            <w:r>
              <w:t>2.62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5</w:t>
            </w:r>
          </w:p>
        </w:tc>
        <w:tc>
          <w:tcPr>
            <w:tcW w:w="1727" w:type="pct"/>
            <w:shd w:val="clear" w:color="auto" w:fill="auto"/>
            <w:noWrap/>
            <w:vAlign w:val="center"/>
          </w:tcPr>
          <w:p>
            <w:pPr>
              <w:pStyle w:val="35"/>
            </w:pPr>
            <w:r>
              <w:t>24.06</w:t>
            </w:r>
          </w:p>
        </w:tc>
        <w:tc>
          <w:tcPr>
            <w:tcW w:w="1645" w:type="pct"/>
            <w:shd w:val="clear" w:color="auto" w:fill="auto"/>
            <w:noWrap/>
            <w:vAlign w:val="center"/>
          </w:tcPr>
          <w:p>
            <w:pPr>
              <w:pStyle w:val="35"/>
            </w:pPr>
            <w:r>
              <w:t>2.76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7</w:t>
            </w:r>
          </w:p>
        </w:tc>
        <w:tc>
          <w:tcPr>
            <w:tcW w:w="1727" w:type="pct"/>
            <w:shd w:val="clear" w:color="auto" w:fill="auto"/>
            <w:noWrap/>
            <w:vAlign w:val="center"/>
          </w:tcPr>
          <w:p>
            <w:pPr>
              <w:pStyle w:val="35"/>
            </w:pPr>
            <w:r>
              <w:t>24.18</w:t>
            </w:r>
          </w:p>
        </w:tc>
        <w:tc>
          <w:tcPr>
            <w:tcW w:w="1645" w:type="pct"/>
            <w:shd w:val="clear" w:color="auto" w:fill="auto"/>
            <w:noWrap/>
            <w:vAlign w:val="center"/>
          </w:tcPr>
          <w:p>
            <w:pPr>
              <w:pStyle w:val="35"/>
            </w:pPr>
            <w:r>
              <w:t>2.88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9</w:t>
            </w:r>
          </w:p>
        </w:tc>
        <w:tc>
          <w:tcPr>
            <w:tcW w:w="1727" w:type="pct"/>
            <w:shd w:val="clear" w:color="auto" w:fill="auto"/>
            <w:noWrap/>
            <w:vAlign w:val="center"/>
          </w:tcPr>
          <w:p>
            <w:pPr>
              <w:pStyle w:val="35"/>
            </w:pPr>
            <w:r>
              <w:t>24.22</w:t>
            </w:r>
          </w:p>
        </w:tc>
        <w:tc>
          <w:tcPr>
            <w:tcW w:w="1645" w:type="pct"/>
            <w:shd w:val="clear" w:color="auto" w:fill="auto"/>
            <w:noWrap/>
            <w:vAlign w:val="center"/>
          </w:tcPr>
          <w:p>
            <w:pPr>
              <w:pStyle w:val="35"/>
            </w:pPr>
            <w:r>
              <w:t>2.92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12</w:t>
            </w:r>
          </w:p>
        </w:tc>
        <w:tc>
          <w:tcPr>
            <w:tcW w:w="1727" w:type="pct"/>
            <w:shd w:val="clear" w:color="auto" w:fill="auto"/>
            <w:noWrap/>
            <w:vAlign w:val="center"/>
          </w:tcPr>
          <w:p>
            <w:pPr>
              <w:pStyle w:val="35"/>
            </w:pPr>
            <w:r>
              <w:t>24.30</w:t>
            </w:r>
          </w:p>
        </w:tc>
        <w:tc>
          <w:tcPr>
            <w:tcW w:w="1645" w:type="pct"/>
            <w:shd w:val="clear" w:color="auto" w:fill="auto"/>
            <w:noWrap/>
            <w:vAlign w:val="center"/>
          </w:tcPr>
          <w:p>
            <w:pPr>
              <w:pStyle w:val="35"/>
            </w:pPr>
            <w:r>
              <w:t>3.00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15</w:t>
            </w:r>
          </w:p>
        </w:tc>
        <w:tc>
          <w:tcPr>
            <w:tcW w:w="1727" w:type="pct"/>
            <w:shd w:val="clear" w:color="auto" w:fill="auto"/>
            <w:noWrap/>
            <w:vAlign w:val="center"/>
          </w:tcPr>
          <w:p>
            <w:pPr>
              <w:pStyle w:val="35"/>
            </w:pPr>
            <w:r>
              <w:t>24.35</w:t>
            </w:r>
          </w:p>
        </w:tc>
        <w:tc>
          <w:tcPr>
            <w:tcW w:w="1645" w:type="pct"/>
            <w:shd w:val="clear" w:color="auto" w:fill="auto"/>
            <w:noWrap/>
            <w:vAlign w:val="center"/>
          </w:tcPr>
          <w:p>
            <w:pPr>
              <w:pStyle w:val="35"/>
            </w:pPr>
            <w:r>
              <w:t>3.05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20</w:t>
            </w:r>
          </w:p>
        </w:tc>
        <w:tc>
          <w:tcPr>
            <w:tcW w:w="1727" w:type="pct"/>
            <w:shd w:val="clear" w:color="auto" w:fill="auto"/>
            <w:noWrap/>
            <w:vAlign w:val="center"/>
          </w:tcPr>
          <w:p>
            <w:pPr>
              <w:pStyle w:val="35"/>
            </w:pPr>
            <w:r>
              <w:t>24.39</w:t>
            </w:r>
          </w:p>
        </w:tc>
        <w:tc>
          <w:tcPr>
            <w:tcW w:w="1645" w:type="pct"/>
            <w:shd w:val="clear" w:color="auto" w:fill="auto"/>
            <w:noWrap/>
            <w:vAlign w:val="center"/>
          </w:tcPr>
          <w:p>
            <w:pPr>
              <w:pStyle w:val="35"/>
            </w:pPr>
            <w:r>
              <w:t>3.09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25</w:t>
            </w:r>
          </w:p>
        </w:tc>
        <w:tc>
          <w:tcPr>
            <w:tcW w:w="1727" w:type="pct"/>
            <w:shd w:val="clear" w:color="auto" w:fill="auto"/>
            <w:noWrap/>
            <w:vAlign w:val="center"/>
          </w:tcPr>
          <w:p>
            <w:pPr>
              <w:pStyle w:val="35"/>
            </w:pPr>
            <w:r>
              <w:t>24.43</w:t>
            </w:r>
          </w:p>
        </w:tc>
        <w:tc>
          <w:tcPr>
            <w:tcW w:w="1645" w:type="pct"/>
            <w:shd w:val="clear" w:color="auto" w:fill="auto"/>
            <w:noWrap/>
            <w:vAlign w:val="center"/>
          </w:tcPr>
          <w:p>
            <w:pPr>
              <w:pStyle w:val="35"/>
            </w:pPr>
            <w:r>
              <w:t>3.13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30</w:t>
            </w:r>
          </w:p>
        </w:tc>
        <w:tc>
          <w:tcPr>
            <w:tcW w:w="1727" w:type="pct"/>
            <w:shd w:val="clear" w:color="auto" w:fill="auto"/>
            <w:noWrap/>
            <w:vAlign w:val="center"/>
          </w:tcPr>
          <w:p>
            <w:pPr>
              <w:pStyle w:val="35"/>
            </w:pPr>
            <w:r>
              <w:t>24.44</w:t>
            </w:r>
          </w:p>
        </w:tc>
        <w:tc>
          <w:tcPr>
            <w:tcW w:w="1645" w:type="pct"/>
            <w:shd w:val="clear" w:color="auto" w:fill="auto"/>
            <w:noWrap/>
            <w:vAlign w:val="center"/>
          </w:tcPr>
          <w:p>
            <w:pPr>
              <w:pStyle w:val="35"/>
            </w:pPr>
            <w:r>
              <w:t>3.14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40</w:t>
            </w:r>
          </w:p>
        </w:tc>
        <w:tc>
          <w:tcPr>
            <w:tcW w:w="1727" w:type="pct"/>
            <w:shd w:val="clear" w:color="auto" w:fill="auto"/>
            <w:noWrap/>
            <w:vAlign w:val="center"/>
          </w:tcPr>
          <w:p>
            <w:pPr>
              <w:pStyle w:val="35"/>
            </w:pPr>
            <w:r>
              <w:t>24.50</w:t>
            </w:r>
          </w:p>
        </w:tc>
        <w:tc>
          <w:tcPr>
            <w:tcW w:w="1645" w:type="pct"/>
            <w:shd w:val="clear" w:color="auto" w:fill="auto"/>
            <w:noWrap/>
            <w:vAlign w:val="center"/>
          </w:tcPr>
          <w:p>
            <w:pPr>
              <w:pStyle w:val="35"/>
            </w:pPr>
            <w:r>
              <w:t>3.20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60</w:t>
            </w:r>
          </w:p>
        </w:tc>
        <w:tc>
          <w:tcPr>
            <w:tcW w:w="1727" w:type="pct"/>
            <w:shd w:val="clear" w:color="auto" w:fill="auto"/>
            <w:noWrap/>
            <w:vAlign w:val="center"/>
          </w:tcPr>
          <w:p>
            <w:pPr>
              <w:pStyle w:val="35"/>
            </w:pPr>
            <w:r>
              <w:t>24.53</w:t>
            </w:r>
          </w:p>
        </w:tc>
        <w:tc>
          <w:tcPr>
            <w:tcW w:w="1645" w:type="pct"/>
            <w:shd w:val="clear" w:color="auto" w:fill="auto"/>
            <w:noWrap/>
            <w:vAlign w:val="center"/>
          </w:tcPr>
          <w:p>
            <w:pPr>
              <w:pStyle w:val="35"/>
            </w:pPr>
            <w:r>
              <w:t>3.23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80</w:t>
            </w:r>
          </w:p>
        </w:tc>
        <w:tc>
          <w:tcPr>
            <w:tcW w:w="1727" w:type="pct"/>
            <w:shd w:val="clear" w:color="auto" w:fill="auto"/>
            <w:noWrap/>
            <w:vAlign w:val="center"/>
          </w:tcPr>
          <w:p>
            <w:pPr>
              <w:pStyle w:val="35"/>
            </w:pPr>
            <w:r>
              <w:t>24.60</w:t>
            </w:r>
          </w:p>
        </w:tc>
        <w:tc>
          <w:tcPr>
            <w:tcW w:w="1645" w:type="pct"/>
            <w:shd w:val="clear" w:color="auto" w:fill="auto"/>
            <w:noWrap/>
            <w:vAlign w:val="center"/>
          </w:tcPr>
          <w:p>
            <w:pPr>
              <w:pStyle w:val="35"/>
            </w:pPr>
            <w:r>
              <w:t>3.30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100</w:t>
            </w:r>
          </w:p>
        </w:tc>
        <w:tc>
          <w:tcPr>
            <w:tcW w:w="1727" w:type="pct"/>
            <w:shd w:val="clear" w:color="auto" w:fill="auto"/>
            <w:noWrap/>
            <w:vAlign w:val="center"/>
          </w:tcPr>
          <w:p>
            <w:pPr>
              <w:pStyle w:val="35"/>
            </w:pPr>
            <w:r>
              <w:t>24.64</w:t>
            </w:r>
          </w:p>
        </w:tc>
        <w:tc>
          <w:tcPr>
            <w:tcW w:w="1645" w:type="pct"/>
            <w:shd w:val="clear" w:color="auto" w:fill="auto"/>
            <w:noWrap/>
            <w:vAlign w:val="center"/>
          </w:tcPr>
          <w:p>
            <w:pPr>
              <w:pStyle w:val="35"/>
            </w:pPr>
            <w:r>
              <w:t>3.34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120</w:t>
            </w:r>
          </w:p>
        </w:tc>
        <w:tc>
          <w:tcPr>
            <w:tcW w:w="1727" w:type="pct"/>
            <w:shd w:val="clear" w:color="auto" w:fill="auto"/>
            <w:noWrap/>
            <w:vAlign w:val="center"/>
          </w:tcPr>
          <w:p>
            <w:pPr>
              <w:pStyle w:val="35"/>
            </w:pPr>
            <w:r>
              <w:t>24.66</w:t>
            </w:r>
          </w:p>
        </w:tc>
        <w:tc>
          <w:tcPr>
            <w:tcW w:w="1645" w:type="pct"/>
            <w:shd w:val="clear" w:color="auto" w:fill="auto"/>
            <w:noWrap/>
            <w:vAlign w:val="center"/>
          </w:tcPr>
          <w:p>
            <w:pPr>
              <w:pStyle w:val="35"/>
            </w:pPr>
            <w:r>
              <w:t>3.36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150</w:t>
            </w:r>
          </w:p>
        </w:tc>
        <w:tc>
          <w:tcPr>
            <w:tcW w:w="1727" w:type="pct"/>
            <w:shd w:val="clear" w:color="auto" w:fill="auto"/>
            <w:noWrap/>
            <w:vAlign w:val="center"/>
          </w:tcPr>
          <w:p>
            <w:pPr>
              <w:pStyle w:val="35"/>
            </w:pPr>
            <w:r>
              <w:t>24.70</w:t>
            </w:r>
          </w:p>
        </w:tc>
        <w:tc>
          <w:tcPr>
            <w:tcW w:w="1645" w:type="pct"/>
            <w:shd w:val="clear" w:color="auto" w:fill="auto"/>
            <w:noWrap/>
            <w:vAlign w:val="center"/>
          </w:tcPr>
          <w:p>
            <w:pPr>
              <w:pStyle w:val="35"/>
            </w:pPr>
            <w:r>
              <w:t>3.40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180</w:t>
            </w:r>
          </w:p>
        </w:tc>
        <w:tc>
          <w:tcPr>
            <w:tcW w:w="1727" w:type="pct"/>
            <w:shd w:val="clear" w:color="auto" w:fill="auto"/>
            <w:noWrap/>
            <w:vAlign w:val="center"/>
          </w:tcPr>
          <w:p>
            <w:pPr>
              <w:pStyle w:val="35"/>
            </w:pPr>
            <w:r>
              <w:t>24.75</w:t>
            </w:r>
          </w:p>
        </w:tc>
        <w:tc>
          <w:tcPr>
            <w:tcW w:w="1645" w:type="pct"/>
            <w:shd w:val="clear" w:color="auto" w:fill="auto"/>
            <w:noWrap/>
            <w:vAlign w:val="center"/>
          </w:tcPr>
          <w:p>
            <w:pPr>
              <w:pStyle w:val="35"/>
            </w:pPr>
            <w:r>
              <w:t>3.45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210</w:t>
            </w:r>
          </w:p>
        </w:tc>
        <w:tc>
          <w:tcPr>
            <w:tcW w:w="1727" w:type="pct"/>
            <w:shd w:val="clear" w:color="auto" w:fill="auto"/>
            <w:noWrap/>
            <w:vAlign w:val="center"/>
          </w:tcPr>
          <w:p>
            <w:pPr>
              <w:pStyle w:val="35"/>
            </w:pPr>
            <w:r>
              <w:t>24.80</w:t>
            </w:r>
          </w:p>
        </w:tc>
        <w:tc>
          <w:tcPr>
            <w:tcW w:w="1645" w:type="pct"/>
            <w:shd w:val="clear" w:color="auto" w:fill="auto"/>
            <w:noWrap/>
            <w:vAlign w:val="center"/>
          </w:tcPr>
          <w:p>
            <w:pPr>
              <w:pStyle w:val="35"/>
            </w:pPr>
            <w:r>
              <w:t>3.50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228</w:t>
            </w:r>
          </w:p>
        </w:tc>
        <w:tc>
          <w:tcPr>
            <w:tcW w:w="1727" w:type="pct"/>
            <w:shd w:val="clear" w:color="auto" w:fill="auto"/>
            <w:noWrap/>
            <w:vAlign w:val="center"/>
          </w:tcPr>
          <w:p>
            <w:pPr>
              <w:pStyle w:val="35"/>
            </w:pPr>
            <w:r>
              <w:t>24.90</w:t>
            </w:r>
          </w:p>
        </w:tc>
        <w:tc>
          <w:tcPr>
            <w:tcW w:w="1645" w:type="pct"/>
            <w:shd w:val="clear" w:color="auto" w:fill="auto"/>
            <w:noWrap/>
            <w:vAlign w:val="center"/>
          </w:tcPr>
          <w:p>
            <w:pPr>
              <w:pStyle w:val="35"/>
            </w:pPr>
            <w:r>
              <w:t>3.60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229</w:t>
            </w:r>
          </w:p>
        </w:tc>
        <w:tc>
          <w:tcPr>
            <w:tcW w:w="1727" w:type="pct"/>
            <w:shd w:val="clear" w:color="auto" w:fill="auto"/>
            <w:noWrap/>
            <w:vAlign w:val="center"/>
          </w:tcPr>
          <w:p>
            <w:pPr>
              <w:pStyle w:val="35"/>
            </w:pPr>
            <w:r>
              <w:t>22.80</w:t>
            </w:r>
          </w:p>
        </w:tc>
        <w:tc>
          <w:tcPr>
            <w:tcW w:w="1645" w:type="pct"/>
            <w:shd w:val="clear" w:color="auto" w:fill="auto"/>
            <w:noWrap/>
            <w:vAlign w:val="center"/>
          </w:tcPr>
          <w:p>
            <w:pPr>
              <w:pStyle w:val="35"/>
            </w:pPr>
            <w:r>
              <w:t>1.50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230</w:t>
            </w:r>
          </w:p>
        </w:tc>
        <w:tc>
          <w:tcPr>
            <w:tcW w:w="1727" w:type="pct"/>
            <w:shd w:val="clear" w:color="auto" w:fill="auto"/>
            <w:noWrap/>
            <w:vAlign w:val="center"/>
          </w:tcPr>
          <w:p>
            <w:pPr>
              <w:pStyle w:val="35"/>
            </w:pPr>
            <w:r>
              <w:t>22.46</w:t>
            </w:r>
          </w:p>
        </w:tc>
        <w:tc>
          <w:tcPr>
            <w:tcW w:w="1645" w:type="pct"/>
            <w:shd w:val="clear" w:color="auto" w:fill="auto"/>
            <w:noWrap/>
            <w:vAlign w:val="center"/>
          </w:tcPr>
          <w:p>
            <w:pPr>
              <w:pStyle w:val="35"/>
            </w:pPr>
            <w:r>
              <w:t>1.16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231</w:t>
            </w:r>
          </w:p>
        </w:tc>
        <w:tc>
          <w:tcPr>
            <w:tcW w:w="1727" w:type="pct"/>
            <w:shd w:val="clear" w:color="auto" w:fill="auto"/>
            <w:noWrap/>
            <w:vAlign w:val="center"/>
          </w:tcPr>
          <w:p>
            <w:pPr>
              <w:pStyle w:val="35"/>
            </w:pPr>
            <w:r>
              <w:t>22.25</w:t>
            </w:r>
          </w:p>
        </w:tc>
        <w:tc>
          <w:tcPr>
            <w:tcW w:w="1645" w:type="pct"/>
            <w:shd w:val="clear" w:color="auto" w:fill="auto"/>
            <w:noWrap/>
            <w:vAlign w:val="center"/>
          </w:tcPr>
          <w:p>
            <w:pPr>
              <w:pStyle w:val="35"/>
            </w:pPr>
            <w:r>
              <w:t>0.95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233</w:t>
            </w:r>
          </w:p>
        </w:tc>
        <w:tc>
          <w:tcPr>
            <w:tcW w:w="1727" w:type="pct"/>
            <w:shd w:val="clear" w:color="auto" w:fill="auto"/>
            <w:noWrap/>
            <w:vAlign w:val="center"/>
          </w:tcPr>
          <w:p>
            <w:pPr>
              <w:pStyle w:val="35"/>
            </w:pPr>
            <w:r>
              <w:t>22.07</w:t>
            </w:r>
          </w:p>
        </w:tc>
        <w:tc>
          <w:tcPr>
            <w:tcW w:w="1645" w:type="pct"/>
            <w:shd w:val="clear" w:color="auto" w:fill="auto"/>
            <w:noWrap/>
            <w:vAlign w:val="center"/>
          </w:tcPr>
          <w:p>
            <w:pPr>
              <w:pStyle w:val="35"/>
            </w:pPr>
            <w:r>
              <w:t>0.55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235</w:t>
            </w:r>
          </w:p>
        </w:tc>
        <w:tc>
          <w:tcPr>
            <w:tcW w:w="1727" w:type="pct"/>
            <w:shd w:val="clear" w:color="auto" w:fill="auto"/>
            <w:noWrap/>
            <w:vAlign w:val="center"/>
          </w:tcPr>
          <w:p>
            <w:pPr>
              <w:pStyle w:val="35"/>
            </w:pPr>
            <w:r>
              <w:t>21.97</w:t>
            </w:r>
          </w:p>
        </w:tc>
        <w:tc>
          <w:tcPr>
            <w:tcW w:w="1645" w:type="pct"/>
            <w:shd w:val="clear" w:color="auto" w:fill="auto"/>
            <w:noWrap/>
            <w:vAlign w:val="center"/>
          </w:tcPr>
          <w:p>
            <w:pPr>
              <w:pStyle w:val="35"/>
            </w:pPr>
            <w:r>
              <w:t>0.67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237</w:t>
            </w:r>
          </w:p>
        </w:tc>
        <w:tc>
          <w:tcPr>
            <w:tcW w:w="1727" w:type="pct"/>
            <w:shd w:val="clear" w:color="auto" w:fill="auto"/>
            <w:noWrap/>
            <w:vAlign w:val="center"/>
          </w:tcPr>
          <w:p>
            <w:pPr>
              <w:pStyle w:val="35"/>
            </w:pPr>
            <w:r>
              <w:t>21.92</w:t>
            </w:r>
          </w:p>
        </w:tc>
        <w:tc>
          <w:tcPr>
            <w:tcW w:w="1645" w:type="pct"/>
            <w:shd w:val="clear" w:color="auto" w:fill="auto"/>
            <w:noWrap/>
            <w:vAlign w:val="center"/>
          </w:tcPr>
          <w:p>
            <w:pPr>
              <w:pStyle w:val="35"/>
            </w:pPr>
            <w:r>
              <w:t>0.62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240</w:t>
            </w:r>
          </w:p>
        </w:tc>
        <w:tc>
          <w:tcPr>
            <w:tcW w:w="1727" w:type="pct"/>
            <w:shd w:val="clear" w:color="auto" w:fill="auto"/>
            <w:noWrap/>
            <w:vAlign w:val="center"/>
          </w:tcPr>
          <w:p>
            <w:pPr>
              <w:pStyle w:val="35"/>
            </w:pPr>
            <w:r>
              <w:t>21.85</w:t>
            </w:r>
          </w:p>
        </w:tc>
        <w:tc>
          <w:tcPr>
            <w:tcW w:w="1645" w:type="pct"/>
            <w:shd w:val="clear" w:color="auto" w:fill="auto"/>
            <w:noWrap/>
            <w:vAlign w:val="center"/>
          </w:tcPr>
          <w:p>
            <w:pPr>
              <w:pStyle w:val="35"/>
            </w:pPr>
            <w:r>
              <w:t>0.55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243</w:t>
            </w:r>
          </w:p>
        </w:tc>
        <w:tc>
          <w:tcPr>
            <w:tcW w:w="1727" w:type="pct"/>
            <w:shd w:val="clear" w:color="auto" w:fill="auto"/>
            <w:noWrap/>
            <w:vAlign w:val="center"/>
          </w:tcPr>
          <w:p>
            <w:pPr>
              <w:pStyle w:val="35"/>
            </w:pPr>
            <w:r>
              <w:t>21.80</w:t>
            </w:r>
          </w:p>
        </w:tc>
        <w:tc>
          <w:tcPr>
            <w:tcW w:w="1645" w:type="pct"/>
            <w:shd w:val="clear" w:color="auto" w:fill="auto"/>
            <w:noWrap/>
            <w:vAlign w:val="center"/>
          </w:tcPr>
          <w:p>
            <w:pPr>
              <w:pStyle w:val="35"/>
            </w:pPr>
            <w:r>
              <w:t>0.50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248</w:t>
            </w:r>
          </w:p>
        </w:tc>
        <w:tc>
          <w:tcPr>
            <w:tcW w:w="1727" w:type="pct"/>
            <w:shd w:val="clear" w:color="auto" w:fill="auto"/>
            <w:noWrap/>
            <w:vAlign w:val="center"/>
          </w:tcPr>
          <w:p>
            <w:pPr>
              <w:pStyle w:val="35"/>
            </w:pPr>
            <w:r>
              <w:t>21.74</w:t>
            </w:r>
          </w:p>
        </w:tc>
        <w:tc>
          <w:tcPr>
            <w:tcW w:w="1645" w:type="pct"/>
            <w:shd w:val="clear" w:color="auto" w:fill="auto"/>
            <w:noWrap/>
            <w:vAlign w:val="center"/>
          </w:tcPr>
          <w:p>
            <w:pPr>
              <w:pStyle w:val="35"/>
            </w:pPr>
            <w:r>
              <w:t>0.44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253</w:t>
            </w:r>
          </w:p>
        </w:tc>
        <w:tc>
          <w:tcPr>
            <w:tcW w:w="1727" w:type="pct"/>
            <w:shd w:val="clear" w:color="auto" w:fill="auto"/>
            <w:noWrap/>
            <w:vAlign w:val="center"/>
          </w:tcPr>
          <w:p>
            <w:pPr>
              <w:pStyle w:val="35"/>
            </w:pPr>
            <w:r>
              <w:t>21.70</w:t>
            </w:r>
          </w:p>
        </w:tc>
        <w:tc>
          <w:tcPr>
            <w:tcW w:w="1645" w:type="pct"/>
            <w:shd w:val="clear" w:color="auto" w:fill="auto"/>
            <w:noWrap/>
            <w:vAlign w:val="center"/>
          </w:tcPr>
          <w:p>
            <w:pPr>
              <w:pStyle w:val="35"/>
            </w:pPr>
            <w:r>
              <w:t>0.40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258</w:t>
            </w:r>
          </w:p>
        </w:tc>
        <w:tc>
          <w:tcPr>
            <w:tcW w:w="1727" w:type="pct"/>
            <w:shd w:val="clear" w:color="auto" w:fill="auto"/>
            <w:noWrap/>
            <w:vAlign w:val="center"/>
          </w:tcPr>
          <w:p>
            <w:pPr>
              <w:pStyle w:val="35"/>
            </w:pPr>
            <w:r>
              <w:t>21.69</w:t>
            </w:r>
          </w:p>
        </w:tc>
        <w:tc>
          <w:tcPr>
            <w:tcW w:w="1645" w:type="pct"/>
            <w:shd w:val="clear" w:color="auto" w:fill="auto"/>
            <w:noWrap/>
            <w:vAlign w:val="center"/>
          </w:tcPr>
          <w:p>
            <w:pPr>
              <w:pStyle w:val="35"/>
            </w:pPr>
            <w:r>
              <w:t>0.39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268</w:t>
            </w:r>
          </w:p>
        </w:tc>
        <w:tc>
          <w:tcPr>
            <w:tcW w:w="1727" w:type="pct"/>
            <w:shd w:val="clear" w:color="auto" w:fill="auto"/>
            <w:noWrap/>
            <w:vAlign w:val="center"/>
          </w:tcPr>
          <w:p>
            <w:pPr>
              <w:pStyle w:val="35"/>
            </w:pPr>
            <w:r>
              <w:t>21.66</w:t>
            </w:r>
          </w:p>
        </w:tc>
        <w:tc>
          <w:tcPr>
            <w:tcW w:w="1645" w:type="pct"/>
            <w:shd w:val="clear" w:color="auto" w:fill="auto"/>
            <w:noWrap/>
            <w:vAlign w:val="center"/>
          </w:tcPr>
          <w:p>
            <w:pPr>
              <w:pStyle w:val="35"/>
            </w:pPr>
            <w:r>
              <w:t>0.36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288</w:t>
            </w:r>
          </w:p>
        </w:tc>
        <w:tc>
          <w:tcPr>
            <w:tcW w:w="1727" w:type="pct"/>
            <w:shd w:val="clear" w:color="auto" w:fill="auto"/>
            <w:noWrap/>
            <w:vAlign w:val="center"/>
          </w:tcPr>
          <w:p>
            <w:pPr>
              <w:pStyle w:val="35"/>
            </w:pPr>
            <w:r>
              <w:t>21.62</w:t>
            </w:r>
          </w:p>
        </w:tc>
        <w:tc>
          <w:tcPr>
            <w:tcW w:w="1645" w:type="pct"/>
            <w:shd w:val="clear" w:color="auto" w:fill="auto"/>
            <w:noWrap/>
            <w:vAlign w:val="center"/>
          </w:tcPr>
          <w:p>
            <w:pPr>
              <w:pStyle w:val="35"/>
            </w:pPr>
            <w:r>
              <w:t>0.32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298</w:t>
            </w:r>
          </w:p>
        </w:tc>
        <w:tc>
          <w:tcPr>
            <w:tcW w:w="1727" w:type="pct"/>
            <w:shd w:val="clear" w:color="auto" w:fill="auto"/>
            <w:noWrap/>
            <w:vAlign w:val="center"/>
          </w:tcPr>
          <w:p>
            <w:pPr>
              <w:pStyle w:val="35"/>
            </w:pPr>
            <w:r>
              <w:t>21.60</w:t>
            </w:r>
          </w:p>
        </w:tc>
        <w:tc>
          <w:tcPr>
            <w:tcW w:w="1645" w:type="pct"/>
            <w:shd w:val="clear" w:color="auto" w:fill="auto"/>
            <w:noWrap/>
            <w:vAlign w:val="center"/>
          </w:tcPr>
          <w:p>
            <w:pPr>
              <w:pStyle w:val="35"/>
            </w:pPr>
            <w:r>
              <w:t>0.30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7" w:type="pct"/>
            <w:shd w:val="clear" w:color="auto" w:fill="auto"/>
            <w:noWrap/>
            <w:vAlign w:val="center"/>
          </w:tcPr>
          <w:p>
            <w:pPr>
              <w:pStyle w:val="35"/>
            </w:pPr>
            <w:r>
              <w:t>308</w:t>
            </w:r>
          </w:p>
        </w:tc>
        <w:tc>
          <w:tcPr>
            <w:tcW w:w="1727" w:type="pct"/>
            <w:shd w:val="clear" w:color="auto" w:fill="auto"/>
            <w:noWrap/>
            <w:vAlign w:val="center"/>
          </w:tcPr>
          <w:p>
            <w:pPr>
              <w:pStyle w:val="35"/>
            </w:pPr>
            <w:r>
              <w:t>21.59</w:t>
            </w:r>
          </w:p>
        </w:tc>
        <w:tc>
          <w:tcPr>
            <w:tcW w:w="1645" w:type="pct"/>
            <w:shd w:val="clear" w:color="auto" w:fill="auto"/>
            <w:noWrap/>
            <w:vAlign w:val="center"/>
          </w:tcPr>
          <w:p>
            <w:pPr>
              <w:pStyle w:val="35"/>
            </w:pPr>
            <w:r>
              <w:t>0.29</w:t>
            </w:r>
          </w:p>
        </w:tc>
      </w:tr>
    </w:tbl>
    <w:p>
      <w:pPr>
        <w:pStyle w:val="27"/>
        <w:ind w:firstLine="560"/>
      </w:pPr>
      <w:r>
        <w:t>抽水试验数据采用专业的抽水试验软件AquiferTest进行分析，由水位变化随时间的动态曲线可知，该处含水层对定流量抽水的响应行为符合泰斯假设，因此采用泰斯方法进而求参。</w:t>
      </w:r>
    </w:p>
    <w:p>
      <w:pPr>
        <w:adjustRightInd w:val="0"/>
        <w:snapToGrid w:val="0"/>
        <w:jc w:val="center"/>
      </w:pPr>
      <w:r>
        <w:drawing>
          <wp:inline distT="0" distB="0" distL="0" distR="0">
            <wp:extent cx="5429250" cy="2708910"/>
            <wp:effectExtent l="0" t="0" r="0" b="152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429250" cy="2708910"/>
                    </a:xfrm>
                    <a:prstGeom prst="rect">
                      <a:avLst/>
                    </a:prstGeom>
                    <a:noFill/>
                    <a:ln>
                      <a:noFill/>
                    </a:ln>
                  </pic:spPr>
                </pic:pic>
              </a:graphicData>
            </a:graphic>
          </wp:inline>
        </w:drawing>
      </w:r>
    </w:p>
    <w:p>
      <w:pPr>
        <w:pStyle w:val="58"/>
        <w:spacing w:line="240" w:lineRule="atLeast"/>
      </w:pPr>
      <w:r>
        <w:rPr>
          <w:rFonts w:hint="eastAsia"/>
        </w:rPr>
        <w:t>图</w:t>
      </w:r>
      <w:r>
        <w:t>5.4-</w:t>
      </w:r>
      <w:r>
        <w:rPr>
          <w:rFonts w:hint="eastAsia"/>
        </w:rPr>
        <w:t>11</w:t>
      </w:r>
      <w:r>
        <w:t xml:space="preserve">    抽水试验计算过程图</w:t>
      </w:r>
    </w:p>
    <w:p>
      <w:pPr>
        <w:adjustRightInd w:val="0"/>
        <w:snapToGrid w:val="0"/>
        <w:jc w:val="center"/>
      </w:pPr>
      <w:r>
        <w:drawing>
          <wp:inline distT="0" distB="0" distL="0" distR="0">
            <wp:extent cx="5429250" cy="3042285"/>
            <wp:effectExtent l="0" t="0" r="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429250" cy="3042285"/>
                    </a:xfrm>
                    <a:prstGeom prst="rect">
                      <a:avLst/>
                    </a:prstGeom>
                    <a:noFill/>
                    <a:ln>
                      <a:noFill/>
                    </a:ln>
                  </pic:spPr>
                </pic:pic>
              </a:graphicData>
            </a:graphic>
          </wp:inline>
        </w:drawing>
      </w:r>
    </w:p>
    <w:p>
      <w:pPr>
        <w:pStyle w:val="58"/>
        <w:spacing w:line="240" w:lineRule="atLeast"/>
      </w:pPr>
      <w:r>
        <w:t>图5.4-1</w:t>
      </w:r>
      <w:r>
        <w:rPr>
          <w:rFonts w:hint="eastAsia"/>
        </w:rPr>
        <w:t>2</w:t>
      </w:r>
      <w:r>
        <w:t xml:space="preserve">  抽水试验计算结果图</w:t>
      </w:r>
    </w:p>
    <w:p>
      <w:pPr>
        <w:pStyle w:val="27"/>
        <w:ind w:firstLine="560"/>
      </w:pPr>
      <w:r>
        <w:t>经计算，泰斯法和泰斯恢复法求得含水层渗透系数为分别为9.80m/d和9.42m/d。两种方法都较好的拟合了试验数据，同时结果基本一致。最终结果取平均值，含水层渗透系数为</w:t>
      </w:r>
      <w:bookmarkStart w:id="150" w:name="_Hlk35197079"/>
      <w:r>
        <w:t>9.61m/d</w:t>
      </w:r>
      <w:bookmarkEnd w:id="150"/>
      <w:r>
        <w:t>。</w:t>
      </w:r>
    </w:p>
    <w:p>
      <w:pPr>
        <w:pStyle w:val="27"/>
        <w:ind w:firstLine="560"/>
      </w:pPr>
      <w:bookmarkStart w:id="151" w:name="_Toc67855429"/>
      <w:r>
        <w:t>（2）渗水试验</w:t>
      </w:r>
      <w:bookmarkEnd w:id="151"/>
    </w:p>
    <w:p>
      <w:pPr>
        <w:pStyle w:val="27"/>
        <w:ind w:firstLine="560"/>
      </w:pPr>
      <w:r>
        <w:t>为获取环境影响评价包气带防污性能评价参数，在场地附近进行地下水包气带渗水试验。</w:t>
      </w:r>
    </w:p>
    <w:p>
      <w:pPr>
        <w:pStyle w:val="27"/>
        <w:ind w:firstLine="560"/>
      </w:pPr>
      <w:r>
        <w:t>1）试验原理与步骤</w:t>
      </w:r>
    </w:p>
    <w:p>
      <w:pPr>
        <w:pStyle w:val="27"/>
        <w:ind w:firstLine="560"/>
      </w:pPr>
      <w:r>
        <w:t>试验装置如图4</w:t>
      </w:r>
      <w:r>
        <w:noBreakHyphen/>
      </w:r>
      <w:r>
        <w:t>6所示，试验原理步骤如下：</w:t>
      </w:r>
    </w:p>
    <w:p>
      <w:pPr>
        <w:pStyle w:val="27"/>
        <w:ind w:firstLine="560"/>
      </w:pPr>
      <w:r>
        <w:t>①将盛水器皿充满水，并将渗透管的下端放入盛水器皿B的水面之下约1cm。</w:t>
      </w:r>
    </w:p>
    <w:p>
      <w:pPr>
        <w:pStyle w:val="27"/>
        <w:ind w:firstLine="560"/>
      </w:pPr>
      <w:r>
        <w:t>②用量杯对试样充水，使其自由渗透2~3次，以饱和试样，排除空气。</w:t>
      </w:r>
    </w:p>
    <w:p>
      <w:pPr>
        <w:pStyle w:val="27"/>
        <w:ind w:firstLine="560"/>
      </w:pPr>
      <w:r>
        <w:t>③记录初始水头H0，对透明管充水到渗透管零点上方，待水位下降至零刻度，开始用秒表计时。</w:t>
      </w:r>
    </w:p>
    <w:p>
      <w:pPr>
        <w:pStyle w:val="27"/>
        <w:ind w:firstLine="560"/>
      </w:pPr>
      <w:r>
        <w:t>④水位下降到预先设计的降深值（1，2，…，10cm）时，记录对应的时间。</w:t>
      </w:r>
    </w:p>
    <w:p>
      <w:pPr>
        <w:pStyle w:val="27"/>
        <w:ind w:firstLine="560"/>
      </w:pPr>
      <w:r>
        <w:t>⑤重复试验步骤③~④1-2次，进行核对。</w:t>
      </w:r>
    </w:p>
    <w:p>
      <w:pPr>
        <w:pStyle w:val="27"/>
        <w:ind w:firstLine="560"/>
      </w:pPr>
      <w:r>
        <w:t>⑥改变渗透管下端没入盛水器皿的深度进行同样试验，记录读数。</w:t>
      </w:r>
    </w:p>
    <w:p>
      <w:pPr>
        <w:pStyle w:val="57"/>
      </w:pPr>
      <w:r>
        <w:drawing>
          <wp:inline distT="0" distB="0" distL="0" distR="0">
            <wp:extent cx="3934460" cy="3385820"/>
            <wp:effectExtent l="0" t="0" r="8890" b="508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83"/>
                    <a:stretch>
                      <a:fillRect/>
                    </a:stretch>
                  </pic:blipFill>
                  <pic:spPr>
                    <a:xfrm>
                      <a:off x="0" y="0"/>
                      <a:ext cx="3934460" cy="3385820"/>
                    </a:xfrm>
                    <a:prstGeom prst="rect">
                      <a:avLst/>
                    </a:prstGeom>
                  </pic:spPr>
                </pic:pic>
              </a:graphicData>
            </a:graphic>
          </wp:inline>
        </w:drawing>
      </w:r>
    </w:p>
    <w:p>
      <w:pPr>
        <w:pStyle w:val="58"/>
      </w:pPr>
      <w:r>
        <w:t>图5.4-1</w:t>
      </w:r>
      <w:r>
        <w:rPr>
          <w:rFonts w:hint="eastAsia"/>
        </w:rPr>
        <w:t>3</w:t>
      </w:r>
      <w:r>
        <w:t xml:space="preserve">    变水头达西试验装置图</w:t>
      </w:r>
    </w:p>
    <w:p>
      <w:pPr>
        <w:pStyle w:val="27"/>
        <w:ind w:firstLine="560"/>
      </w:pPr>
      <w:r>
        <w:t>由达西定律和水均衡原理可知：</w:t>
      </w:r>
    </w:p>
    <w:p>
      <w:pPr>
        <w:ind w:firstLine="480"/>
      </w:pPr>
      <m:oMathPara>
        <m:oMath>
          <m:r>
            <m:rPr/>
            <w:rPr>
              <w:rFonts w:ascii="Cambria Math" w:hAnsi="Cambria Math"/>
            </w:rPr>
            <m:t>t</m:t>
          </m:r>
          <m:r>
            <m:rPr>
              <m:sty m:val="p"/>
            </m:rPr>
            <w:rPr>
              <w:rFonts w:ascii="Cambria Math" w:hAnsi="Cambria Math"/>
            </w:rPr>
            <m:t>=</m:t>
          </m:r>
          <m:f>
            <m:fPr>
              <m:ctrlPr>
                <w:rPr>
                  <w:rFonts w:ascii="Cambria Math" w:hAnsi="Cambria Math"/>
                </w:rPr>
              </m:ctrlPr>
            </m:fPr>
            <m:num>
              <m:r>
                <m:rPr/>
                <w:rPr>
                  <w:rFonts w:ascii="Cambria Math" w:hAnsi="Cambria Math"/>
                </w:rPr>
                <m:t>L</m:t>
              </m:r>
              <m:ctrlPr>
                <w:rPr>
                  <w:rFonts w:ascii="Cambria Math" w:hAnsi="Cambria Math"/>
                </w:rPr>
              </m:ctrlPr>
            </m:num>
            <m:den>
              <m:r>
                <m:rPr/>
                <w:rPr>
                  <w:rFonts w:ascii="Cambria Math" w:hAnsi="Cambria Math"/>
                </w:rPr>
                <m:t>K</m:t>
              </m:r>
              <m:ctrlPr>
                <w:rPr>
                  <w:rFonts w:ascii="Cambria Math" w:hAnsi="Cambria Math"/>
                </w:rPr>
              </m:ctrlPr>
            </m:den>
          </m:f>
          <m:r>
            <m:rPr/>
            <w:rPr>
              <w:rFonts w:ascii="Cambria Math" w:hAnsi="Cambria Math"/>
            </w:rPr>
            <m:t>ln</m:t>
          </m:r>
          <m:sSub>
            <m:sSubPr>
              <m:ctrlPr>
                <w:rPr>
                  <w:rFonts w:ascii="Cambria Math" w:hAnsi="Cambria Math"/>
                </w:rPr>
              </m:ctrlPr>
            </m:sSubPr>
            <m:e>
              <m:r>
                <m:rPr/>
                <w:rPr>
                  <w:rFonts w:ascii="Cambria Math" w:hAnsi="Cambria Math"/>
                </w:rPr>
                <m:t>H</m:t>
              </m:r>
              <m:ctrlPr>
                <w:rPr>
                  <w:rFonts w:ascii="Cambria Math" w:hAnsi="Cambria Math"/>
                </w:rPr>
              </m:ctrlPr>
            </m:e>
            <m:sub>
              <m:r>
                <m:rPr>
                  <m:sty m:val="p"/>
                </m:rPr>
                <w:rPr>
                  <w:rFonts w:ascii="Cambria Math" w:hAnsi="Cambria Math"/>
                </w:rPr>
                <m:t>0</m:t>
              </m:r>
              <m:ctrlPr>
                <w:rPr>
                  <w:rFonts w:ascii="Cambria Math" w:hAnsi="Cambria Math"/>
                </w:rPr>
              </m:ctrlPr>
            </m:sub>
          </m:sSub>
          <m:r>
            <m:rPr>
              <m:sty m:val="p"/>
            </m:rPr>
            <w:rPr>
              <w:rFonts w:ascii="Cambria Math" w:hAnsi="Cambria Math"/>
            </w:rPr>
            <m:t>−</m:t>
          </m:r>
          <m:f>
            <m:fPr>
              <m:ctrlPr>
                <w:rPr>
                  <w:rFonts w:ascii="Cambria Math" w:hAnsi="Cambria Math"/>
                </w:rPr>
              </m:ctrlPr>
            </m:fPr>
            <m:num>
              <m:r>
                <m:rPr/>
                <w:rPr>
                  <w:rFonts w:ascii="Cambria Math" w:hAnsi="Cambria Math"/>
                </w:rPr>
                <m:t>L</m:t>
              </m:r>
              <m:ctrlPr>
                <w:rPr>
                  <w:rFonts w:ascii="Cambria Math" w:hAnsi="Cambria Math"/>
                </w:rPr>
              </m:ctrlPr>
            </m:num>
            <m:den>
              <m:r>
                <m:rPr/>
                <w:rPr>
                  <w:rFonts w:ascii="Cambria Math" w:hAnsi="Cambria Math"/>
                </w:rPr>
                <m:t>K</m:t>
              </m:r>
              <m:ctrlPr>
                <w:rPr>
                  <w:rFonts w:ascii="Cambria Math" w:hAnsi="Cambria Math"/>
                </w:rPr>
              </m:ctrlPr>
            </m:den>
          </m:f>
          <m:r>
            <m:rPr/>
            <w:rPr>
              <w:rFonts w:ascii="Cambria Math" w:hAnsi="Cambria Math"/>
            </w:rPr>
            <m:t>lnH</m:t>
          </m:r>
          <m:r>
            <m:rPr>
              <m:sty m:val="p"/>
            </m:rPr>
            <w:rPr>
              <w:rFonts w:ascii="Cambria Math" w:hAnsi="Cambria Math"/>
            </w:rPr>
            <m:t>=</m:t>
          </m:r>
          <m:f>
            <m:fPr>
              <m:ctrlPr>
                <w:rPr>
                  <w:rFonts w:ascii="Cambria Math" w:hAnsi="Cambria Math"/>
                </w:rPr>
              </m:ctrlPr>
            </m:fPr>
            <m:num>
              <m:r>
                <m:rPr>
                  <m:sty m:val="p"/>
                </m:rPr>
                <w:rPr>
                  <w:rFonts w:ascii="Cambria Math" w:hAnsi="Cambria Math"/>
                </w:rPr>
                <m:t>2.3</m:t>
              </m:r>
              <m:r>
                <m:rPr/>
                <w:rPr>
                  <w:rFonts w:ascii="Cambria Math" w:hAnsi="Cambria Math"/>
                </w:rPr>
                <m:t>L</m:t>
              </m:r>
              <m:ctrlPr>
                <w:rPr>
                  <w:rFonts w:ascii="Cambria Math" w:hAnsi="Cambria Math"/>
                </w:rPr>
              </m:ctrlPr>
            </m:num>
            <m:den>
              <m:r>
                <m:rPr/>
                <w:rPr>
                  <w:rFonts w:ascii="Cambria Math" w:hAnsi="Cambria Math"/>
                </w:rPr>
                <m:t>K</m:t>
              </m:r>
              <m:ctrlPr>
                <w:rPr>
                  <w:rFonts w:ascii="Cambria Math" w:hAnsi="Cambria Math"/>
                </w:rPr>
              </m:ctrlPr>
            </m:den>
          </m:f>
          <m:r>
            <m:rPr/>
            <w:rPr>
              <w:rFonts w:ascii="Cambria Math" w:hAnsi="Cambria Math"/>
            </w:rPr>
            <m:t>lg</m:t>
          </m:r>
          <m:sSub>
            <m:sSubPr>
              <m:ctrlPr>
                <w:rPr>
                  <w:rFonts w:ascii="Cambria Math" w:hAnsi="Cambria Math"/>
                </w:rPr>
              </m:ctrlPr>
            </m:sSubPr>
            <m:e>
              <m:r>
                <m:rPr/>
                <w:rPr>
                  <w:rFonts w:ascii="Cambria Math" w:hAnsi="Cambria Math"/>
                </w:rPr>
                <m:t>H</m:t>
              </m:r>
              <m:ctrlPr>
                <w:rPr>
                  <w:rFonts w:ascii="Cambria Math" w:hAnsi="Cambria Math"/>
                </w:rPr>
              </m:ctrlPr>
            </m:e>
            <m:sub>
              <m:r>
                <m:rPr>
                  <m:sty m:val="p"/>
                </m:rPr>
                <w:rPr>
                  <w:rFonts w:ascii="Cambria Math" w:hAnsi="Cambria Math"/>
                </w:rPr>
                <m:t>0</m:t>
              </m:r>
              <m:ctrlPr>
                <w:rPr>
                  <w:rFonts w:ascii="Cambria Math" w:hAnsi="Cambria Math"/>
                </w:rPr>
              </m:ctrlPr>
            </m:sub>
          </m:sSub>
          <m:r>
            <m:rPr>
              <m:sty m:val="p"/>
            </m:rPr>
            <w:rPr>
              <w:rFonts w:ascii="Cambria Math" w:hAnsi="Cambria Math"/>
            </w:rPr>
            <m:t>−</m:t>
          </m:r>
          <m:f>
            <m:fPr>
              <m:ctrlPr>
                <w:rPr>
                  <w:rFonts w:ascii="Cambria Math" w:hAnsi="Cambria Math"/>
                </w:rPr>
              </m:ctrlPr>
            </m:fPr>
            <m:num>
              <m:r>
                <m:rPr>
                  <m:sty m:val="p"/>
                </m:rPr>
                <w:rPr>
                  <w:rFonts w:ascii="Cambria Math" w:hAnsi="Cambria Math"/>
                </w:rPr>
                <m:t>2.3</m:t>
              </m:r>
              <m:r>
                <m:rPr/>
                <w:rPr>
                  <w:rFonts w:ascii="Cambria Math" w:hAnsi="Cambria Math"/>
                </w:rPr>
                <m:t>L</m:t>
              </m:r>
              <m:ctrlPr>
                <w:rPr>
                  <w:rFonts w:ascii="Cambria Math" w:hAnsi="Cambria Math"/>
                </w:rPr>
              </m:ctrlPr>
            </m:num>
            <m:den>
              <m:r>
                <m:rPr/>
                <w:rPr>
                  <w:rFonts w:ascii="Cambria Math" w:hAnsi="Cambria Math"/>
                </w:rPr>
                <m:t>K</m:t>
              </m:r>
              <m:ctrlPr>
                <w:rPr>
                  <w:rFonts w:ascii="Cambria Math" w:hAnsi="Cambria Math"/>
                </w:rPr>
              </m:ctrlPr>
            </m:den>
          </m:f>
          <m:r>
            <m:rPr/>
            <w:rPr>
              <w:rFonts w:ascii="Cambria Math" w:hAnsi="Cambria Math"/>
            </w:rPr>
            <m:t>lgH</m:t>
          </m:r>
        </m:oMath>
      </m:oMathPara>
    </w:p>
    <w:p>
      <w:pPr>
        <w:pStyle w:val="27"/>
        <w:ind w:firstLine="560"/>
      </w:pPr>
      <w:r>
        <w:t>其中：t：时间</w:t>
      </w:r>
    </w:p>
    <w:p>
      <w:pPr>
        <w:pStyle w:val="27"/>
        <w:ind w:firstLine="1400" w:firstLineChars="500"/>
      </w:pPr>
      <w:r>
        <w:t>H</w:t>
      </w:r>
      <w:r>
        <w:rPr>
          <w:vertAlign w:val="subscript"/>
        </w:rPr>
        <w:t>0</w:t>
      </w:r>
      <w:r>
        <w:t>：实验的初始水头</w:t>
      </w:r>
    </w:p>
    <w:p>
      <w:pPr>
        <w:pStyle w:val="27"/>
        <w:ind w:firstLine="1400" w:firstLineChars="500"/>
      </w:pPr>
      <w:r>
        <w:t>H：对应不同时间t的水头</w:t>
      </w:r>
    </w:p>
    <w:p>
      <w:pPr>
        <w:pStyle w:val="27"/>
        <w:ind w:firstLine="1400" w:firstLineChars="500"/>
      </w:pPr>
      <w:r>
        <w:t>K：渗透系数</w:t>
      </w:r>
    </w:p>
    <w:p>
      <w:pPr>
        <w:pStyle w:val="27"/>
        <w:ind w:firstLine="560"/>
      </w:pPr>
      <w:r>
        <w:t>因此，测定对应不同时间的水头值，作出t~lgH直线关系图，该直线的斜率可求得渗透系数K。</w:t>
      </w:r>
    </w:p>
    <w:p>
      <w:pPr>
        <w:pStyle w:val="27"/>
        <w:ind w:firstLine="560"/>
      </w:pPr>
      <w:r>
        <w:t>2）渗水试验结果</w:t>
      </w:r>
    </w:p>
    <w:p>
      <w:pPr>
        <w:pStyle w:val="27"/>
        <w:ind w:firstLine="560"/>
      </w:pPr>
      <w:r>
        <w:t>渗水试验结果见下表。</w:t>
      </w:r>
    </w:p>
    <w:p>
      <w:pPr>
        <w:pStyle w:val="32"/>
        <w:ind w:right="240"/>
      </w:pPr>
      <w:r>
        <w:t>表5.4-</w:t>
      </w:r>
      <w:r>
        <w:rPr>
          <w:rFonts w:hint="eastAsia"/>
        </w:rPr>
        <w:t>5</w:t>
      </w:r>
      <w:r>
        <w:t xml:space="preserve">                 渗水试验结果表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8"/>
        <w:gridCol w:w="490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rPr>
                <w:b/>
                <w:bCs/>
              </w:rPr>
            </w:pPr>
            <w:r>
              <w:rPr>
                <w:b/>
                <w:bCs/>
              </w:rPr>
              <w:t>记录降深（mm）</w:t>
            </w:r>
          </w:p>
        </w:tc>
        <w:tc>
          <w:tcPr>
            <w:tcW w:w="2673" w:type="pct"/>
            <w:shd w:val="clear" w:color="auto" w:fill="auto"/>
            <w:noWrap/>
            <w:vAlign w:val="center"/>
          </w:tcPr>
          <w:p>
            <w:pPr>
              <w:pStyle w:val="57"/>
              <w:rPr>
                <w:b/>
                <w:bCs/>
              </w:rPr>
            </w:pPr>
            <w:r>
              <w:rPr>
                <w:b/>
                <w:bCs/>
              </w:rPr>
              <w:t>历经时间（h)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0</w:t>
            </w:r>
          </w:p>
        </w:tc>
        <w:tc>
          <w:tcPr>
            <w:tcW w:w="2673" w:type="pct"/>
            <w:shd w:val="clear" w:color="auto" w:fill="auto"/>
            <w:noWrap/>
            <w:vAlign w:val="center"/>
          </w:tcPr>
          <w:p>
            <w:pPr>
              <w:pStyle w:val="57"/>
            </w:pPr>
            <w: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6</w:t>
            </w:r>
          </w:p>
        </w:tc>
        <w:tc>
          <w:tcPr>
            <w:tcW w:w="2673" w:type="pct"/>
            <w:shd w:val="clear" w:color="auto" w:fill="auto"/>
            <w:noWrap/>
            <w:vAlign w:val="center"/>
          </w:tcPr>
          <w:p>
            <w:pPr>
              <w:pStyle w:val="57"/>
            </w:pPr>
            <w: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16</w:t>
            </w:r>
          </w:p>
        </w:tc>
        <w:tc>
          <w:tcPr>
            <w:tcW w:w="2673" w:type="pct"/>
            <w:shd w:val="clear" w:color="auto" w:fill="auto"/>
            <w:noWrap/>
            <w:vAlign w:val="center"/>
          </w:tcPr>
          <w:p>
            <w:pPr>
              <w:pStyle w:val="57"/>
            </w:pPr>
            <w: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25</w:t>
            </w:r>
          </w:p>
        </w:tc>
        <w:tc>
          <w:tcPr>
            <w:tcW w:w="2673" w:type="pct"/>
            <w:shd w:val="clear" w:color="auto" w:fill="auto"/>
            <w:noWrap/>
            <w:vAlign w:val="center"/>
          </w:tcPr>
          <w:p>
            <w:pPr>
              <w:pStyle w:val="57"/>
            </w:pPr>
            <w: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40</w:t>
            </w:r>
          </w:p>
        </w:tc>
        <w:tc>
          <w:tcPr>
            <w:tcW w:w="2673" w:type="pct"/>
            <w:shd w:val="clear" w:color="auto" w:fill="auto"/>
            <w:noWrap/>
            <w:vAlign w:val="center"/>
          </w:tcPr>
          <w:p>
            <w:pPr>
              <w:pStyle w:val="57"/>
            </w:pPr>
            <w:r>
              <w:t>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48</w:t>
            </w:r>
          </w:p>
        </w:tc>
        <w:tc>
          <w:tcPr>
            <w:tcW w:w="2673" w:type="pct"/>
            <w:shd w:val="clear" w:color="auto" w:fill="auto"/>
            <w:noWrap/>
            <w:vAlign w:val="center"/>
          </w:tcPr>
          <w:p>
            <w:pPr>
              <w:pStyle w:val="57"/>
            </w:pPr>
            <w:r>
              <w:t>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26" w:type="pct"/>
            <w:shd w:val="clear" w:color="auto" w:fill="auto"/>
            <w:noWrap/>
            <w:vAlign w:val="center"/>
          </w:tcPr>
          <w:p>
            <w:pPr>
              <w:pStyle w:val="57"/>
            </w:pPr>
            <w:r>
              <w:t>120</w:t>
            </w:r>
          </w:p>
        </w:tc>
        <w:tc>
          <w:tcPr>
            <w:tcW w:w="2673" w:type="pct"/>
            <w:shd w:val="clear" w:color="auto" w:fill="auto"/>
            <w:noWrap/>
            <w:vAlign w:val="center"/>
          </w:tcPr>
          <w:p>
            <w:pPr>
              <w:pStyle w:val="57"/>
            </w:pPr>
            <w:r>
              <w:t>14</w:t>
            </w:r>
          </w:p>
        </w:tc>
      </w:tr>
    </w:tbl>
    <w:p>
      <w:pPr>
        <w:pStyle w:val="27"/>
        <w:ind w:firstLine="560"/>
      </w:pPr>
      <w:r>
        <w:t>3）参数计算</w:t>
      </w:r>
    </w:p>
    <w:p>
      <w:pPr>
        <w:pStyle w:val="27"/>
        <w:ind w:firstLine="560"/>
      </w:pPr>
      <w:r>
        <w:t>据现场渗水试验结果，作出t~lgH直线关系图，该直线的斜率为0.0141，经计算包气带垂向渗透系数7.83×10</w:t>
      </w:r>
      <w:r>
        <w:rPr>
          <w:vertAlign w:val="superscript"/>
        </w:rPr>
        <w:t>-5</w:t>
      </w:r>
      <w:r>
        <w:t>cm/s。</w:t>
      </w:r>
    </w:p>
    <w:p>
      <w:pPr>
        <w:pStyle w:val="27"/>
        <w:ind w:firstLine="560"/>
      </w:pPr>
    </w:p>
    <w:p>
      <w:pPr>
        <w:pStyle w:val="27"/>
        <w:ind w:firstLine="560"/>
      </w:pPr>
    </w:p>
    <w:p>
      <w:pPr>
        <w:pStyle w:val="27"/>
        <w:ind w:firstLine="560"/>
      </w:pPr>
    </w:p>
    <w:p>
      <w:pPr>
        <w:pStyle w:val="57"/>
        <w:spacing w:line="240" w:lineRule="atLeast"/>
      </w:pPr>
      <w:r>
        <w:drawing>
          <wp:inline distT="0" distB="0" distL="0" distR="0">
            <wp:extent cx="4772660" cy="3138170"/>
            <wp:effectExtent l="0" t="0" r="889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805568" cy="3160183"/>
                    </a:xfrm>
                    <a:prstGeom prst="rect">
                      <a:avLst/>
                    </a:prstGeom>
                    <a:noFill/>
                    <a:ln>
                      <a:noFill/>
                    </a:ln>
                  </pic:spPr>
                </pic:pic>
              </a:graphicData>
            </a:graphic>
          </wp:inline>
        </w:drawing>
      </w:r>
    </w:p>
    <w:p>
      <w:pPr>
        <w:pStyle w:val="58"/>
        <w:spacing w:line="240" w:lineRule="atLeast"/>
      </w:pPr>
      <w:r>
        <w:t>图5.4-1</w:t>
      </w:r>
      <w:r>
        <w:rPr>
          <w:rFonts w:hint="eastAsia"/>
        </w:rPr>
        <w:t>4</w:t>
      </w:r>
      <w:r>
        <w:t xml:space="preserve">  变水头试验结果图</w:t>
      </w:r>
    </w:p>
    <w:p>
      <w:pPr>
        <w:pStyle w:val="31"/>
      </w:pPr>
      <w:bookmarkStart w:id="152" w:name="_Toc67855430"/>
      <w:r>
        <w:t>5.4.5  水文地质特征</w:t>
      </w:r>
      <w:bookmarkEnd w:id="152"/>
    </w:p>
    <w:p>
      <w:pPr>
        <w:pStyle w:val="33"/>
      </w:pPr>
      <w:bookmarkStart w:id="153" w:name="_Toc67855431"/>
      <w:r>
        <w:t>5.4.5.1 包气带的分布及特征</w:t>
      </w:r>
      <w:bookmarkEnd w:id="153"/>
    </w:p>
    <w:p>
      <w:pPr>
        <w:pStyle w:val="27"/>
        <w:ind w:firstLine="560"/>
      </w:pPr>
      <w:r>
        <w:t>据钻孔柱状图，静止水位21.52m，因此水面之上为包气带，主要由粉土、粘土、粉砂组成，分布较连续、稳定。包气带中具有天然防污性能的为第3层粘土层，总厚度2.5m。</w:t>
      </w:r>
    </w:p>
    <w:p>
      <w:pPr>
        <w:pStyle w:val="27"/>
        <w:ind w:firstLine="560"/>
      </w:pPr>
      <w:r>
        <w:t>根据本次渗水试验，测得包气带粉土垂向渗透系数7.83×10</w:t>
      </w:r>
      <w:r>
        <w:rPr>
          <w:vertAlign w:val="superscript"/>
        </w:rPr>
        <w:t>-5</w:t>
      </w:r>
      <w:r>
        <w:t xml:space="preserve"> cm/s，渗透系数1×10</w:t>
      </w:r>
      <w:r>
        <w:rPr>
          <w:vertAlign w:val="superscript"/>
        </w:rPr>
        <w:t>-6</w:t>
      </w:r>
      <w:r>
        <w:t>cm/s＜K≤1×10</w:t>
      </w:r>
      <w:r>
        <w:rPr>
          <w:vertAlign w:val="superscript"/>
        </w:rPr>
        <w:t>-4</w:t>
      </w:r>
      <w:r>
        <w:t>cm/s，经换算等效粘土防渗层厚度Mb为6.69m，包气带分布连续、稳定，包气带天然防污性能级别为“中”。</w:t>
      </w:r>
    </w:p>
    <w:p>
      <w:pPr>
        <w:pStyle w:val="33"/>
      </w:pPr>
      <w:bookmarkStart w:id="154" w:name="_Toc67855432"/>
      <w:r>
        <w:t>5.4.5.2 含水层的分布及特征</w:t>
      </w:r>
      <w:bookmarkEnd w:id="154"/>
    </w:p>
    <w:p>
      <w:pPr>
        <w:pStyle w:val="27"/>
        <w:ind w:firstLine="560"/>
      </w:pPr>
      <w:r>
        <w:t>根据钻孔柱状图，含水层岩性为粉细砂和粉土，含水层总厚度为25.54m，层底埋深45.8m。该浅层含水岩组为全新统、上更新统含水岩组，地下水类型为承压水。隔水顶板岩性为粉质粘土，隔水底板岩性为粉质粘土。</w:t>
      </w:r>
    </w:p>
    <w:p>
      <w:pPr>
        <w:pStyle w:val="27"/>
        <w:ind w:firstLine="560"/>
      </w:pPr>
      <w:r>
        <w:t>根据本次现场抽水试验及水质分析资料，含水层渗透系数为9.61m/d，浅层地下水化学类型为HCO</w:t>
      </w:r>
      <w:r>
        <w:rPr>
          <w:vertAlign w:val="subscript"/>
        </w:rPr>
        <w:t>3</w:t>
      </w:r>
      <w:r>
        <w:t>·SO</w:t>
      </w:r>
      <w:r>
        <w:rPr>
          <w:vertAlign w:val="subscript"/>
        </w:rPr>
        <w:t>4</w:t>
      </w:r>
      <w:r>
        <w:t>—Ca·Mg型水。</w:t>
      </w:r>
    </w:p>
    <w:p>
      <w:pPr>
        <w:pStyle w:val="33"/>
      </w:pPr>
      <w:bookmarkStart w:id="155" w:name="_Toc67855433"/>
      <w:r>
        <w:t>5.4.5.3 隔水层的分布及特征</w:t>
      </w:r>
      <w:bookmarkEnd w:id="155"/>
    </w:p>
    <w:p>
      <w:pPr>
        <w:pStyle w:val="27"/>
        <w:ind w:firstLine="560"/>
      </w:pPr>
      <w:r>
        <w:t>根据钻孔柱状图，隔水层为第11层的粉质粘土层。据区域水文地质条件，在浅层、中层、深层含水岩组之间，均分布有稳定的粉质粘土、粘土，各层含水岩组之间水力联系微弱。</w:t>
      </w:r>
    </w:p>
    <w:p>
      <w:pPr>
        <w:pStyle w:val="33"/>
      </w:pPr>
      <w:bookmarkStart w:id="156" w:name="_Toc67855434"/>
      <w:r>
        <w:t>5.4.5.4 地下水补径排特征</w:t>
      </w:r>
      <w:bookmarkEnd w:id="156"/>
    </w:p>
    <w:p>
      <w:pPr>
        <w:pStyle w:val="27"/>
        <w:ind w:firstLine="560"/>
      </w:pPr>
      <w:r>
        <w:t>项目场地位于冲积平原，地形平坦、开阔，场地浅层地下水稳定水位埋深为21.52m，其补给来源主要为大气降水入渗，地表水渗漏（濮水河），田间灌溉水回渗等。排泄方式主要为人工开采。人工开采主要是城市工业及生活用水开采和农业灌溉开采。浅层地下水由由西向东流动，水力坡度为3‰。</w:t>
      </w:r>
    </w:p>
    <w:p>
      <w:pPr>
        <w:pStyle w:val="31"/>
      </w:pPr>
      <w:bookmarkStart w:id="157" w:name="_Toc470096812"/>
      <w:bookmarkStart w:id="158" w:name="_Toc33898204"/>
      <w:bookmarkStart w:id="159" w:name="_Toc67855447"/>
      <w:r>
        <w:t>5.4.6  地下水</w:t>
      </w:r>
      <w:bookmarkEnd w:id="157"/>
      <w:bookmarkEnd w:id="158"/>
      <w:r>
        <w:t>污染模拟预测与评价</w:t>
      </w:r>
      <w:bookmarkEnd w:id="159"/>
    </w:p>
    <w:p>
      <w:pPr>
        <w:pStyle w:val="27"/>
        <w:ind w:firstLine="560"/>
      </w:pPr>
      <w:r>
        <w:t>按《环境影响评价技术导则 地下水环境》（HJ 610-2016）相关要求，拟建项目属于I类项目，虽然由于评价区附近范围村庄内存在集中式和分散式的地下水供水饮用水井，敏感性确定为“较敏感”，地下水环境影响评价工作级别为一级。根据建设项目自身性质及其对地下水环境影响的特点，为预测和评价项目建设对地下水环境可能造成的影响和危害，并针对这种影响和危害提出防治策略，从而达到预防与控制环境恶化、保护地下水资源的目的。本次工作将采用数值模拟法进行预测与评价。</w:t>
      </w:r>
    </w:p>
    <w:p>
      <w:pPr>
        <w:pStyle w:val="27"/>
        <w:ind w:firstLine="560"/>
      </w:pPr>
      <w:r>
        <w:t>总体思路是：在对评价区水文地质条件综合分析的基础上确定模拟范围，通过边界条件、地下水流动特征及含水层系统结构的概化，建立评价区的水文地质概念模型，进一步采用有限差分原理进行空间离散、高程插值、非均质分区、边界条件设置等，从而构建评价区地下水渗流数值模型。利用已有的水位观测资料及区域地下水运动规律，完成模型的识别验证。最后按照根据项目的特点，设计了污染泄漏情景，在地下水渗流数值模型的基础上耦合污染物迁移方程，得到地下水溶质运移模型，利用此模型对污染情景进行预测评价。</w:t>
      </w:r>
    </w:p>
    <w:p>
      <w:pPr>
        <w:pStyle w:val="33"/>
      </w:pPr>
      <w:r>
        <w:t xml:space="preserve">5.4.6.1  </w:t>
      </w:r>
      <w:bookmarkStart w:id="160" w:name="_Toc470096813"/>
      <w:bookmarkStart w:id="161" w:name="_Toc67855448"/>
      <w:bookmarkStart w:id="162" w:name="_Toc3233"/>
      <w:bookmarkStart w:id="163" w:name="_Toc468693000"/>
      <w:bookmarkStart w:id="164" w:name="_Toc33898205"/>
      <w:r>
        <w:t>水文地质概念模型</w:t>
      </w:r>
      <w:bookmarkEnd w:id="160"/>
      <w:bookmarkEnd w:id="161"/>
      <w:bookmarkEnd w:id="162"/>
      <w:bookmarkEnd w:id="163"/>
      <w:bookmarkEnd w:id="164"/>
    </w:p>
    <w:p>
      <w:pPr>
        <w:pStyle w:val="27"/>
        <w:ind w:firstLine="560"/>
      </w:pPr>
      <w:r>
        <w:t>（1）计算区范围</w:t>
      </w:r>
    </w:p>
    <w:p>
      <w:pPr>
        <w:pStyle w:val="27"/>
        <w:ind w:firstLine="560"/>
      </w:pPr>
      <w:r>
        <w:t>根据本区地质及水文地质条件，同时考虑项目区对地下水环境影响范围及影响程度，以能满足环境影响预测和分析的要求为原则，本次评价范围确定为：场地东界1373m，场地南界和北界均为686.5m，西界外推200m。依据项目周边的区域地质条件，水文地质条件、地形地貌特征和保护目标，为了能够说明拟建项目周边地下水环境的基本状况，结合厂区所处的水文地质单元，确定调查评价范围东侧以濮上路界，南侧以铁丘路为界，西侧以G45大广高速为界，北侧以胜利路为界，本次地下水调查评价区面积约27.36km</w:t>
      </w:r>
      <w:r>
        <w:rPr>
          <w:vertAlign w:val="superscript"/>
        </w:rPr>
        <w:t>2</w:t>
      </w:r>
      <w:r>
        <w:t>（图5.4-1</w:t>
      </w:r>
      <w:r>
        <w:rPr>
          <w:rFonts w:hint="eastAsia"/>
        </w:rPr>
        <w:t>5</w:t>
      </w:r>
      <w:r>
        <w:t>）。</w:t>
      </w:r>
    </w:p>
    <w:p>
      <w:pPr>
        <w:adjustRightInd w:val="0"/>
        <w:snapToGrid w:val="0"/>
        <w:spacing w:line="240" w:lineRule="atLeast"/>
        <w:jc w:val="center"/>
      </w:pPr>
      <w:r>
        <w:drawing>
          <wp:inline distT="0" distB="0" distL="0" distR="0">
            <wp:extent cx="5274310" cy="3307080"/>
            <wp:effectExtent l="0" t="0" r="254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85"/>
                    <a:srcRect/>
                    <a:stretch>
                      <a:fillRect/>
                    </a:stretch>
                  </pic:blipFill>
                  <pic:spPr>
                    <a:xfrm>
                      <a:off x="0" y="0"/>
                      <a:ext cx="5274310" cy="3307586"/>
                    </a:xfrm>
                    <a:prstGeom prst="rect">
                      <a:avLst/>
                    </a:prstGeom>
                    <a:noFill/>
                    <a:ln w="9525">
                      <a:noFill/>
                      <a:miter lim="800000"/>
                      <a:headEnd/>
                      <a:tailEnd/>
                    </a:ln>
                  </pic:spPr>
                </pic:pic>
              </a:graphicData>
            </a:graphic>
          </wp:inline>
        </w:drawing>
      </w:r>
    </w:p>
    <w:p>
      <w:pPr>
        <w:pStyle w:val="58"/>
        <w:rPr>
          <w:lang w:val="zh-CN"/>
        </w:rPr>
      </w:pPr>
      <w:r>
        <w:t>图5.4-1</w:t>
      </w:r>
      <w:r>
        <w:rPr>
          <w:rFonts w:hint="eastAsia"/>
        </w:rPr>
        <w:t>5</w:t>
      </w:r>
      <w:r>
        <w:t xml:space="preserve">  </w:t>
      </w:r>
      <w:r>
        <w:rPr>
          <w:lang w:val="zh-CN"/>
        </w:rPr>
        <w:t xml:space="preserve">  模拟计算区范围示意图</w:t>
      </w:r>
    </w:p>
    <w:p>
      <w:pPr>
        <w:pStyle w:val="27"/>
        <w:ind w:firstLine="560"/>
      </w:pPr>
      <w:r>
        <w:t>（2）边界条件概化</w:t>
      </w:r>
    </w:p>
    <w:p>
      <w:pPr>
        <w:pStyle w:val="27"/>
        <w:ind w:firstLine="560"/>
      </w:pPr>
      <w:r>
        <w:t>模拟区没有天然的隔水边界，从地下水等水位线图来看，西北部和东南部边界垂直于地下水等水位线，因此可将北部和南部边界概化为零流量边界，东北部和西南部边界可概化为二类流量边界，西南部边界是流入边界，东北部边界是流出边界。鉴于本次地下水数值模拟目的是在地下水识别模型的基础上预测厂区在事故条件下地下水污染的时空分布特征以及前面拟建项目区水文地质条件论述，模拟区主要含水层为全新统（Q</w:t>
      </w:r>
      <w:r>
        <w:rPr>
          <w:vertAlign w:val="subscript"/>
        </w:rPr>
        <w:t>4</w:t>
      </w:r>
      <w:r>
        <w:t>）和上更新统（Q</w:t>
      </w:r>
      <w:r>
        <w:rPr>
          <w:vertAlign w:val="subscript"/>
        </w:rPr>
        <w:t>3</w:t>
      </w:r>
      <w:r>
        <w:t>）含水层。因此，本次模拟将含水层确定为全新统和上更新统地层。其中，全新统含水层岩性为粉细砂和中砂，埋藏深度一般小于50m。上更新统含水层的岩性以细砂、中砂为主，夹有粉砂，局部有粗砂，含水层埋藏深度为50～140m左右。</w:t>
      </w:r>
    </w:p>
    <w:p>
      <w:pPr>
        <w:pStyle w:val="27"/>
        <w:ind w:firstLine="560"/>
      </w:pPr>
      <w:r>
        <w:t>（3）水文地质特征</w:t>
      </w:r>
    </w:p>
    <w:p>
      <w:pPr>
        <w:pStyle w:val="27"/>
        <w:ind w:firstLine="560"/>
      </w:pPr>
      <w:r>
        <w:t>①含水层</w:t>
      </w:r>
    </w:p>
    <w:p>
      <w:pPr>
        <w:pStyle w:val="27"/>
        <w:ind w:firstLine="560"/>
      </w:pPr>
      <w:r>
        <w:t>计算区含水层主要为全新统（Q</w:t>
      </w:r>
      <w:r>
        <w:rPr>
          <w:vertAlign w:val="subscript"/>
        </w:rPr>
        <w:t>4</w:t>
      </w:r>
      <w:r>
        <w:t>）和上更新统（Q</w:t>
      </w:r>
      <w:r>
        <w:rPr>
          <w:vertAlign w:val="subscript"/>
        </w:rPr>
        <w:t>3</w:t>
      </w:r>
      <w:r>
        <w:t>）含水层，与区外具有统一的水力联系，计算时概化为一个统一的单层含水层。</w:t>
      </w:r>
    </w:p>
    <w:p>
      <w:pPr>
        <w:pStyle w:val="27"/>
        <w:ind w:firstLine="560"/>
      </w:pPr>
      <w:r>
        <w:t>②地下水流动特征</w:t>
      </w:r>
    </w:p>
    <w:p>
      <w:pPr>
        <w:pStyle w:val="27"/>
        <w:ind w:firstLine="560"/>
      </w:pPr>
      <w:r>
        <w:t>区内全新统（Q</w:t>
      </w:r>
      <w:r>
        <w:rPr>
          <w:vertAlign w:val="subscript"/>
        </w:rPr>
        <w:t>4</w:t>
      </w:r>
      <w:r>
        <w:t>）和上更新统（Q</w:t>
      </w:r>
      <w:r>
        <w:rPr>
          <w:vertAlign w:val="subscript"/>
        </w:rPr>
        <w:t>3</w:t>
      </w:r>
      <w:r>
        <w:t>）为浅层含水层，连通性较好、具有统一的径流场，地下水运动以水平方式为主，自西南向东北方向径流。计算时将地下水流的垂向分量忽略、概化为层流渗流。</w:t>
      </w:r>
    </w:p>
    <w:p>
      <w:pPr>
        <w:pStyle w:val="27"/>
        <w:ind w:firstLine="560"/>
      </w:pPr>
      <w:r>
        <w:t>③地下水补给、径流、排泄和动态特征</w:t>
      </w:r>
    </w:p>
    <w:p>
      <w:pPr>
        <w:pStyle w:val="27"/>
        <w:ind w:firstLine="560"/>
      </w:pPr>
      <w:r>
        <w:t>计算区内孔隙含水层的主要补给来源为大气降水入渗，地表水渗漏及田间灌溉水回渗等。受地形地貌条件制约，研究区地下水总体由西南向东北方向径流，水力坡度0.3‰-1.0‰。同时由于受市区地下水位降落漏斗的影响，在东部，地下水向降落漏斗中心汇流，水力坡度增大至0.7‰-2.7‰。排泄方式以开采和侧向径流为主。地下水水位动态变化主要受自然条件和人为因素的影响和控制。</w:t>
      </w:r>
    </w:p>
    <w:p>
      <w:pPr>
        <w:pStyle w:val="33"/>
      </w:pPr>
      <w:r>
        <w:t xml:space="preserve">5.4.6.2  </w:t>
      </w:r>
      <w:bookmarkStart w:id="165" w:name="_Toc33898206"/>
      <w:bookmarkStart w:id="166" w:name="_Toc67855449"/>
      <w:bookmarkStart w:id="167" w:name="_Toc2969"/>
      <w:bookmarkStart w:id="168" w:name="_Toc468693001"/>
      <w:bookmarkStart w:id="169" w:name="_Toc470096814"/>
      <w:r>
        <w:t>地下水流数学模型</w:t>
      </w:r>
      <w:bookmarkEnd w:id="165"/>
      <w:bookmarkEnd w:id="166"/>
      <w:bookmarkEnd w:id="167"/>
      <w:bookmarkEnd w:id="168"/>
      <w:bookmarkEnd w:id="169"/>
    </w:p>
    <w:p>
      <w:pPr>
        <w:pStyle w:val="27"/>
        <w:ind w:firstLine="560"/>
      </w:pPr>
      <w:r>
        <w:t>根据模拟区内的非均质含水介质特征、地下水补给、径流、排泄条件等，模拟区内地下水运动呈现出二维运动特征，且符合达西定律。模拟区内地下水二维非稳定流运动可采用下列数学模型进行描述：</w:t>
      </w:r>
    </w:p>
    <w:p>
      <w:pPr>
        <w:tabs>
          <w:tab w:val="left" w:pos="0"/>
          <w:tab w:val="left" w:pos="251"/>
        </w:tabs>
        <w:ind w:firstLine="482" w:firstLineChars="230"/>
        <w:jc w:val="center"/>
      </w:pPr>
      <w:r>
        <w:rPr>
          <w:position w:val="-92"/>
        </w:rPr>
        <w:drawing>
          <wp:inline distT="0" distB="0" distL="114300" distR="114300">
            <wp:extent cx="3952875" cy="1076325"/>
            <wp:effectExtent l="0" t="0" r="9525" b="889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pic:cNvPicPr>
                      <a:picLocks noChangeAspect="1"/>
                    </pic:cNvPicPr>
                  </pic:nvPicPr>
                  <pic:blipFill>
                    <a:blip r:embed="rId86"/>
                    <a:srcRect r="1511"/>
                    <a:stretch>
                      <a:fillRect/>
                    </a:stretch>
                  </pic:blipFill>
                  <pic:spPr>
                    <a:xfrm>
                      <a:off x="0" y="0"/>
                      <a:ext cx="3952875" cy="1076325"/>
                    </a:xfrm>
                    <a:prstGeom prst="rect">
                      <a:avLst/>
                    </a:prstGeom>
                    <a:noFill/>
                    <a:ln>
                      <a:noFill/>
                    </a:ln>
                  </pic:spPr>
                </pic:pic>
              </a:graphicData>
            </a:graphic>
          </wp:inline>
        </w:drawing>
      </w:r>
    </w:p>
    <w:p>
      <w:pPr>
        <w:pStyle w:val="27"/>
        <w:ind w:firstLine="560"/>
      </w:pPr>
      <w:r>
        <w:t>式中：Ω－渗流区域；</w:t>
      </w:r>
    </w:p>
    <w:p>
      <w:pPr>
        <w:pStyle w:val="27"/>
        <w:ind w:firstLine="1400" w:firstLineChars="500"/>
      </w:pPr>
      <w:r>
        <w:t>H－地下水水位标高（m）；</w:t>
      </w:r>
    </w:p>
    <w:p>
      <w:pPr>
        <w:pStyle w:val="27"/>
        <w:ind w:firstLine="1400" w:firstLineChars="500"/>
      </w:pPr>
      <w:r>
        <w:t>K－含水层在水平方向上的渗透系数（m/d）；</w:t>
      </w:r>
    </w:p>
    <w:p>
      <w:pPr>
        <w:pStyle w:val="27"/>
        <w:ind w:firstLine="1400" w:firstLineChars="500"/>
      </w:pPr>
      <w:r>
        <w:t>ε－含水层的源汇项（m/d）；</w:t>
      </w:r>
    </w:p>
    <w:p>
      <w:pPr>
        <w:pStyle w:val="27"/>
        <w:ind w:firstLine="1400" w:firstLineChars="500"/>
      </w:pPr>
      <w:r>
        <w:t>H</w:t>
      </w:r>
      <w:r>
        <w:rPr>
          <w:vertAlign w:val="subscript"/>
        </w:rPr>
        <w:t>0</w:t>
      </w:r>
      <w:r>
        <w:t>－初始流场（m）；</w:t>
      </w:r>
    </w:p>
    <w:p>
      <w:pPr>
        <w:pStyle w:val="27"/>
        <w:ind w:firstLine="1400" w:firstLineChars="500"/>
      </w:pPr>
      <w:r>
        <w:t>Γ</w:t>
      </w:r>
      <w:r>
        <w:rPr>
          <w:vertAlign w:val="subscript"/>
        </w:rPr>
        <w:t>2</w:t>
      </w:r>
      <w:r>
        <w:t>—渗流区域的二类边界；</w:t>
      </w:r>
    </w:p>
    <w:p>
      <w:pPr>
        <w:pStyle w:val="27"/>
        <w:ind w:firstLine="1400" w:firstLineChars="500"/>
      </w:pPr>
      <w:r>
        <w:t>n－边界面的法线方向；</w:t>
      </w:r>
    </w:p>
    <w:p>
      <w:pPr>
        <w:pStyle w:val="27"/>
        <w:spacing w:line="360" w:lineRule="auto"/>
        <w:ind w:firstLine="1400" w:firstLineChars="500"/>
      </w:pPr>
      <w:r>
        <w:drawing>
          <wp:inline distT="0" distB="0" distL="114300" distR="114300">
            <wp:extent cx="228600" cy="314325"/>
            <wp:effectExtent l="0" t="0" r="0" b="8890"/>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87"/>
                    <a:stretch>
                      <a:fillRect/>
                    </a:stretch>
                  </pic:blipFill>
                  <pic:spPr>
                    <a:xfrm>
                      <a:off x="0" y="0"/>
                      <a:ext cx="228600" cy="314325"/>
                    </a:xfrm>
                    <a:prstGeom prst="rect">
                      <a:avLst/>
                    </a:prstGeom>
                    <a:noFill/>
                    <a:ln>
                      <a:noFill/>
                    </a:ln>
                  </pic:spPr>
                </pic:pic>
              </a:graphicData>
            </a:graphic>
          </wp:inline>
        </w:drawing>
      </w:r>
      <w:r>
        <w:t>—H沿外法线方向n的导数（无量纲）；</w:t>
      </w:r>
    </w:p>
    <w:p>
      <w:pPr>
        <w:pStyle w:val="27"/>
        <w:ind w:firstLine="1400" w:firstLineChars="500"/>
      </w:pPr>
      <w:r>
        <w:t>q－Γ</w:t>
      </w:r>
      <w:r>
        <w:rPr>
          <w:vertAlign w:val="subscript"/>
        </w:rPr>
        <w:t>2</w:t>
      </w:r>
      <w:r>
        <w:t>边界上的单宽流量（m</w:t>
      </w:r>
      <w:r>
        <w:rPr>
          <w:vertAlign w:val="superscript"/>
        </w:rPr>
        <w:t>2</w:t>
      </w:r>
      <w:r>
        <w:t>/d），流入为正，流出为负；</w:t>
      </w:r>
    </w:p>
    <w:p>
      <w:pPr>
        <w:pStyle w:val="27"/>
        <w:ind w:firstLine="1400" w:firstLineChars="500"/>
      </w:pPr>
      <w:r>
        <w:t>Z（x,y）—含水层底板高程。</w:t>
      </w:r>
    </w:p>
    <w:p>
      <w:pPr>
        <w:pStyle w:val="27"/>
        <w:ind w:firstLine="560"/>
      </w:pPr>
      <w:r>
        <w:t>地下水溶质运移数学模型如下：</w:t>
      </w:r>
    </w:p>
    <w:p>
      <w:pPr>
        <w:pStyle w:val="27"/>
        <w:spacing w:line="240" w:lineRule="atLeast"/>
        <w:ind w:firstLine="560"/>
        <w:jc w:val="center"/>
      </w:pPr>
      <w:r>
        <w:drawing>
          <wp:inline distT="0" distB="0" distL="114300" distR="114300">
            <wp:extent cx="2581275" cy="1057275"/>
            <wp:effectExtent l="0" t="0" r="0" b="8890"/>
            <wp:docPr id="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pic:cNvPicPr>
                      <a:picLocks noChangeAspect="1"/>
                    </pic:cNvPicPr>
                  </pic:nvPicPr>
                  <pic:blipFill>
                    <a:blip r:embed="rId88"/>
                    <a:stretch>
                      <a:fillRect/>
                    </a:stretch>
                  </pic:blipFill>
                  <pic:spPr>
                    <a:xfrm>
                      <a:off x="0" y="0"/>
                      <a:ext cx="2581275" cy="1057275"/>
                    </a:xfrm>
                    <a:prstGeom prst="rect">
                      <a:avLst/>
                    </a:prstGeom>
                    <a:noFill/>
                    <a:ln>
                      <a:noFill/>
                    </a:ln>
                  </pic:spPr>
                </pic:pic>
              </a:graphicData>
            </a:graphic>
          </wp:inline>
        </w:drawing>
      </w:r>
    </w:p>
    <w:p>
      <w:pPr>
        <w:pStyle w:val="27"/>
        <w:ind w:firstLine="560"/>
      </w:pPr>
      <w:r>
        <w:t>式中：</w:t>
      </w:r>
      <w:r>
        <w:drawing>
          <wp:inline distT="0" distB="0" distL="114300" distR="114300">
            <wp:extent cx="133350" cy="161925"/>
            <wp:effectExtent l="0" t="0" r="0" b="8255"/>
            <wp:docPr id="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pic:cNvPicPr>
                      <a:picLocks noChangeAspect="1"/>
                    </pic:cNvPicPr>
                  </pic:nvPicPr>
                  <pic:blipFill>
                    <a:blip r:embed="rId89"/>
                    <a:stretch>
                      <a:fillRect/>
                    </a:stretch>
                  </pic:blipFill>
                  <pic:spPr>
                    <a:xfrm>
                      <a:off x="0" y="0"/>
                      <a:ext cx="133350" cy="161925"/>
                    </a:xfrm>
                    <a:prstGeom prst="rect">
                      <a:avLst/>
                    </a:prstGeom>
                    <a:noFill/>
                    <a:ln>
                      <a:noFill/>
                    </a:ln>
                  </pic:spPr>
                </pic:pic>
              </a:graphicData>
            </a:graphic>
          </wp:inline>
        </w:drawing>
      </w:r>
      <w:r>
        <w:t>—介质孔隙度，无量纲；</w:t>
      </w:r>
    </w:p>
    <w:p>
      <w:pPr>
        <w:pStyle w:val="27"/>
        <w:ind w:firstLine="1400" w:firstLineChars="500"/>
      </w:pPr>
      <w:r>
        <w:t>C—组分的浓度，mg/L；</w:t>
      </w:r>
    </w:p>
    <w:p>
      <w:pPr>
        <w:pStyle w:val="27"/>
        <w:ind w:firstLine="1400" w:firstLineChars="500"/>
      </w:pPr>
      <w:r>
        <w:t>t —时间，d；</w:t>
      </w:r>
    </w:p>
    <w:p>
      <w:pPr>
        <w:pStyle w:val="27"/>
        <w:ind w:firstLine="1400" w:firstLineChars="500"/>
      </w:pPr>
      <w:r>
        <w:t>x，y，z—空间位置坐标，m；</w:t>
      </w:r>
    </w:p>
    <w:p>
      <w:pPr>
        <w:pStyle w:val="27"/>
        <w:ind w:firstLine="1400" w:firstLineChars="500"/>
      </w:pPr>
      <w:r>
        <w:t>D</w:t>
      </w:r>
      <w:r>
        <w:rPr>
          <w:vertAlign w:val="subscript"/>
        </w:rPr>
        <w:t>ij</w:t>
      </w:r>
      <w:r>
        <w:t>—水动力弥散系数张量，m</w:t>
      </w:r>
      <w:r>
        <w:rPr>
          <w:vertAlign w:val="superscript"/>
        </w:rPr>
        <w:t>2</w:t>
      </w:r>
      <w:r>
        <w:t>/d；</w:t>
      </w:r>
    </w:p>
    <w:p>
      <w:pPr>
        <w:pStyle w:val="27"/>
        <w:ind w:firstLine="1400" w:firstLineChars="500"/>
      </w:pPr>
      <w:r>
        <w:t>V</w:t>
      </w:r>
      <w:r>
        <w:rPr>
          <w:vertAlign w:val="subscript"/>
        </w:rPr>
        <w:t>i</w:t>
      </w:r>
      <w:r>
        <w:t>—地下水渗流速度张量，m/d；</w:t>
      </w:r>
    </w:p>
    <w:p>
      <w:pPr>
        <w:pStyle w:val="27"/>
        <w:ind w:firstLine="1120" w:firstLineChars="400"/>
      </w:pPr>
      <w:r>
        <w:t>q</w:t>
      </w:r>
      <w:r>
        <w:rPr>
          <w:vertAlign w:val="subscript"/>
        </w:rPr>
        <w:t>s</w:t>
      </w:r>
      <w:r>
        <w:t>—水流的源和汇，m</w:t>
      </w:r>
      <w:r>
        <w:rPr>
          <w:vertAlign w:val="superscript"/>
        </w:rPr>
        <w:t>3</w:t>
      </w:r>
      <w:r>
        <w:t>/d；</w:t>
      </w:r>
    </w:p>
    <w:p>
      <w:pPr>
        <w:pStyle w:val="27"/>
        <w:ind w:firstLine="1120" w:firstLineChars="400"/>
      </w:pPr>
      <w:r>
        <w:t>C</w:t>
      </w:r>
      <w:r>
        <w:rPr>
          <w:vertAlign w:val="subscript"/>
        </w:rPr>
        <w:t>s</w:t>
      </w:r>
      <w:r>
        <w:t>—组分的浓度，mg/L。</w:t>
      </w:r>
    </w:p>
    <w:p>
      <w:pPr>
        <w:pStyle w:val="33"/>
      </w:pPr>
      <w:r>
        <w:t xml:space="preserve">5.4.6.3  </w:t>
      </w:r>
      <w:bookmarkStart w:id="170" w:name="_Toc67855450"/>
      <w:bookmarkStart w:id="171" w:name="_Toc33898207"/>
      <w:r>
        <w:t>地下水流数值模型的建立</w:t>
      </w:r>
      <w:bookmarkEnd w:id="170"/>
      <w:bookmarkEnd w:id="171"/>
    </w:p>
    <w:p>
      <w:pPr>
        <w:pStyle w:val="27"/>
        <w:ind w:firstLine="560"/>
      </w:pPr>
      <w:bookmarkStart w:id="172" w:name="_Toc470096816"/>
      <w:bookmarkStart w:id="173" w:name="_Toc33898208"/>
      <w:r>
        <w:t>（1）模型剖分</w:t>
      </w:r>
      <w:bookmarkEnd w:id="172"/>
      <w:bookmarkEnd w:id="173"/>
    </w:p>
    <w:p>
      <w:pPr>
        <w:pStyle w:val="27"/>
        <w:ind w:firstLine="560"/>
      </w:pPr>
      <w:r>
        <w:t>模拟区范围地理位置属于高斯投影的第20个投影带（6°带），由于以前在区内进行的有关地质及水文地质工作主要是建立在高斯投影坐标的基础上，本次模拟仍选用高斯投影坐标系（6°带）。</w:t>
      </w:r>
    </w:p>
    <w:p>
      <w:pPr>
        <w:pStyle w:val="27"/>
        <w:ind w:firstLine="560"/>
      </w:pPr>
      <w:r>
        <w:t>本次地下水流数值模拟采用二维规则网格有限差分法进行模拟计算，计算剖分包括空间剖分和时间剖分。</w:t>
      </w:r>
    </w:p>
    <w:p>
      <w:pPr>
        <w:pStyle w:val="27"/>
        <w:ind w:firstLine="560"/>
      </w:pPr>
      <w:r>
        <w:t>在平面上，根据本次地下水数值模拟的目的，对整个区域模型采用矩形网格剖分，并且在拟建厂区位置进行剖分加密，剖分为235行353列，共剖分矩形网格单元82955个，节点167088个，其中有效单元55386个，无效单元27569个，计算节点位于单元中心。模拟区网格平面剖分见图5.4-1</w:t>
      </w:r>
      <w:r>
        <w:rPr>
          <w:rFonts w:hint="eastAsia"/>
        </w:rPr>
        <w:t>6</w:t>
      </w:r>
      <w:r>
        <w:t>。</w:t>
      </w:r>
    </w:p>
    <w:p>
      <w:pPr>
        <w:pStyle w:val="27"/>
        <w:ind w:firstLine="560"/>
      </w:pPr>
      <w:r>
        <w:t>根据所掌握的资料，本次模拟期选为2019年4月到2020年4月，其中以2019年4月作为模型的初始流场，2020年4月作为模型识别验证流场，以月作为时间步长，模型含水层底板以及初始流场等值线图见图5.4-1</w:t>
      </w:r>
      <w:r>
        <w:rPr>
          <w:rFonts w:hint="eastAsia"/>
        </w:rPr>
        <w:t>6</w:t>
      </w:r>
      <w:r>
        <w:t>和图5.4-1</w:t>
      </w:r>
      <w:r>
        <w:rPr>
          <w:rFonts w:hint="eastAsia"/>
        </w:rPr>
        <w:t>7</w:t>
      </w:r>
      <w:r>
        <w:t>。</w:t>
      </w:r>
    </w:p>
    <w:p>
      <w:pPr>
        <w:pStyle w:val="27"/>
        <w:ind w:firstLine="560"/>
      </w:pPr>
    </w:p>
    <w:p>
      <w:pPr>
        <w:pStyle w:val="27"/>
        <w:ind w:firstLine="560"/>
      </w:pPr>
    </w:p>
    <w:p>
      <w:pPr>
        <w:pStyle w:val="27"/>
        <w:ind w:firstLine="560"/>
      </w:pPr>
    </w:p>
    <w:p>
      <w:pPr>
        <w:spacing w:before="258" w:beforeLines="50"/>
        <w:jc w:val="center"/>
      </w:pPr>
      <w:r>
        <w:drawing>
          <wp:inline distT="0" distB="0" distL="0" distR="0">
            <wp:extent cx="5274310" cy="3380105"/>
            <wp:effectExtent l="0" t="0" r="2540" b="10795"/>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noChangeArrowheads="1"/>
                    </pic:cNvPicPr>
                  </pic:nvPicPr>
                  <pic:blipFill>
                    <a:blip r:embed="rId90" cstate="print"/>
                    <a:srcRect/>
                    <a:stretch>
                      <a:fillRect/>
                    </a:stretch>
                  </pic:blipFill>
                  <pic:spPr>
                    <a:xfrm>
                      <a:off x="0" y="0"/>
                      <a:ext cx="5274310" cy="3380670"/>
                    </a:xfrm>
                    <a:prstGeom prst="rect">
                      <a:avLst/>
                    </a:prstGeom>
                    <a:noFill/>
                    <a:ln w="9525">
                      <a:noFill/>
                      <a:miter lim="800000"/>
                      <a:headEnd/>
                      <a:tailEnd/>
                    </a:ln>
                  </pic:spPr>
                </pic:pic>
              </a:graphicData>
            </a:graphic>
          </wp:inline>
        </w:drawing>
      </w:r>
    </w:p>
    <w:p>
      <w:pPr>
        <w:pStyle w:val="58"/>
        <w:rPr>
          <w:lang w:val="zh-CN"/>
        </w:rPr>
      </w:pPr>
      <w:r>
        <w:t>图5.4-1</w:t>
      </w:r>
      <w:r>
        <w:rPr>
          <w:rFonts w:hint="eastAsia"/>
        </w:rPr>
        <w:t>6</w:t>
      </w:r>
      <w:r>
        <w:t xml:space="preserve">  </w:t>
      </w:r>
      <w:r>
        <w:rPr>
          <w:lang w:val="zh-CN"/>
        </w:rPr>
        <w:t xml:space="preserve">  模拟区网格剖分图</w:t>
      </w:r>
    </w:p>
    <w:p>
      <w:pPr>
        <w:jc w:val="center"/>
        <w:rPr>
          <w:lang w:val="zh-CN"/>
        </w:rPr>
      </w:pPr>
      <w:r>
        <w:drawing>
          <wp:inline distT="0" distB="0" distL="0" distR="0">
            <wp:extent cx="5274310" cy="3376295"/>
            <wp:effectExtent l="0" t="0" r="2540" b="146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91"/>
                    <a:srcRect/>
                    <a:stretch>
                      <a:fillRect/>
                    </a:stretch>
                  </pic:blipFill>
                  <pic:spPr>
                    <a:xfrm>
                      <a:off x="0" y="0"/>
                      <a:ext cx="5274310" cy="3376778"/>
                    </a:xfrm>
                    <a:prstGeom prst="rect">
                      <a:avLst/>
                    </a:prstGeom>
                    <a:noFill/>
                    <a:ln w="9525">
                      <a:noFill/>
                      <a:miter lim="800000"/>
                      <a:headEnd/>
                      <a:tailEnd/>
                    </a:ln>
                  </pic:spPr>
                </pic:pic>
              </a:graphicData>
            </a:graphic>
          </wp:inline>
        </w:drawing>
      </w:r>
    </w:p>
    <w:p>
      <w:pPr>
        <w:pStyle w:val="58"/>
        <w:rPr>
          <w:lang w:val="zh-CN"/>
        </w:rPr>
      </w:pPr>
      <w:r>
        <w:t>图5.4-1</w:t>
      </w:r>
      <w:r>
        <w:rPr>
          <w:rFonts w:hint="eastAsia"/>
        </w:rPr>
        <w:t>7</w:t>
      </w:r>
      <w:r>
        <w:rPr>
          <w:lang w:val="zh-CN"/>
        </w:rPr>
        <w:t xml:space="preserve">  含水层顶板高程等值线图</w:t>
      </w:r>
    </w:p>
    <w:p>
      <w:pPr>
        <w:jc w:val="center"/>
        <w:rPr>
          <w:lang w:val="zh-CN"/>
        </w:rPr>
      </w:pPr>
      <w:r>
        <w:drawing>
          <wp:inline distT="0" distB="0" distL="0" distR="0">
            <wp:extent cx="5274310" cy="3307080"/>
            <wp:effectExtent l="0" t="0" r="2540" b="762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92"/>
                    <a:srcRect/>
                    <a:stretch>
                      <a:fillRect/>
                    </a:stretch>
                  </pic:blipFill>
                  <pic:spPr>
                    <a:xfrm>
                      <a:off x="0" y="0"/>
                      <a:ext cx="5274310" cy="3307586"/>
                    </a:xfrm>
                    <a:prstGeom prst="rect">
                      <a:avLst/>
                    </a:prstGeom>
                    <a:noFill/>
                    <a:ln w="9525">
                      <a:noFill/>
                      <a:miter lim="800000"/>
                      <a:headEnd/>
                      <a:tailEnd/>
                    </a:ln>
                  </pic:spPr>
                </pic:pic>
              </a:graphicData>
            </a:graphic>
          </wp:inline>
        </w:drawing>
      </w:r>
    </w:p>
    <w:p>
      <w:pPr>
        <w:pStyle w:val="58"/>
        <w:rPr>
          <w:lang w:val="zh-CN"/>
        </w:rPr>
      </w:pPr>
      <w:r>
        <w:t>图5.4-1</w:t>
      </w:r>
      <w:r>
        <w:rPr>
          <w:rFonts w:hint="eastAsia"/>
        </w:rPr>
        <w:t>8</w:t>
      </w:r>
      <w:r>
        <w:rPr>
          <w:lang w:val="zh-CN"/>
        </w:rPr>
        <w:t xml:space="preserve"> </w:t>
      </w:r>
      <w:r>
        <w:t xml:space="preserve">  </w:t>
      </w:r>
      <w:r>
        <w:rPr>
          <w:lang w:val="zh-CN"/>
        </w:rPr>
        <w:t xml:space="preserve"> 地下水数值模拟初始流场等值线图</w:t>
      </w:r>
    </w:p>
    <w:p>
      <w:pPr>
        <w:pStyle w:val="27"/>
        <w:ind w:firstLine="560"/>
      </w:pPr>
      <w:bookmarkStart w:id="174" w:name="_Toc405317346"/>
      <w:bookmarkStart w:id="175" w:name="_Toc470096817"/>
      <w:bookmarkStart w:id="176" w:name="_Toc33898209"/>
      <w:r>
        <w:t>（2）源汇项的处理</w:t>
      </w:r>
      <w:bookmarkEnd w:id="174"/>
      <w:bookmarkEnd w:id="175"/>
      <w:bookmarkEnd w:id="176"/>
    </w:p>
    <w:p>
      <w:pPr>
        <w:pStyle w:val="27"/>
        <w:ind w:firstLine="560"/>
      </w:pPr>
      <w:r>
        <w:t>①大气降水入渗补给</w:t>
      </w:r>
    </w:p>
    <w:p>
      <w:pPr>
        <w:pStyle w:val="27"/>
        <w:ind w:firstLine="560"/>
      </w:pPr>
      <w:r>
        <w:t>浅层含水层通过包气带接受大气降水入渗补给，在模型中大气降水入渗补给量的计算公式为：</w:t>
      </w:r>
    </w:p>
    <w:p>
      <w:pPr>
        <w:pStyle w:val="27"/>
        <w:spacing w:line="240" w:lineRule="atLeast"/>
        <w:ind w:firstLine="560"/>
        <w:jc w:val="center"/>
      </w:pPr>
      <w:r>
        <w:drawing>
          <wp:inline distT="0" distB="0" distL="114300" distR="114300">
            <wp:extent cx="981075" cy="352425"/>
            <wp:effectExtent l="0" t="0" r="0" b="8255"/>
            <wp:docPr id="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93"/>
                    <a:stretch>
                      <a:fillRect/>
                    </a:stretch>
                  </pic:blipFill>
                  <pic:spPr>
                    <a:xfrm>
                      <a:off x="0" y="0"/>
                      <a:ext cx="981075" cy="352425"/>
                    </a:xfrm>
                    <a:prstGeom prst="rect">
                      <a:avLst/>
                    </a:prstGeom>
                    <a:noFill/>
                    <a:ln>
                      <a:noFill/>
                    </a:ln>
                  </pic:spPr>
                </pic:pic>
              </a:graphicData>
            </a:graphic>
          </wp:inline>
        </w:drawing>
      </w:r>
    </w:p>
    <w:p>
      <w:pPr>
        <w:pStyle w:val="27"/>
        <w:ind w:firstLine="560"/>
      </w:pPr>
      <w:r>
        <w:t>式中：Q</w:t>
      </w:r>
      <w:r>
        <w:rPr>
          <w:vertAlign w:val="subscript"/>
        </w:rPr>
        <w:t>降</w:t>
      </w:r>
      <w:r>
        <w:t>—大气降水入渗补给量（m</w:t>
      </w:r>
      <w:r>
        <w:rPr>
          <w:vertAlign w:val="superscript"/>
        </w:rPr>
        <w:t>3</w:t>
      </w:r>
      <w:r>
        <w:t>/d）；</w:t>
      </w:r>
    </w:p>
    <w:p>
      <w:pPr>
        <w:pStyle w:val="27"/>
        <w:ind w:firstLine="1400" w:firstLineChars="500"/>
      </w:pPr>
      <w:r>
        <w:t>α</w:t>
      </w:r>
      <w:r>
        <w:rPr>
          <w:vertAlign w:val="subscript"/>
        </w:rPr>
        <w:t>i</w:t>
      </w:r>
      <w:r>
        <w:t>—各计算分区大气降水入渗系数；</w:t>
      </w:r>
    </w:p>
    <w:p>
      <w:pPr>
        <w:pStyle w:val="27"/>
        <w:ind w:firstLine="1400" w:firstLineChars="500"/>
      </w:pPr>
      <w:r>
        <w:t>P</w:t>
      </w:r>
      <w:r>
        <w:rPr>
          <w:vertAlign w:val="subscript"/>
        </w:rPr>
        <w:t>i</w:t>
      </w:r>
      <w:r>
        <w:t>—各计算分区降水量（m/d）；</w:t>
      </w:r>
    </w:p>
    <w:p>
      <w:pPr>
        <w:pStyle w:val="27"/>
        <w:ind w:firstLine="1400" w:firstLineChars="500"/>
      </w:pPr>
      <w:r>
        <w:t>A</w:t>
      </w:r>
      <w:r>
        <w:rPr>
          <w:vertAlign w:val="subscript"/>
        </w:rPr>
        <w:t>i</w:t>
      </w:r>
      <w:r>
        <w:t>—各计算分区面积（m</w:t>
      </w:r>
      <w:r>
        <w:rPr>
          <w:vertAlign w:val="superscript"/>
        </w:rPr>
        <w:t>2</w:t>
      </w:r>
      <w:r>
        <w:t>）。</w:t>
      </w:r>
    </w:p>
    <w:p>
      <w:pPr>
        <w:pStyle w:val="27"/>
        <w:ind w:firstLine="560"/>
      </w:pPr>
      <w:r>
        <w:t>调查评价区地形平坦，包气带岩性由粉砂渐变为粉土、粉质粘土，局部为粘土，渗透性差，降水入渗逐渐减弱。降雨入渗的多少与降雨历时、强度、包气带厚度、渗透性息息相关。雨量大、历时长、包气带渗透性强、地表径流条件差有利于降雨入渗，入渗补给量大， 表现在丰水期地下水位上上升明显。调查评价区降水主要集中在 6~8 月份，因而降水入渗补给具有明显的季节性。反映在地下水位动态上， 雨季地下水位呈上升趋势。</w:t>
      </w:r>
    </w:p>
    <w:p>
      <w:pPr>
        <w:pStyle w:val="27"/>
        <w:ind w:firstLine="560"/>
      </w:pPr>
      <w:r>
        <w:t>降水入渗补给条件的不均匀性用入渗分区概化处理。依据有关降水入渗资料，并参考包气带岩性、潜水位埋深、地形、植被等因素，绘出全区降水入渗系数分区图，分别给出各区降水入渗系数平均值，加在模型对应的剖分网格单元上。根据各区面积、降水量以及降水入渗系数计算大气降水入渗补给量。</w:t>
      </w:r>
    </w:p>
    <w:p>
      <w:pPr>
        <w:pStyle w:val="27"/>
        <w:ind w:firstLine="560"/>
      </w:pPr>
      <w:r>
        <w:t>②地下水侧向径流补排量</w:t>
      </w:r>
    </w:p>
    <w:p>
      <w:pPr>
        <w:pStyle w:val="27"/>
        <w:ind w:firstLine="560"/>
        <w:rPr>
          <w:szCs w:val="28"/>
        </w:rPr>
      </w:pPr>
      <w:r>
        <w:t>由于缺少多年的水位监测资料，所以仅计算均衡期内的地下水侧向补给量和排泄量。计算区地下水侧向补给和排泄量，可分段采用达西定律计</w:t>
      </w:r>
      <w:r>
        <w:rPr>
          <w:szCs w:val="28"/>
        </w:rPr>
        <w:t>算，公式为：</w:t>
      </w:r>
    </w:p>
    <w:p>
      <w:pPr>
        <w:pStyle w:val="27"/>
        <w:spacing w:line="240" w:lineRule="atLeast"/>
        <w:ind w:firstLine="560"/>
        <w:jc w:val="center"/>
        <w:rPr>
          <w:szCs w:val="28"/>
        </w:rPr>
      </w:pPr>
      <w:r>
        <w:rPr>
          <w:szCs w:val="28"/>
        </w:rPr>
        <w:drawing>
          <wp:inline distT="0" distB="0" distL="114300" distR="114300">
            <wp:extent cx="1476375" cy="352425"/>
            <wp:effectExtent l="0" t="0" r="0" b="8255"/>
            <wp:docPr id="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pic:cNvPicPr>
                      <a:picLocks noChangeAspect="1"/>
                    </pic:cNvPicPr>
                  </pic:nvPicPr>
                  <pic:blipFill>
                    <a:blip r:embed="rId94"/>
                    <a:stretch>
                      <a:fillRect/>
                    </a:stretch>
                  </pic:blipFill>
                  <pic:spPr>
                    <a:xfrm>
                      <a:off x="0" y="0"/>
                      <a:ext cx="1476375" cy="352425"/>
                    </a:xfrm>
                    <a:prstGeom prst="rect">
                      <a:avLst/>
                    </a:prstGeom>
                    <a:noFill/>
                    <a:ln>
                      <a:noFill/>
                    </a:ln>
                  </pic:spPr>
                </pic:pic>
              </a:graphicData>
            </a:graphic>
          </wp:inline>
        </w:drawing>
      </w:r>
    </w:p>
    <w:p>
      <w:pPr>
        <w:pStyle w:val="27"/>
        <w:ind w:firstLine="560"/>
        <w:rPr>
          <w:szCs w:val="28"/>
        </w:rPr>
      </w:pPr>
      <w:r>
        <w:rPr>
          <w:szCs w:val="28"/>
        </w:rPr>
        <w:t>式中：</w:t>
      </w:r>
      <w:r>
        <w:rPr>
          <w:szCs w:val="28"/>
        </w:rPr>
        <w:drawing>
          <wp:inline distT="0" distB="0" distL="114300" distR="114300">
            <wp:extent cx="504825" cy="228600"/>
            <wp:effectExtent l="0" t="0" r="9525" b="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95"/>
                    <a:stretch>
                      <a:fillRect/>
                    </a:stretch>
                  </pic:blipFill>
                  <pic:spPr>
                    <a:xfrm>
                      <a:off x="0" y="0"/>
                      <a:ext cx="504825" cy="228600"/>
                    </a:xfrm>
                    <a:prstGeom prst="rect">
                      <a:avLst/>
                    </a:prstGeom>
                    <a:noFill/>
                    <a:ln>
                      <a:noFill/>
                    </a:ln>
                  </pic:spPr>
                </pic:pic>
              </a:graphicData>
            </a:graphic>
          </wp:inline>
        </w:drawing>
      </w:r>
      <w:r>
        <w:rPr>
          <w:szCs w:val="28"/>
        </w:rPr>
        <w:t>—地下水侧向径流补给量（m</w:t>
      </w:r>
      <w:r>
        <w:rPr>
          <w:szCs w:val="28"/>
          <w:vertAlign w:val="superscript"/>
        </w:rPr>
        <w:t>3</w:t>
      </w:r>
      <w:r>
        <w:rPr>
          <w:szCs w:val="28"/>
        </w:rPr>
        <w:t>/d）；</w:t>
      </w:r>
    </w:p>
    <w:p>
      <w:pPr>
        <w:pStyle w:val="27"/>
        <w:ind w:firstLine="1400" w:firstLineChars="500"/>
        <w:rPr>
          <w:szCs w:val="28"/>
        </w:rPr>
      </w:pPr>
      <w:r>
        <w:rPr>
          <w:szCs w:val="28"/>
        </w:rPr>
        <w:drawing>
          <wp:inline distT="0" distB="0" distL="114300" distR="114300">
            <wp:extent cx="200025" cy="228600"/>
            <wp:effectExtent l="0" t="0" r="9525" b="0"/>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96"/>
                    <a:stretch>
                      <a:fillRect/>
                    </a:stretch>
                  </pic:blipFill>
                  <pic:spPr>
                    <a:xfrm>
                      <a:off x="0" y="0"/>
                      <a:ext cx="200025" cy="228600"/>
                    </a:xfrm>
                    <a:prstGeom prst="rect">
                      <a:avLst/>
                    </a:prstGeom>
                    <a:noFill/>
                    <a:ln>
                      <a:noFill/>
                    </a:ln>
                  </pic:spPr>
                </pic:pic>
              </a:graphicData>
            </a:graphic>
          </wp:inline>
        </w:drawing>
      </w:r>
      <w:r>
        <w:rPr>
          <w:szCs w:val="28"/>
        </w:rPr>
        <w:t>—第i分段含水层渗透系数（m/d）；</w:t>
      </w:r>
    </w:p>
    <w:p>
      <w:pPr>
        <w:pStyle w:val="27"/>
        <w:ind w:firstLine="1400" w:firstLineChars="500"/>
        <w:rPr>
          <w:szCs w:val="28"/>
        </w:rPr>
      </w:pPr>
      <w:r>
        <w:rPr>
          <w:szCs w:val="28"/>
        </w:rPr>
        <w:drawing>
          <wp:inline distT="0" distB="0" distL="114300" distR="114300">
            <wp:extent cx="152400" cy="228600"/>
            <wp:effectExtent l="0" t="0" r="0" b="0"/>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97"/>
                    <a:stretch>
                      <a:fillRect/>
                    </a:stretch>
                  </pic:blipFill>
                  <pic:spPr>
                    <a:xfrm>
                      <a:off x="0" y="0"/>
                      <a:ext cx="152400" cy="228600"/>
                    </a:xfrm>
                    <a:prstGeom prst="rect">
                      <a:avLst/>
                    </a:prstGeom>
                    <a:noFill/>
                    <a:ln>
                      <a:noFill/>
                    </a:ln>
                  </pic:spPr>
                </pic:pic>
              </a:graphicData>
            </a:graphic>
          </wp:inline>
        </w:drawing>
      </w:r>
      <w:r>
        <w:rPr>
          <w:szCs w:val="28"/>
        </w:rPr>
        <w:t>—第i分段断面的法向水力坡度；</w:t>
      </w:r>
    </w:p>
    <w:p>
      <w:pPr>
        <w:pStyle w:val="27"/>
        <w:ind w:firstLine="1400" w:firstLineChars="500"/>
        <w:rPr>
          <w:szCs w:val="28"/>
        </w:rPr>
      </w:pPr>
      <w:r>
        <w:rPr>
          <w:szCs w:val="28"/>
        </w:rPr>
        <w:drawing>
          <wp:inline distT="0" distB="0" distL="114300" distR="114300">
            <wp:extent cx="161925" cy="228600"/>
            <wp:effectExtent l="0" t="0" r="8255" b="0"/>
            <wp:docPr id="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4"/>
                    <pic:cNvPicPr>
                      <a:picLocks noChangeAspect="1"/>
                    </pic:cNvPicPr>
                  </pic:nvPicPr>
                  <pic:blipFill>
                    <a:blip r:embed="rId98"/>
                    <a:stretch>
                      <a:fillRect/>
                    </a:stretch>
                  </pic:blipFill>
                  <pic:spPr>
                    <a:xfrm>
                      <a:off x="0" y="0"/>
                      <a:ext cx="161925" cy="228600"/>
                    </a:xfrm>
                    <a:prstGeom prst="rect">
                      <a:avLst/>
                    </a:prstGeom>
                    <a:noFill/>
                    <a:ln>
                      <a:noFill/>
                    </a:ln>
                  </pic:spPr>
                </pic:pic>
              </a:graphicData>
            </a:graphic>
          </wp:inline>
        </w:drawing>
      </w:r>
      <w:r>
        <w:rPr>
          <w:szCs w:val="28"/>
        </w:rPr>
        <w:t>——第i分段含水层断面面积（m</w:t>
      </w:r>
      <w:r>
        <w:rPr>
          <w:szCs w:val="28"/>
          <w:vertAlign w:val="superscript"/>
        </w:rPr>
        <w:t>2</w:t>
      </w:r>
      <w:r>
        <w:rPr>
          <w:szCs w:val="28"/>
        </w:rPr>
        <w:t>）。</w:t>
      </w:r>
    </w:p>
    <w:p>
      <w:pPr>
        <w:pStyle w:val="27"/>
        <w:ind w:firstLine="560"/>
        <w:rPr>
          <w:szCs w:val="28"/>
        </w:rPr>
      </w:pPr>
      <w:r>
        <w:rPr>
          <w:szCs w:val="28"/>
        </w:rPr>
        <w:t>③灌溉回归入渗补给</w:t>
      </w:r>
    </w:p>
    <w:p>
      <w:pPr>
        <w:pStyle w:val="27"/>
        <w:ind w:firstLine="1120" w:firstLineChars="400"/>
        <w:jc w:val="left"/>
        <w:rPr>
          <w:szCs w:val="28"/>
        </w:rPr>
      </w:pPr>
      <w:r>
        <w:rPr>
          <w:szCs w:val="28"/>
        </w:rPr>
        <w:t>计算公式：Q</w:t>
      </w:r>
      <w:r>
        <w:rPr>
          <w:szCs w:val="28"/>
          <w:vertAlign w:val="subscript"/>
        </w:rPr>
        <w:t>井</w:t>
      </w:r>
      <w:r>
        <w:rPr>
          <w:szCs w:val="28"/>
        </w:rPr>
        <w:t>＝Q</w:t>
      </w:r>
      <w:r>
        <w:rPr>
          <w:szCs w:val="28"/>
          <w:vertAlign w:val="subscript"/>
        </w:rPr>
        <w:t>农开</w:t>
      </w:r>
      <w:r>
        <w:rPr>
          <w:szCs w:val="28"/>
        </w:rPr>
        <w:t>·β</w:t>
      </w:r>
    </w:p>
    <w:p>
      <w:pPr>
        <w:pStyle w:val="27"/>
        <w:ind w:firstLine="560"/>
        <w:rPr>
          <w:szCs w:val="28"/>
        </w:rPr>
      </w:pPr>
      <w:r>
        <w:rPr>
          <w:szCs w:val="28"/>
        </w:rPr>
        <w:t>式中：Q</w:t>
      </w:r>
      <w:r>
        <w:rPr>
          <w:szCs w:val="28"/>
          <w:vertAlign w:val="subscript"/>
        </w:rPr>
        <w:t>井</w:t>
      </w:r>
      <w:r>
        <w:rPr>
          <w:szCs w:val="28"/>
        </w:rPr>
        <w:t>—井灌回归量（10</w:t>
      </w:r>
      <w:r>
        <w:rPr>
          <w:szCs w:val="28"/>
          <w:vertAlign w:val="superscript"/>
        </w:rPr>
        <w:t>4</w:t>
      </w:r>
      <w:r>
        <w:rPr>
          <w:szCs w:val="28"/>
        </w:rPr>
        <w:t>m</w:t>
      </w:r>
      <w:r>
        <w:rPr>
          <w:szCs w:val="28"/>
          <w:vertAlign w:val="superscript"/>
        </w:rPr>
        <w:t>3</w:t>
      </w:r>
      <w:r>
        <w:rPr>
          <w:szCs w:val="28"/>
        </w:rPr>
        <w:t>/a）</w:t>
      </w:r>
    </w:p>
    <w:p>
      <w:pPr>
        <w:pStyle w:val="27"/>
        <w:ind w:firstLine="1400" w:firstLineChars="500"/>
        <w:rPr>
          <w:szCs w:val="28"/>
        </w:rPr>
      </w:pPr>
      <w:r>
        <w:rPr>
          <w:szCs w:val="28"/>
        </w:rPr>
        <w:t>Q</w:t>
      </w:r>
      <w:r>
        <w:rPr>
          <w:szCs w:val="28"/>
          <w:vertAlign w:val="subscript"/>
        </w:rPr>
        <w:t>农开</w:t>
      </w:r>
      <w:r>
        <w:rPr>
          <w:szCs w:val="28"/>
        </w:rPr>
        <w:t>—农业开采量（10</w:t>
      </w:r>
      <w:r>
        <w:rPr>
          <w:szCs w:val="28"/>
          <w:vertAlign w:val="superscript"/>
        </w:rPr>
        <w:t>4</w:t>
      </w:r>
      <w:r>
        <w:rPr>
          <w:szCs w:val="28"/>
        </w:rPr>
        <w:t>m</w:t>
      </w:r>
      <w:r>
        <w:rPr>
          <w:szCs w:val="28"/>
          <w:vertAlign w:val="superscript"/>
        </w:rPr>
        <w:t>3</w:t>
      </w:r>
      <w:r>
        <w:rPr>
          <w:szCs w:val="28"/>
        </w:rPr>
        <w:t>/a）</w:t>
      </w:r>
    </w:p>
    <w:p>
      <w:pPr>
        <w:pStyle w:val="27"/>
        <w:ind w:firstLine="1400" w:firstLineChars="500"/>
        <w:rPr>
          <w:szCs w:val="28"/>
        </w:rPr>
      </w:pPr>
      <w:r>
        <w:rPr>
          <w:szCs w:val="28"/>
        </w:rPr>
        <w:t>β—井灌回归系数</w:t>
      </w:r>
    </w:p>
    <w:p>
      <w:pPr>
        <w:pStyle w:val="27"/>
        <w:ind w:firstLine="560"/>
      </w:pPr>
      <w:r>
        <w:t>④地表水渗漏补给</w:t>
      </w:r>
    </w:p>
    <w:p>
      <w:pPr>
        <w:pStyle w:val="27"/>
        <w:ind w:firstLine="560"/>
        <w:rPr>
          <w:szCs w:val="28"/>
        </w:rPr>
      </w:pPr>
      <w:r>
        <w:rPr>
          <w:szCs w:val="28"/>
        </w:rPr>
        <w:t>濮水河发源于王助乡黄甫林场东，从西南方向进入调查评价区，在调查评价区北部向东折向濮阳市区，最终汇入马颊河。濮水河的渗漏可补给地下水。</w:t>
      </w:r>
    </w:p>
    <w:p>
      <w:pPr>
        <w:pStyle w:val="27"/>
        <w:ind w:firstLine="560"/>
        <w:rPr>
          <w:szCs w:val="28"/>
        </w:rPr>
      </w:pPr>
      <w:r>
        <w:rPr>
          <w:szCs w:val="28"/>
        </w:rPr>
        <w:t>⑤人工开采量</w:t>
      </w:r>
    </w:p>
    <w:p>
      <w:pPr>
        <w:pStyle w:val="27"/>
        <w:ind w:firstLine="560"/>
        <w:rPr>
          <w:szCs w:val="28"/>
        </w:rPr>
      </w:pPr>
      <w:r>
        <w:rPr>
          <w:szCs w:val="28"/>
        </w:rPr>
        <w:t>根据调查，评价区浅层地下水目前主要用于农业灌溉，农业灌溉为面状开采，根据模拟区井浇地分布范围，并依据开采井的密度和单井抽水量进行分区，分别给出各区开采强度，加在模型对应的剖分网格单元上。</w:t>
      </w:r>
    </w:p>
    <w:p>
      <w:pPr>
        <w:pStyle w:val="27"/>
        <w:ind w:firstLine="560"/>
        <w:rPr>
          <w:szCs w:val="28"/>
        </w:rPr>
      </w:pPr>
      <w:r>
        <w:rPr>
          <w:szCs w:val="28"/>
        </w:rPr>
        <w:t>⑥潜水蒸发</w:t>
      </w:r>
    </w:p>
    <w:p>
      <w:pPr>
        <w:pStyle w:val="27"/>
        <w:ind w:firstLine="560"/>
        <w:rPr>
          <w:szCs w:val="28"/>
        </w:rPr>
      </w:pPr>
      <w:r>
        <w:rPr>
          <w:szCs w:val="28"/>
        </w:rPr>
        <w:t>潜水蒸发是指潜水（埋深小于4米时）在毛细管力的作用下向上运动，最终以参加陆面蒸散发形式散逸到大气中的水分损失量。评价期内潜水埋深仅在南边局部区域7-9月份存在蒸发，大范围内长时间超过了4米，因此将评价区潜水蒸发量按零计算。</w:t>
      </w:r>
    </w:p>
    <w:p>
      <w:pPr>
        <w:pStyle w:val="33"/>
      </w:pPr>
      <w:r>
        <w:t xml:space="preserve">5.4.6.4 </w:t>
      </w:r>
      <w:bookmarkStart w:id="177" w:name="_Toc33898211"/>
      <w:bookmarkStart w:id="178" w:name="_Toc1066"/>
      <w:bookmarkStart w:id="179" w:name="_Toc67855451"/>
      <w:bookmarkStart w:id="180" w:name="_Toc468693002"/>
      <w:bookmarkStart w:id="181" w:name="_Toc470096819"/>
      <w:bookmarkStart w:id="182" w:name="_Toc405317347"/>
      <w:r>
        <w:t xml:space="preserve"> 模型的识别与检验</w:t>
      </w:r>
      <w:bookmarkEnd w:id="177"/>
      <w:bookmarkEnd w:id="178"/>
      <w:bookmarkEnd w:id="179"/>
      <w:bookmarkEnd w:id="180"/>
      <w:bookmarkEnd w:id="181"/>
      <w:bookmarkEnd w:id="182"/>
    </w:p>
    <w:p>
      <w:pPr>
        <w:pStyle w:val="27"/>
        <w:ind w:firstLine="560"/>
      </w:pPr>
      <w:r>
        <w:t>模型的识别与验证过程是整个模拟中极为重要的一步工作，通常要在反复修改参数和调整某些源汇项基础上才能达到较为理想的拟合结果。此模型的识别与检验过程采用的方法称为试估—校正法，属于反求参数的间接方法之一。为了确保模型求解的唯一性，在模型调试过程中充分利用各种定解条件，也就是用那些靠得住的实测资料，如边界断面流量、灌溉井开采量等来约束模型对原形的拟合。在模型调试过程中，还充分利用水文地质调查中获得的有关信息及计算者对水文地质条件的认识，来约束模型的调试和识别。</w:t>
      </w:r>
    </w:p>
    <w:p>
      <w:pPr>
        <w:pStyle w:val="27"/>
        <w:ind w:firstLine="560"/>
        <w:rPr>
          <w:spacing w:val="10"/>
        </w:rPr>
      </w:pPr>
      <w:r>
        <w:t>根据所掌握的资料，本次模拟期选为2019年4月到2020年4月，其中以2019年4月作为模型的</w:t>
      </w:r>
      <w:r>
        <w:rPr>
          <w:szCs w:val="28"/>
        </w:rPr>
        <w:t>初始</w:t>
      </w:r>
      <w:r>
        <w:t>流场，2020年4月作为模型识别验证流场，以月作为时间步长</w:t>
      </w:r>
      <w:r>
        <w:rPr>
          <w:spacing w:val="10"/>
        </w:rPr>
        <w:t>。</w:t>
      </w:r>
    </w:p>
    <w:p>
      <w:pPr>
        <w:pStyle w:val="27"/>
        <w:ind w:firstLine="560"/>
      </w:pPr>
      <w:r>
        <w:t>初始水位以2019年4月水位为基础，对其余地区进行外推概化，然后按照内插法和外推法得到浅层孔隙含水层的初始流场。</w:t>
      </w:r>
    </w:p>
    <w:p>
      <w:pPr>
        <w:pStyle w:val="27"/>
        <w:ind w:firstLine="600"/>
        <w:rPr>
          <w:spacing w:val="10"/>
        </w:rPr>
      </w:pPr>
      <w:r>
        <w:rPr>
          <w:spacing w:val="10"/>
        </w:rPr>
        <w:t>运行计算程序，可得到这种水文地质概念模型在给定水文地质参数和各均衡项条件下的地下水位时空分布，</w:t>
      </w:r>
      <w:r>
        <w:rPr>
          <w:szCs w:val="28"/>
        </w:rPr>
        <w:t>通过</w:t>
      </w:r>
      <w:r>
        <w:rPr>
          <w:spacing w:val="10"/>
        </w:rPr>
        <w:t>拟合同时期的流场，识别水文地质参数、边界值和其它均衡项，使建立的模型更加符合模拟区的水文地质条件。</w:t>
      </w:r>
    </w:p>
    <w:p>
      <w:pPr>
        <w:pStyle w:val="27"/>
        <w:ind w:firstLine="560"/>
      </w:pPr>
      <w:r>
        <w:t>模型的识别和验证主要遵循以下原则：①模拟的地下水流场要与实际地下水流场基本一致，即要求地下水模拟等值线与实测地下水位等值线形状相似；②从均衡的角度出发，模拟的地下水均衡变化与实际要基本相符；③识别的水文地质参数要符合实际水文地质条件。根据以上三个原则，对模拟区地下水系统进行了识别和验证。通过反复模拟、识别验证后的水文地质参数较好的刻画了地下水系统的水文地质特征，基本反映了地下水随时间和空间的变化规律，使水位拟合误差较小，达到预期效果。识别验证后的平面流场（图5.4-1</w:t>
      </w:r>
      <w:r>
        <w:rPr>
          <w:rFonts w:hint="eastAsia"/>
        </w:rPr>
        <w:t>9</w:t>
      </w:r>
      <w:r>
        <w:t>）和参数分区图见图5.4-</w:t>
      </w:r>
      <w:r>
        <w:rPr>
          <w:rFonts w:hint="eastAsia"/>
        </w:rPr>
        <w:t>20</w:t>
      </w:r>
      <w:r>
        <w:t>，参数值见表5.4-</w:t>
      </w:r>
      <w:r>
        <w:rPr>
          <w:rFonts w:hint="eastAsia"/>
        </w:rPr>
        <w:t>6</w:t>
      </w:r>
      <w:r>
        <w:t>。</w:t>
      </w:r>
    </w:p>
    <w:p>
      <w:pPr>
        <w:pStyle w:val="27"/>
        <w:ind w:firstLine="560"/>
        <w:rPr>
          <w:bCs/>
        </w:rPr>
      </w:pPr>
      <w:r>
        <w:rPr>
          <w:bCs/>
        </w:rPr>
        <w:t>通过上述拟合对比，可以说明本次建立的地下水模型基本符合评价区实际水文地质条件，基本反映了地下水系统的流场特征，故利用该模型为基础，对建设区地下水环境影响进行预测评价是合理可信的。</w:t>
      </w:r>
    </w:p>
    <w:p>
      <w:pPr>
        <w:autoSpaceDE w:val="0"/>
        <w:autoSpaceDN w:val="0"/>
        <w:adjustRightInd w:val="0"/>
        <w:jc w:val="center"/>
        <w:rPr>
          <w:kern w:val="0"/>
        </w:rPr>
      </w:pPr>
      <w:bookmarkStart w:id="183" w:name="_Toc333490281"/>
      <w:bookmarkStart w:id="184" w:name="_Toc335353629"/>
      <w:r>
        <w:rPr>
          <w:kern w:val="0"/>
        </w:rPr>
        <w:drawing>
          <wp:inline distT="0" distB="0" distL="0" distR="0">
            <wp:extent cx="5274310" cy="3115945"/>
            <wp:effectExtent l="0" t="0" r="2540" b="825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99"/>
                    <a:srcRect/>
                    <a:stretch>
                      <a:fillRect/>
                    </a:stretch>
                  </pic:blipFill>
                  <pic:spPr>
                    <a:xfrm>
                      <a:off x="0" y="0"/>
                      <a:ext cx="5274310" cy="3116111"/>
                    </a:xfrm>
                    <a:prstGeom prst="rect">
                      <a:avLst/>
                    </a:prstGeom>
                    <a:noFill/>
                    <a:ln w="9525">
                      <a:noFill/>
                      <a:miter lim="800000"/>
                      <a:headEnd/>
                      <a:tailEnd/>
                    </a:ln>
                  </pic:spPr>
                </pic:pic>
              </a:graphicData>
            </a:graphic>
          </wp:inline>
        </w:drawing>
      </w:r>
    </w:p>
    <w:p>
      <w:pPr>
        <w:pStyle w:val="58"/>
      </w:pPr>
      <w:r>
        <w:t>图5.4-1</w:t>
      </w:r>
      <w:r>
        <w:rPr>
          <w:rFonts w:hint="eastAsia"/>
        </w:rPr>
        <w:t>9</w:t>
      </w:r>
      <w:r>
        <w:t xml:space="preserve">    2020年4月孔隙水等水位线拟合图</w:t>
      </w:r>
    </w:p>
    <w:p>
      <w:pPr>
        <w:jc w:val="center"/>
        <w:rPr>
          <w:b/>
          <w:bCs/>
          <w:kern w:val="0"/>
          <w:sz w:val="22"/>
          <w:szCs w:val="22"/>
        </w:rPr>
      </w:pPr>
      <w:r>
        <w:rPr>
          <w:b/>
          <w:bCs/>
          <w:kern w:val="0"/>
          <w:sz w:val="22"/>
          <w:szCs w:val="22"/>
        </w:rPr>
        <w:drawing>
          <wp:inline distT="0" distB="0" distL="0" distR="0">
            <wp:extent cx="5274310" cy="3253740"/>
            <wp:effectExtent l="0" t="0" r="2540" b="3810"/>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noChangeArrowheads="1"/>
                    </pic:cNvPicPr>
                  </pic:nvPicPr>
                  <pic:blipFill>
                    <a:blip r:embed="rId100"/>
                    <a:srcRect/>
                    <a:stretch>
                      <a:fillRect/>
                    </a:stretch>
                  </pic:blipFill>
                  <pic:spPr>
                    <a:xfrm>
                      <a:off x="0" y="0"/>
                      <a:ext cx="5274310" cy="3254322"/>
                    </a:xfrm>
                    <a:prstGeom prst="rect">
                      <a:avLst/>
                    </a:prstGeom>
                    <a:noFill/>
                    <a:ln w="9525">
                      <a:noFill/>
                      <a:miter lim="800000"/>
                      <a:headEnd/>
                      <a:tailEnd/>
                    </a:ln>
                  </pic:spPr>
                </pic:pic>
              </a:graphicData>
            </a:graphic>
          </wp:inline>
        </w:drawing>
      </w:r>
    </w:p>
    <w:p>
      <w:pPr>
        <w:pStyle w:val="58"/>
        <w:rPr>
          <w:lang w:val="zh-CN"/>
        </w:rPr>
      </w:pPr>
      <w:bookmarkStart w:id="185" w:name="_Toc306189241"/>
      <w:r>
        <w:t>图5.4-</w:t>
      </w:r>
      <w:r>
        <w:rPr>
          <w:rFonts w:hint="eastAsia"/>
        </w:rPr>
        <w:t>20</w:t>
      </w:r>
      <w:r>
        <w:t xml:space="preserve">  </w:t>
      </w:r>
      <w:r>
        <w:rPr>
          <w:lang w:val="zh-CN"/>
        </w:rPr>
        <w:t xml:space="preserve">  孔隙水含水层参数分区图</w:t>
      </w:r>
      <w:bookmarkEnd w:id="185"/>
    </w:p>
    <w:p>
      <w:pPr>
        <w:pStyle w:val="32"/>
        <w:ind w:right="240"/>
      </w:pPr>
      <w:r>
        <w:t>表5.4-</w:t>
      </w:r>
      <w:r>
        <w:rPr>
          <w:rFonts w:hint="eastAsia"/>
        </w:rPr>
        <w:t>6</w:t>
      </w:r>
      <w:r>
        <w:t xml:space="preserve">             模型识别与验证后参数取值表</w:t>
      </w:r>
    </w:p>
    <w:tbl>
      <w:tblPr>
        <w:tblStyle w:val="21"/>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0"/>
        <w:gridCol w:w="3101"/>
        <w:gridCol w:w="309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4" w:type="pct"/>
            <w:vAlign w:val="center"/>
          </w:tcPr>
          <w:p>
            <w:pPr>
              <w:pStyle w:val="35"/>
              <w:rPr>
                <w:b/>
                <w:bCs/>
              </w:rPr>
            </w:pPr>
            <w:r>
              <w:rPr>
                <w:b/>
                <w:bCs/>
              </w:rPr>
              <w:t>分区号</w:t>
            </w:r>
          </w:p>
        </w:tc>
        <w:tc>
          <w:tcPr>
            <w:tcW w:w="1690" w:type="pct"/>
            <w:vAlign w:val="center"/>
          </w:tcPr>
          <w:p>
            <w:pPr>
              <w:pStyle w:val="35"/>
              <w:rPr>
                <w:b/>
                <w:bCs/>
              </w:rPr>
            </w:pPr>
            <w:r>
              <w:rPr>
                <w:b/>
                <w:bCs/>
              </w:rPr>
              <w:t>渗透系数 （m/d）</w:t>
            </w:r>
          </w:p>
        </w:tc>
        <w:tc>
          <w:tcPr>
            <w:tcW w:w="1684" w:type="pct"/>
            <w:vAlign w:val="center"/>
          </w:tcPr>
          <w:p>
            <w:pPr>
              <w:pStyle w:val="35"/>
              <w:rPr>
                <w:b/>
                <w:bCs/>
              </w:rPr>
            </w:pPr>
            <w:r>
              <w:rPr>
                <w:b/>
                <w:bCs/>
              </w:rPr>
              <w:t>给水度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4" w:type="pct"/>
            <w:vAlign w:val="center"/>
          </w:tcPr>
          <w:p>
            <w:pPr>
              <w:pStyle w:val="35"/>
            </w:pPr>
            <w:r>
              <w:t>I</w:t>
            </w:r>
          </w:p>
        </w:tc>
        <w:tc>
          <w:tcPr>
            <w:tcW w:w="1690" w:type="pct"/>
            <w:vAlign w:val="center"/>
          </w:tcPr>
          <w:p>
            <w:pPr>
              <w:pStyle w:val="35"/>
            </w:pPr>
            <w:r>
              <w:t>9.0</w:t>
            </w:r>
          </w:p>
        </w:tc>
        <w:tc>
          <w:tcPr>
            <w:tcW w:w="1684" w:type="pct"/>
            <w:vAlign w:val="center"/>
          </w:tcPr>
          <w:p>
            <w:pPr>
              <w:pStyle w:val="35"/>
            </w:pPr>
            <w:r>
              <w:t>0.25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624" w:type="pct"/>
            <w:vAlign w:val="center"/>
          </w:tcPr>
          <w:p>
            <w:pPr>
              <w:pStyle w:val="35"/>
            </w:pPr>
            <w:r>
              <w:t>II</w:t>
            </w:r>
          </w:p>
        </w:tc>
        <w:tc>
          <w:tcPr>
            <w:tcW w:w="1690" w:type="pct"/>
            <w:vAlign w:val="center"/>
          </w:tcPr>
          <w:p>
            <w:pPr>
              <w:pStyle w:val="35"/>
            </w:pPr>
            <w:r>
              <w:t>10.0</w:t>
            </w:r>
          </w:p>
        </w:tc>
        <w:tc>
          <w:tcPr>
            <w:tcW w:w="1684" w:type="pct"/>
            <w:vAlign w:val="center"/>
          </w:tcPr>
          <w:p>
            <w:pPr>
              <w:pStyle w:val="35"/>
            </w:pPr>
            <w:r>
              <w:t>0.28</w:t>
            </w:r>
          </w:p>
        </w:tc>
      </w:tr>
      <w:bookmarkEnd w:id="183"/>
      <w:bookmarkEnd w:id="184"/>
    </w:tbl>
    <w:p>
      <w:pPr>
        <w:pStyle w:val="31"/>
      </w:pPr>
      <w:bookmarkStart w:id="186" w:name="_Toc33898212"/>
      <w:bookmarkStart w:id="187" w:name="_Toc67855452"/>
      <w:bookmarkStart w:id="188" w:name="_Toc19375"/>
      <w:bookmarkStart w:id="189" w:name="_Toc470096820"/>
      <w:bookmarkStart w:id="190" w:name="_Toc361924681"/>
      <w:bookmarkStart w:id="191" w:name="_Toc5983"/>
      <w:bookmarkStart w:id="192" w:name="_Toc23124"/>
      <w:bookmarkStart w:id="193" w:name="_Toc468693003"/>
      <w:bookmarkStart w:id="194" w:name="_Toc358498106"/>
      <w:r>
        <w:t>5.4.7  地下水污染模拟预测</w:t>
      </w:r>
      <w:bookmarkEnd w:id="186"/>
      <w:bookmarkEnd w:id="187"/>
      <w:bookmarkEnd w:id="188"/>
      <w:bookmarkEnd w:id="189"/>
      <w:bookmarkEnd w:id="190"/>
      <w:bookmarkEnd w:id="191"/>
      <w:bookmarkEnd w:id="192"/>
      <w:bookmarkEnd w:id="193"/>
      <w:bookmarkEnd w:id="194"/>
    </w:p>
    <w:p>
      <w:pPr>
        <w:pStyle w:val="27"/>
        <w:ind w:firstLine="560"/>
      </w:pPr>
      <w:r>
        <w:t>本次工作已用GMS 10.1中Modflow模块建立了水流模型，在此基础上，可利用GMS 10.1中的MT3DMS模块进一步来模拟预测地下水中污染质的运移情况。</w:t>
      </w:r>
    </w:p>
    <w:p>
      <w:pPr>
        <w:pStyle w:val="27"/>
        <w:ind w:firstLine="560"/>
      </w:pPr>
      <w:r>
        <w:t>本次地下水污染模拟过程未考虑污染物在含水层中的吸附、挥发、生物化学反应，模型中各项参数予以保守性考虑。这样选择的理由是：</w:t>
      </w:r>
    </w:p>
    <w:p>
      <w:pPr>
        <w:pStyle w:val="27"/>
        <w:ind w:firstLine="560"/>
      </w:pPr>
      <w:r>
        <w:t>①从保守性角度考虑，假设污染质在运移中不与含水层介质发生反应，可以被认为是保守型污染质，只按保守型污染质来计算，即只考虑运移过程中的对流、弥散作用。</w:t>
      </w:r>
    </w:p>
    <w:p>
      <w:pPr>
        <w:pStyle w:val="27"/>
        <w:ind w:firstLine="560"/>
      </w:pPr>
      <w:r>
        <w:t>②有机污染物在地下水中的运移非常复杂，影响因素除对流、弥散作用以外，还存在物理、化学、微生物等作用，这些作用常常会使污染质浓度衰减。目前国际上对这些作用参数的准确获取还存在着困难。</w:t>
      </w:r>
    </w:p>
    <w:p>
      <w:pPr>
        <w:pStyle w:val="27"/>
        <w:ind w:firstLine="560"/>
      </w:pPr>
      <w:r>
        <w:t>③在国际上有很多用保守型污染物作为模拟因子的环境质量评价的成功实例，保守型考虑符合工程设计的思想。</w:t>
      </w:r>
    </w:p>
    <w:p>
      <w:pPr>
        <w:pStyle w:val="33"/>
      </w:pPr>
      <w:bookmarkStart w:id="195" w:name="_Toc361924682"/>
      <w:r>
        <w:t>5.4.7.1 溶质运移数学模型</w:t>
      </w:r>
      <w:bookmarkEnd w:id="195"/>
    </w:p>
    <w:p>
      <w:pPr>
        <w:pStyle w:val="27"/>
        <w:ind w:firstLine="560"/>
      </w:pPr>
      <w:r>
        <w:t>地下水中溶质运移的数学模型可表示为：</w:t>
      </w:r>
    </w:p>
    <w:p>
      <w:pPr>
        <w:ind w:firstLine="480"/>
        <w:jc w:val="center"/>
      </w:pPr>
      <w:r>
        <w:drawing>
          <wp:inline distT="0" distB="0" distL="114300" distR="114300">
            <wp:extent cx="2581275" cy="1057275"/>
            <wp:effectExtent l="0" t="0" r="0" b="8890"/>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88"/>
                    <a:stretch>
                      <a:fillRect/>
                    </a:stretch>
                  </pic:blipFill>
                  <pic:spPr>
                    <a:xfrm>
                      <a:off x="0" y="0"/>
                      <a:ext cx="2581275" cy="1057275"/>
                    </a:xfrm>
                    <a:prstGeom prst="rect">
                      <a:avLst/>
                    </a:prstGeom>
                    <a:noFill/>
                    <a:ln>
                      <a:noFill/>
                    </a:ln>
                  </pic:spPr>
                </pic:pic>
              </a:graphicData>
            </a:graphic>
          </wp:inline>
        </w:drawing>
      </w:r>
    </w:p>
    <w:p>
      <w:pPr>
        <w:pStyle w:val="27"/>
        <w:ind w:firstLine="560"/>
      </w:pPr>
      <w:r>
        <w:t>式中：</w:t>
      </w:r>
      <w:r>
        <w:drawing>
          <wp:inline distT="0" distB="0" distL="114300" distR="114300">
            <wp:extent cx="133350" cy="161925"/>
            <wp:effectExtent l="0" t="0" r="0" b="8255"/>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89"/>
                    <a:stretch>
                      <a:fillRect/>
                    </a:stretch>
                  </pic:blipFill>
                  <pic:spPr>
                    <a:xfrm>
                      <a:off x="0" y="0"/>
                      <a:ext cx="133350" cy="161925"/>
                    </a:xfrm>
                    <a:prstGeom prst="rect">
                      <a:avLst/>
                    </a:prstGeom>
                    <a:noFill/>
                    <a:ln>
                      <a:noFill/>
                    </a:ln>
                  </pic:spPr>
                </pic:pic>
              </a:graphicData>
            </a:graphic>
          </wp:inline>
        </w:drawing>
      </w:r>
      <w:r>
        <w:t>—介质孔隙度，无量纲；</w:t>
      </w:r>
    </w:p>
    <w:p>
      <w:pPr>
        <w:pStyle w:val="27"/>
        <w:ind w:firstLine="1400" w:firstLineChars="500"/>
      </w:pPr>
      <w:r>
        <w:t>C—组分的浓度，mg/L；</w:t>
      </w:r>
    </w:p>
    <w:p>
      <w:pPr>
        <w:pStyle w:val="27"/>
        <w:ind w:firstLine="1400" w:firstLineChars="500"/>
      </w:pPr>
      <w:r>
        <w:t>t —时间，d；</w:t>
      </w:r>
    </w:p>
    <w:p>
      <w:pPr>
        <w:pStyle w:val="27"/>
        <w:ind w:firstLine="1400" w:firstLineChars="500"/>
      </w:pPr>
      <w:r>
        <w:t>x，y，z—空间位置坐标，m；</w:t>
      </w:r>
    </w:p>
    <w:p>
      <w:pPr>
        <w:pStyle w:val="27"/>
        <w:ind w:firstLine="1400" w:firstLineChars="500"/>
      </w:pPr>
      <w:r>
        <w:t>D</w:t>
      </w:r>
      <w:r>
        <w:rPr>
          <w:vertAlign w:val="subscript"/>
        </w:rPr>
        <w:t>ij</w:t>
      </w:r>
      <w:r>
        <w:t>—水动力弥散系数张量，m</w:t>
      </w:r>
      <w:r>
        <w:rPr>
          <w:vertAlign w:val="superscript"/>
        </w:rPr>
        <w:t>2</w:t>
      </w:r>
      <w:r>
        <w:t>/d；</w:t>
      </w:r>
    </w:p>
    <w:p>
      <w:pPr>
        <w:pStyle w:val="27"/>
        <w:ind w:firstLine="1400" w:firstLineChars="500"/>
      </w:pPr>
      <w:r>
        <w:t>V</w:t>
      </w:r>
      <w:r>
        <w:rPr>
          <w:vertAlign w:val="subscript"/>
        </w:rPr>
        <w:t>i</w:t>
      </w:r>
      <w:r>
        <w:t>—地下水渗流速度张量，m/d；</w:t>
      </w:r>
    </w:p>
    <w:p>
      <w:pPr>
        <w:pStyle w:val="27"/>
        <w:ind w:firstLine="1400" w:firstLineChars="500"/>
      </w:pPr>
      <w:r>
        <w:t>q</w:t>
      </w:r>
      <w:r>
        <w:rPr>
          <w:vertAlign w:val="subscript"/>
        </w:rPr>
        <w:t>s</w:t>
      </w:r>
      <w:r>
        <w:t>—水流的源和汇，m</w:t>
      </w:r>
      <w:r>
        <w:rPr>
          <w:vertAlign w:val="superscript"/>
        </w:rPr>
        <w:t>3</w:t>
      </w:r>
      <w:r>
        <w:t>/d；</w:t>
      </w:r>
    </w:p>
    <w:p>
      <w:pPr>
        <w:pStyle w:val="27"/>
        <w:ind w:firstLine="1400" w:firstLineChars="500"/>
      </w:pPr>
      <w:r>
        <w:t>C</w:t>
      </w:r>
      <w:r>
        <w:rPr>
          <w:vertAlign w:val="subscript"/>
        </w:rPr>
        <w:t>s</w:t>
      </w:r>
      <w:r>
        <w:t>—组分的浓度，mg/L。</w:t>
      </w:r>
    </w:p>
    <w:p>
      <w:pPr>
        <w:pStyle w:val="33"/>
      </w:pPr>
      <w:r>
        <w:t>5.4.7.2 弥散度的确定</w:t>
      </w:r>
    </w:p>
    <w:p>
      <w:pPr>
        <w:pStyle w:val="27"/>
        <w:ind w:firstLine="560"/>
      </w:pPr>
      <w:r>
        <w:t>地质介质中溶质运移主要受渗透系数在空间上变化的制约，即地质介质的结构影响。这一空间上变化影响到地下水流速，从而影响到溶质的对流与弥散。通常空隙介质中的弥散度随着溶质运移距离的增加而加大，这种现象称之为水动力弥散尺度效应。其具体表现为：野外弥散试验所求出的弥散度远远大于在实验室所测出的值，相差可达4-5个数量级；即使是同一含水层，溶质运移距离越大，所计算出的弥散度也越大。越来越多的室内外弥散试验不断地证实了空隙介质中水动力弥散尺度效应的存在。</w:t>
      </w:r>
    </w:p>
    <w:p>
      <w:pPr>
        <w:pStyle w:val="27"/>
        <w:ind w:firstLine="560"/>
      </w:pPr>
      <w:r>
        <w:t>据环保部环境工程评估中心在北京组织召开了《环境影响评价技术导则 地下水环境》（HJ610-2016）专家研讨会，与会水文地质专家一致认为弥散试验的结果受试验场地的尺度效应影响明显，其结果应用受到很大的局限性。因此，一般不推荐开展弥散试验工作。</w:t>
      </w:r>
    </w:p>
    <w:p>
      <w:pPr>
        <w:pStyle w:val="27"/>
        <w:ind w:firstLine="560"/>
      </w:pPr>
      <w:r>
        <w:t>许多研究者都曾用类似的图说明水动力弥散的尺度效应。Geihar等（1992）将59个不同现场所获得的弥散度按含水层类型、水力学特征、地下水流动状态、观测网类别、示踪剂类型、数据的获取方法、水质模型的尺度等整理后，对弥散度增大的规律进行了讨论。Neuman（1991）根据前人文献中所记载的130余个纵向弥散度进行了线性回归分析，并综合前人发展的准线性扩散理论，对尺度效应进行了解释与讨论。李国敏等（1995）综合了前人文献中记录的弥散度数值按介质类型（孔隙与非孔隙的裂隙等介质）、模型类别（解析模型与数值模型）等分别作出弥散度与基准尺度的双对数分布，并分别给出了不同介质中使用不同模型所求出参数的分维数。如前述分析，由于水动力弥散尺度效应的存在，难以通过野外或室内弥散试验获得真实的弥散度。因此，由于水动力弥散尺度效应的存在，本次工作参考前人的研究成果，和类似溶质运移模拟的经验，从保守角度考虑，取纵向弥散度为10m，横向弥散度为1.0m。</w:t>
      </w:r>
    </w:p>
    <w:p>
      <w:pPr>
        <w:adjustRightInd w:val="0"/>
        <w:snapToGrid w:val="0"/>
        <w:spacing w:line="240" w:lineRule="atLeast"/>
        <w:jc w:val="center"/>
      </w:pPr>
      <w:r>
        <w:drawing>
          <wp:inline distT="0" distB="0" distL="114300" distR="114300">
            <wp:extent cx="4772025" cy="3057525"/>
            <wp:effectExtent l="0" t="0" r="0" b="0"/>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pic:cNvPicPr>
                      <a:picLocks noChangeAspect="1"/>
                    </pic:cNvPicPr>
                  </pic:nvPicPr>
                  <pic:blipFill>
                    <a:blip r:embed="rId101"/>
                    <a:stretch>
                      <a:fillRect/>
                    </a:stretch>
                  </pic:blipFill>
                  <pic:spPr>
                    <a:xfrm>
                      <a:off x="0" y="0"/>
                      <a:ext cx="4772025" cy="3057525"/>
                    </a:xfrm>
                    <a:prstGeom prst="rect">
                      <a:avLst/>
                    </a:prstGeom>
                    <a:noFill/>
                    <a:ln>
                      <a:noFill/>
                    </a:ln>
                  </pic:spPr>
                </pic:pic>
              </a:graphicData>
            </a:graphic>
          </wp:inline>
        </w:drawing>
      </w:r>
    </w:p>
    <w:p>
      <w:pPr>
        <w:pStyle w:val="58"/>
        <w:adjustRightInd w:val="0"/>
        <w:snapToGrid w:val="0"/>
        <w:spacing w:line="240" w:lineRule="atLeast"/>
      </w:pPr>
      <w:r>
        <w:t>图5.4-</w:t>
      </w:r>
      <w:r>
        <w:rPr>
          <w:rFonts w:hint="eastAsia"/>
        </w:rPr>
        <w:t>21</w:t>
      </w:r>
      <w:r>
        <w:t xml:space="preserve">    孔隙介质2维数值模型的</w:t>
      </w:r>
      <w:r>
        <w:rPr>
          <w:i/>
        </w:rPr>
        <w:t>lga</w:t>
      </w:r>
      <w:r>
        <w:rPr>
          <w:i/>
          <w:vertAlign w:val="subscript"/>
        </w:rPr>
        <w:t>L</w:t>
      </w:r>
      <w:r>
        <w:t>-</w:t>
      </w:r>
      <w:r>
        <w:rPr>
          <w:i/>
        </w:rPr>
        <w:t>lgL</w:t>
      </w:r>
      <w:r>
        <w:rPr>
          <w:vertAlign w:val="subscript"/>
        </w:rPr>
        <w:t>s</w:t>
      </w:r>
      <w:r>
        <w:t>图</w:t>
      </w:r>
    </w:p>
    <w:p>
      <w:pPr>
        <w:pStyle w:val="6"/>
      </w:pPr>
      <w:bookmarkStart w:id="196" w:name="_Toc361924684"/>
      <w:bookmarkStart w:id="197" w:name="_Toc364328710"/>
      <w:r>
        <w:t>5.4.7.3 地下水污染预测情景设定</w:t>
      </w:r>
      <w:bookmarkEnd w:id="196"/>
      <w:bookmarkEnd w:id="197"/>
    </w:p>
    <w:p>
      <w:pPr>
        <w:pStyle w:val="27"/>
        <w:ind w:firstLine="560"/>
      </w:pPr>
      <w:r>
        <w:t>拟建项目主要废水产生及处理情况如下：</w:t>
      </w:r>
    </w:p>
    <w:p>
      <w:pPr>
        <w:pStyle w:val="27"/>
        <w:ind w:firstLine="560"/>
      </w:pPr>
      <w:r>
        <w:t>（1）乙二醇精馏系统产生的闪蒸冷凝液（W</w:t>
      </w:r>
      <w:r>
        <w:rPr>
          <w:vertAlign w:val="subscript"/>
        </w:rPr>
        <w:t>1</w:t>
      </w:r>
      <w:r>
        <w:t>）、脱轻塔塔顶产生的冷凝废水（W</w:t>
      </w:r>
      <w:r>
        <w:rPr>
          <w:vertAlign w:val="subscript"/>
        </w:rPr>
        <w:t>2</w:t>
      </w:r>
      <w:r>
        <w:t>）均为含醇废水，送项目尾气洗涤塔利用；</w:t>
      </w:r>
    </w:p>
    <w:p>
      <w:pPr>
        <w:pStyle w:val="27"/>
        <w:ind w:firstLine="560"/>
      </w:pPr>
      <w:r>
        <w:t>（2）尾气洗涤塔外排水（W</w:t>
      </w:r>
      <w:r>
        <w:rPr>
          <w:vertAlign w:val="subscript"/>
        </w:rPr>
        <w:t>3</w:t>
      </w:r>
      <w:r>
        <w:t>）、真空系统废水（W</w:t>
      </w:r>
      <w:r>
        <w:rPr>
          <w:vertAlign w:val="subscript"/>
        </w:rPr>
        <w:t>4</w:t>
      </w:r>
      <w:r>
        <w:t>）、地面冲洗废水（W7）送厂区现有污水处理站处理；</w:t>
      </w:r>
    </w:p>
    <w:p>
      <w:pPr>
        <w:pStyle w:val="27"/>
        <w:ind w:firstLine="560"/>
      </w:pPr>
      <w:r>
        <w:t>（3）本工程新增的循环冷却外排水（W</w:t>
      </w:r>
      <w:r>
        <w:rPr>
          <w:vertAlign w:val="subscript"/>
        </w:rPr>
        <w:t>5</w:t>
      </w:r>
      <w:r>
        <w:t>）和脱盐水站排污水（W</w:t>
      </w:r>
      <w:r>
        <w:rPr>
          <w:vertAlign w:val="subscript"/>
        </w:rPr>
        <w:t>6</w:t>
      </w:r>
      <w:r>
        <w:t>）均属清净下水，直接排入濮阳市第二污水处理厂处理。</w:t>
      </w:r>
    </w:p>
    <w:p>
      <w:pPr>
        <w:pStyle w:val="27"/>
        <w:ind w:firstLine="560"/>
      </w:pPr>
      <w:r>
        <w:t>各外排废水产生量、水质及处理设施见下表。</w:t>
      </w:r>
    </w:p>
    <w:p>
      <w:pPr>
        <w:pStyle w:val="32"/>
        <w:ind w:right="240"/>
      </w:pPr>
      <w:r>
        <w:t>表5.4-</w:t>
      </w:r>
      <w:r>
        <w:rPr>
          <w:rFonts w:hint="eastAsia"/>
        </w:rPr>
        <w:t>7</w:t>
      </w:r>
      <w:r>
        <w:t xml:space="preserve">                 废水产排情况一览表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13"/>
        <w:gridCol w:w="1184"/>
        <w:gridCol w:w="1111"/>
        <w:gridCol w:w="1164"/>
        <w:gridCol w:w="1043"/>
        <w:gridCol w:w="969"/>
        <w:gridCol w:w="779"/>
        <w:gridCol w:w="205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Merge w:val="restart"/>
            <w:vAlign w:val="center"/>
          </w:tcPr>
          <w:p>
            <w:pPr>
              <w:pStyle w:val="35"/>
              <w:rPr>
                <w:b/>
                <w:bCs/>
              </w:rPr>
            </w:pPr>
            <w:r>
              <w:rPr>
                <w:b/>
                <w:bCs/>
              </w:rPr>
              <w:t>序号</w:t>
            </w:r>
          </w:p>
        </w:tc>
        <w:tc>
          <w:tcPr>
            <w:tcW w:w="656" w:type="pct"/>
            <w:vMerge w:val="restart"/>
            <w:vAlign w:val="center"/>
          </w:tcPr>
          <w:p>
            <w:pPr>
              <w:pStyle w:val="35"/>
              <w:rPr>
                <w:b/>
                <w:bCs/>
              </w:rPr>
            </w:pPr>
            <w:r>
              <w:rPr>
                <w:b/>
                <w:bCs/>
              </w:rPr>
              <w:t>废水(液)</w:t>
            </w:r>
          </w:p>
          <w:p>
            <w:pPr>
              <w:pStyle w:val="35"/>
              <w:rPr>
                <w:b/>
                <w:bCs/>
              </w:rPr>
            </w:pPr>
            <w:r>
              <w:rPr>
                <w:b/>
                <w:bCs/>
              </w:rPr>
              <w:t>名称</w:t>
            </w:r>
          </w:p>
        </w:tc>
        <w:tc>
          <w:tcPr>
            <w:tcW w:w="616" w:type="pct"/>
            <w:vMerge w:val="restart"/>
            <w:vAlign w:val="center"/>
          </w:tcPr>
          <w:p>
            <w:pPr>
              <w:pStyle w:val="35"/>
              <w:rPr>
                <w:b/>
                <w:bCs/>
              </w:rPr>
            </w:pPr>
            <w:r>
              <w:rPr>
                <w:b/>
                <w:bCs/>
              </w:rPr>
              <w:t>废水量</w:t>
            </w:r>
          </w:p>
          <w:p>
            <w:pPr>
              <w:pStyle w:val="35"/>
              <w:rPr>
                <w:b/>
                <w:bCs/>
              </w:rPr>
            </w:pPr>
            <w:r>
              <w:rPr>
                <w:b/>
                <w:bCs/>
              </w:rPr>
              <w:t>(m</w:t>
            </w:r>
            <w:r>
              <w:rPr>
                <w:b/>
                <w:bCs/>
                <w:vertAlign w:val="superscript"/>
              </w:rPr>
              <w:t>3</w:t>
            </w:r>
            <w:r>
              <w:rPr>
                <w:b/>
                <w:bCs/>
              </w:rPr>
              <w:t>/h)</w:t>
            </w:r>
          </w:p>
        </w:tc>
        <w:tc>
          <w:tcPr>
            <w:tcW w:w="1223" w:type="pct"/>
            <w:gridSpan w:val="2"/>
            <w:vAlign w:val="center"/>
          </w:tcPr>
          <w:p>
            <w:pPr>
              <w:pStyle w:val="35"/>
              <w:rPr>
                <w:b/>
                <w:bCs/>
              </w:rPr>
            </w:pPr>
            <w:r>
              <w:rPr>
                <w:b/>
                <w:bCs/>
              </w:rPr>
              <w:t>组成特征</w:t>
            </w:r>
          </w:p>
        </w:tc>
        <w:tc>
          <w:tcPr>
            <w:tcW w:w="969" w:type="pct"/>
            <w:gridSpan w:val="2"/>
            <w:vAlign w:val="center"/>
          </w:tcPr>
          <w:p>
            <w:pPr>
              <w:pStyle w:val="35"/>
              <w:rPr>
                <w:b/>
                <w:bCs/>
              </w:rPr>
            </w:pPr>
            <w:r>
              <w:rPr>
                <w:b/>
                <w:bCs/>
              </w:rPr>
              <w:t>排放特性</w:t>
            </w:r>
          </w:p>
        </w:tc>
        <w:tc>
          <w:tcPr>
            <w:tcW w:w="1137" w:type="pct"/>
            <w:vMerge w:val="restart"/>
            <w:vAlign w:val="center"/>
          </w:tcPr>
          <w:p>
            <w:pPr>
              <w:pStyle w:val="35"/>
              <w:rPr>
                <w:b/>
                <w:bCs/>
              </w:rPr>
            </w:pPr>
            <w:r>
              <w:rPr>
                <w:b/>
                <w:bCs/>
              </w:rPr>
              <w:t>排放方式及去向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Merge w:val="continue"/>
            <w:vAlign w:val="center"/>
          </w:tcPr>
          <w:p>
            <w:pPr>
              <w:pStyle w:val="35"/>
              <w:rPr>
                <w:b/>
                <w:bCs/>
              </w:rPr>
            </w:pPr>
          </w:p>
        </w:tc>
        <w:tc>
          <w:tcPr>
            <w:tcW w:w="656" w:type="pct"/>
            <w:vMerge w:val="continue"/>
            <w:vAlign w:val="center"/>
          </w:tcPr>
          <w:p>
            <w:pPr>
              <w:pStyle w:val="35"/>
              <w:rPr>
                <w:b/>
                <w:bCs/>
              </w:rPr>
            </w:pPr>
          </w:p>
        </w:tc>
        <w:tc>
          <w:tcPr>
            <w:tcW w:w="616" w:type="pct"/>
            <w:vMerge w:val="continue"/>
            <w:vAlign w:val="center"/>
          </w:tcPr>
          <w:p>
            <w:pPr>
              <w:pStyle w:val="35"/>
              <w:rPr>
                <w:b/>
                <w:bCs/>
              </w:rPr>
            </w:pPr>
          </w:p>
        </w:tc>
        <w:tc>
          <w:tcPr>
            <w:tcW w:w="645" w:type="pct"/>
            <w:vAlign w:val="center"/>
          </w:tcPr>
          <w:p>
            <w:pPr>
              <w:pStyle w:val="35"/>
              <w:rPr>
                <w:b/>
                <w:bCs/>
              </w:rPr>
            </w:pPr>
            <w:r>
              <w:rPr>
                <w:b/>
                <w:bCs/>
              </w:rPr>
              <w:t>因子</w:t>
            </w:r>
          </w:p>
        </w:tc>
        <w:tc>
          <w:tcPr>
            <w:tcW w:w="578" w:type="pct"/>
            <w:vAlign w:val="center"/>
          </w:tcPr>
          <w:p>
            <w:pPr>
              <w:pStyle w:val="35"/>
              <w:rPr>
                <w:b/>
                <w:bCs/>
              </w:rPr>
            </w:pPr>
            <w:r>
              <w:rPr>
                <w:b/>
                <w:bCs/>
              </w:rPr>
              <w:t>产生</w:t>
            </w:r>
          </w:p>
          <w:p>
            <w:pPr>
              <w:pStyle w:val="35"/>
              <w:rPr>
                <w:b/>
                <w:bCs/>
              </w:rPr>
            </w:pPr>
            <w:r>
              <w:rPr>
                <w:b/>
                <w:bCs/>
              </w:rPr>
              <w:t>浓度</w:t>
            </w:r>
          </w:p>
          <w:p>
            <w:pPr>
              <w:pStyle w:val="35"/>
              <w:rPr>
                <w:b/>
                <w:bCs/>
              </w:rPr>
            </w:pPr>
            <w:r>
              <w:rPr>
                <w:b/>
                <w:bCs/>
              </w:rPr>
              <w:t>（mg/L）</w:t>
            </w:r>
          </w:p>
        </w:tc>
        <w:tc>
          <w:tcPr>
            <w:tcW w:w="537" w:type="pct"/>
            <w:vAlign w:val="center"/>
          </w:tcPr>
          <w:p>
            <w:pPr>
              <w:pStyle w:val="35"/>
              <w:rPr>
                <w:b/>
                <w:bCs/>
              </w:rPr>
            </w:pPr>
            <w:r>
              <w:rPr>
                <w:b/>
                <w:bCs/>
              </w:rPr>
              <w:t>温度</w:t>
            </w:r>
          </w:p>
          <w:p>
            <w:pPr>
              <w:pStyle w:val="35"/>
              <w:rPr>
                <w:b/>
                <w:bCs/>
              </w:rPr>
            </w:pPr>
            <w:r>
              <w:rPr>
                <w:b/>
                <w:bCs/>
              </w:rPr>
              <w:t>(℃)</w:t>
            </w:r>
          </w:p>
        </w:tc>
        <w:tc>
          <w:tcPr>
            <w:tcW w:w="432" w:type="pct"/>
            <w:vAlign w:val="center"/>
          </w:tcPr>
          <w:p>
            <w:pPr>
              <w:pStyle w:val="35"/>
              <w:rPr>
                <w:b/>
                <w:bCs/>
              </w:rPr>
            </w:pPr>
            <w:r>
              <w:rPr>
                <w:b/>
                <w:bCs/>
              </w:rPr>
              <w:t>规律</w:t>
            </w:r>
          </w:p>
        </w:tc>
        <w:tc>
          <w:tcPr>
            <w:tcW w:w="1137" w:type="pct"/>
            <w:vMerge w:val="continue"/>
            <w:vAlign w:val="center"/>
          </w:tcPr>
          <w:p>
            <w:pPr>
              <w:pStyle w:val="35"/>
              <w:rPr>
                <w:b/>
                <w:bCs/>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Align w:val="center"/>
          </w:tcPr>
          <w:p>
            <w:pPr>
              <w:pStyle w:val="35"/>
            </w:pPr>
            <w:r>
              <w:t>W</w:t>
            </w:r>
            <w:r>
              <w:rPr>
                <w:vertAlign w:val="subscript"/>
              </w:rPr>
              <w:t>3</w:t>
            </w:r>
          </w:p>
        </w:tc>
        <w:tc>
          <w:tcPr>
            <w:tcW w:w="656" w:type="pct"/>
            <w:vAlign w:val="center"/>
          </w:tcPr>
          <w:p>
            <w:pPr>
              <w:pStyle w:val="35"/>
            </w:pPr>
            <w:r>
              <w:t>尾气洗涤塔外排水</w:t>
            </w:r>
          </w:p>
        </w:tc>
        <w:tc>
          <w:tcPr>
            <w:tcW w:w="616" w:type="pct"/>
            <w:vAlign w:val="center"/>
          </w:tcPr>
          <w:p>
            <w:pPr>
              <w:pStyle w:val="35"/>
            </w:pPr>
            <w:r>
              <w:t>0.47</w:t>
            </w:r>
          </w:p>
        </w:tc>
        <w:tc>
          <w:tcPr>
            <w:tcW w:w="645" w:type="pct"/>
            <w:vAlign w:val="center"/>
          </w:tcPr>
          <w:p>
            <w:pPr>
              <w:pStyle w:val="35"/>
            </w:pPr>
            <w:r>
              <w:t>COD</w:t>
            </w:r>
          </w:p>
          <w:p>
            <w:pPr>
              <w:pStyle w:val="35"/>
            </w:pPr>
            <w:r>
              <w:t>BOD</w:t>
            </w:r>
            <w:r>
              <w:rPr>
                <w:vertAlign w:val="subscript"/>
              </w:rPr>
              <w:t>5</w:t>
            </w:r>
          </w:p>
          <w:p>
            <w:pPr>
              <w:pStyle w:val="35"/>
            </w:pPr>
            <w:r>
              <w:t>SS</w:t>
            </w:r>
          </w:p>
          <w:p>
            <w:pPr>
              <w:pStyle w:val="35"/>
            </w:pPr>
            <w:r>
              <w:t>NH</w:t>
            </w:r>
            <w:r>
              <w:rPr>
                <w:vertAlign w:val="subscript"/>
              </w:rPr>
              <w:t>3</w:t>
            </w:r>
            <w:r>
              <w:t>-N</w:t>
            </w:r>
          </w:p>
        </w:tc>
        <w:tc>
          <w:tcPr>
            <w:tcW w:w="578" w:type="pct"/>
            <w:vAlign w:val="center"/>
          </w:tcPr>
          <w:p>
            <w:pPr>
              <w:pStyle w:val="35"/>
            </w:pPr>
            <w:r>
              <w:t>12000</w:t>
            </w:r>
          </w:p>
          <w:p>
            <w:pPr>
              <w:pStyle w:val="35"/>
            </w:pPr>
            <w:r>
              <w:t>5500</w:t>
            </w:r>
          </w:p>
          <w:p>
            <w:pPr>
              <w:pStyle w:val="35"/>
            </w:pPr>
            <w:r>
              <w:t>150</w:t>
            </w:r>
          </w:p>
          <w:p>
            <w:pPr>
              <w:pStyle w:val="35"/>
            </w:pPr>
            <w:r>
              <w:t>5</w:t>
            </w:r>
          </w:p>
        </w:tc>
        <w:tc>
          <w:tcPr>
            <w:tcW w:w="537" w:type="pct"/>
            <w:vAlign w:val="center"/>
          </w:tcPr>
          <w:p>
            <w:pPr>
              <w:pStyle w:val="35"/>
            </w:pPr>
            <w:r>
              <w:t>常温</w:t>
            </w:r>
          </w:p>
        </w:tc>
        <w:tc>
          <w:tcPr>
            <w:tcW w:w="432" w:type="pct"/>
            <w:vAlign w:val="center"/>
          </w:tcPr>
          <w:p>
            <w:pPr>
              <w:pStyle w:val="35"/>
            </w:pPr>
            <w:r>
              <w:t>连续</w:t>
            </w:r>
          </w:p>
        </w:tc>
        <w:tc>
          <w:tcPr>
            <w:tcW w:w="1137" w:type="pct"/>
            <w:vMerge w:val="restart"/>
            <w:vAlign w:val="center"/>
          </w:tcPr>
          <w:p>
            <w:pPr>
              <w:pStyle w:val="35"/>
            </w:pPr>
            <w:r>
              <w:t>废水排入厂区现有30万吨甲醇项目污水处理站处理，处理达标后排入濮阳市第二污水处理厂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Align w:val="center"/>
          </w:tcPr>
          <w:p>
            <w:pPr>
              <w:pStyle w:val="35"/>
            </w:pPr>
            <w:r>
              <w:t>W</w:t>
            </w:r>
            <w:r>
              <w:rPr>
                <w:vertAlign w:val="subscript"/>
              </w:rPr>
              <w:t>4</w:t>
            </w:r>
          </w:p>
        </w:tc>
        <w:tc>
          <w:tcPr>
            <w:tcW w:w="656" w:type="pct"/>
            <w:vAlign w:val="center"/>
          </w:tcPr>
          <w:p>
            <w:pPr>
              <w:pStyle w:val="35"/>
            </w:pPr>
            <w:r>
              <w:t>真空系统废水</w:t>
            </w:r>
          </w:p>
        </w:tc>
        <w:tc>
          <w:tcPr>
            <w:tcW w:w="616" w:type="pct"/>
            <w:vAlign w:val="center"/>
          </w:tcPr>
          <w:p>
            <w:pPr>
              <w:pStyle w:val="35"/>
            </w:pPr>
            <w:r>
              <w:t>0.5</w:t>
            </w:r>
          </w:p>
        </w:tc>
        <w:tc>
          <w:tcPr>
            <w:tcW w:w="645" w:type="pct"/>
            <w:vAlign w:val="center"/>
          </w:tcPr>
          <w:p>
            <w:pPr>
              <w:pStyle w:val="35"/>
            </w:pPr>
            <w:r>
              <w:t>COD</w:t>
            </w:r>
          </w:p>
          <w:p>
            <w:pPr>
              <w:pStyle w:val="35"/>
            </w:pPr>
            <w:r>
              <w:t>BOD</w:t>
            </w:r>
            <w:r>
              <w:rPr>
                <w:vertAlign w:val="subscript"/>
              </w:rPr>
              <w:t>5</w:t>
            </w:r>
          </w:p>
          <w:p>
            <w:pPr>
              <w:pStyle w:val="35"/>
            </w:pPr>
            <w:r>
              <w:t>SS</w:t>
            </w:r>
          </w:p>
          <w:p>
            <w:pPr>
              <w:pStyle w:val="35"/>
            </w:pPr>
            <w:r>
              <w:t>NH</w:t>
            </w:r>
            <w:r>
              <w:rPr>
                <w:vertAlign w:val="subscript"/>
              </w:rPr>
              <w:t>3</w:t>
            </w:r>
            <w:r>
              <w:t>-N</w:t>
            </w:r>
          </w:p>
        </w:tc>
        <w:tc>
          <w:tcPr>
            <w:tcW w:w="578" w:type="pct"/>
            <w:vAlign w:val="center"/>
          </w:tcPr>
          <w:p>
            <w:pPr>
              <w:pStyle w:val="35"/>
            </w:pPr>
            <w:r>
              <w:t>4000</w:t>
            </w:r>
          </w:p>
          <w:p>
            <w:pPr>
              <w:pStyle w:val="35"/>
            </w:pPr>
            <w:r>
              <w:t>1800</w:t>
            </w:r>
          </w:p>
          <w:p>
            <w:pPr>
              <w:pStyle w:val="35"/>
            </w:pPr>
            <w:r>
              <w:t>150</w:t>
            </w:r>
          </w:p>
          <w:p>
            <w:pPr>
              <w:pStyle w:val="35"/>
            </w:pPr>
            <w:r>
              <w:t>5</w:t>
            </w:r>
          </w:p>
        </w:tc>
        <w:tc>
          <w:tcPr>
            <w:tcW w:w="537" w:type="pct"/>
            <w:vAlign w:val="center"/>
          </w:tcPr>
          <w:p>
            <w:pPr>
              <w:pStyle w:val="35"/>
            </w:pPr>
            <w:r>
              <w:t>常温</w:t>
            </w:r>
          </w:p>
        </w:tc>
        <w:tc>
          <w:tcPr>
            <w:tcW w:w="432" w:type="pct"/>
            <w:vAlign w:val="center"/>
          </w:tcPr>
          <w:p>
            <w:pPr>
              <w:pStyle w:val="35"/>
            </w:pPr>
            <w:r>
              <w:t>连续</w:t>
            </w:r>
          </w:p>
        </w:tc>
        <w:tc>
          <w:tcPr>
            <w:tcW w:w="1137" w:type="pct"/>
            <w:vMerge w:val="continue"/>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Align w:val="center"/>
          </w:tcPr>
          <w:p>
            <w:pPr>
              <w:pStyle w:val="35"/>
            </w:pPr>
            <w:r>
              <w:t>W</w:t>
            </w:r>
            <w:r>
              <w:rPr>
                <w:vertAlign w:val="subscript"/>
              </w:rPr>
              <w:t>7</w:t>
            </w:r>
          </w:p>
        </w:tc>
        <w:tc>
          <w:tcPr>
            <w:tcW w:w="656" w:type="pct"/>
            <w:vAlign w:val="center"/>
          </w:tcPr>
          <w:p>
            <w:pPr>
              <w:pStyle w:val="35"/>
            </w:pPr>
            <w:r>
              <w:t>地面冲洗废水</w:t>
            </w:r>
          </w:p>
        </w:tc>
        <w:tc>
          <w:tcPr>
            <w:tcW w:w="616" w:type="pct"/>
            <w:vAlign w:val="center"/>
          </w:tcPr>
          <w:p>
            <w:pPr>
              <w:pStyle w:val="35"/>
            </w:pPr>
            <w:r>
              <w:t>0.25</w:t>
            </w:r>
          </w:p>
        </w:tc>
        <w:tc>
          <w:tcPr>
            <w:tcW w:w="645" w:type="pct"/>
            <w:vAlign w:val="center"/>
          </w:tcPr>
          <w:p>
            <w:pPr>
              <w:pStyle w:val="35"/>
            </w:pPr>
            <w:r>
              <w:t>COD</w:t>
            </w:r>
          </w:p>
          <w:p>
            <w:pPr>
              <w:pStyle w:val="35"/>
            </w:pPr>
            <w:r>
              <w:t>BOD</w:t>
            </w:r>
            <w:r>
              <w:rPr>
                <w:vertAlign w:val="subscript"/>
              </w:rPr>
              <w:t>5</w:t>
            </w:r>
          </w:p>
          <w:p>
            <w:pPr>
              <w:pStyle w:val="35"/>
            </w:pPr>
            <w:r>
              <w:t>SS</w:t>
            </w:r>
          </w:p>
          <w:p>
            <w:pPr>
              <w:pStyle w:val="35"/>
            </w:pPr>
            <w:r>
              <w:t>NH</w:t>
            </w:r>
            <w:r>
              <w:rPr>
                <w:vertAlign w:val="subscript"/>
              </w:rPr>
              <w:t>3</w:t>
            </w:r>
            <w:r>
              <w:t>-N</w:t>
            </w:r>
          </w:p>
        </w:tc>
        <w:tc>
          <w:tcPr>
            <w:tcW w:w="578" w:type="pct"/>
            <w:vAlign w:val="center"/>
          </w:tcPr>
          <w:p>
            <w:pPr>
              <w:pStyle w:val="35"/>
            </w:pPr>
            <w:r>
              <w:t>600</w:t>
            </w:r>
          </w:p>
          <w:p>
            <w:pPr>
              <w:pStyle w:val="35"/>
            </w:pPr>
            <w:r>
              <w:t>200</w:t>
            </w:r>
          </w:p>
          <w:p>
            <w:pPr>
              <w:pStyle w:val="35"/>
            </w:pPr>
            <w:r>
              <w:t>200</w:t>
            </w:r>
          </w:p>
          <w:p>
            <w:pPr>
              <w:pStyle w:val="35"/>
            </w:pPr>
            <w:r>
              <w:t>5</w:t>
            </w:r>
          </w:p>
        </w:tc>
        <w:tc>
          <w:tcPr>
            <w:tcW w:w="537" w:type="pct"/>
            <w:vAlign w:val="center"/>
          </w:tcPr>
          <w:p>
            <w:pPr>
              <w:pStyle w:val="35"/>
            </w:pPr>
            <w:r>
              <w:t>常温</w:t>
            </w:r>
          </w:p>
        </w:tc>
        <w:tc>
          <w:tcPr>
            <w:tcW w:w="432" w:type="pct"/>
            <w:vAlign w:val="center"/>
          </w:tcPr>
          <w:p>
            <w:pPr>
              <w:pStyle w:val="35"/>
            </w:pPr>
            <w:r>
              <w:t>间歇</w:t>
            </w:r>
          </w:p>
        </w:tc>
        <w:tc>
          <w:tcPr>
            <w:tcW w:w="1137" w:type="pct"/>
            <w:vMerge w:val="continue"/>
            <w:vAlign w:val="center"/>
          </w:tcPr>
          <w:p>
            <w:pPr>
              <w:pStyle w:val="35"/>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Align w:val="center"/>
          </w:tcPr>
          <w:p>
            <w:pPr>
              <w:pStyle w:val="35"/>
            </w:pPr>
            <w:r>
              <w:t>W</w:t>
            </w:r>
            <w:r>
              <w:rPr>
                <w:vertAlign w:val="subscript"/>
              </w:rPr>
              <w:t>5</w:t>
            </w:r>
          </w:p>
        </w:tc>
        <w:tc>
          <w:tcPr>
            <w:tcW w:w="656" w:type="pct"/>
            <w:vAlign w:val="center"/>
          </w:tcPr>
          <w:p>
            <w:pPr>
              <w:pStyle w:val="35"/>
            </w:pPr>
            <w:r>
              <w:t>循环冷却排污水</w:t>
            </w:r>
          </w:p>
        </w:tc>
        <w:tc>
          <w:tcPr>
            <w:tcW w:w="616" w:type="pct"/>
            <w:vAlign w:val="center"/>
          </w:tcPr>
          <w:p>
            <w:pPr>
              <w:pStyle w:val="35"/>
            </w:pPr>
            <w:r>
              <w:t>1.3</w:t>
            </w:r>
          </w:p>
        </w:tc>
        <w:tc>
          <w:tcPr>
            <w:tcW w:w="645" w:type="pct"/>
            <w:vAlign w:val="center"/>
          </w:tcPr>
          <w:p>
            <w:pPr>
              <w:pStyle w:val="35"/>
            </w:pPr>
            <w:r>
              <w:t>COD</w:t>
            </w:r>
          </w:p>
          <w:p>
            <w:pPr>
              <w:pStyle w:val="35"/>
            </w:pPr>
            <w:r>
              <w:t>BOD</w:t>
            </w:r>
            <w:r>
              <w:rPr>
                <w:vertAlign w:val="subscript"/>
              </w:rPr>
              <w:t>5</w:t>
            </w:r>
          </w:p>
          <w:p>
            <w:pPr>
              <w:pStyle w:val="35"/>
            </w:pPr>
            <w:r>
              <w:t>SS</w:t>
            </w:r>
          </w:p>
          <w:p>
            <w:pPr>
              <w:pStyle w:val="35"/>
            </w:pPr>
            <w:r>
              <w:t>NH</w:t>
            </w:r>
            <w:r>
              <w:rPr>
                <w:vertAlign w:val="subscript"/>
              </w:rPr>
              <w:t>3</w:t>
            </w:r>
            <w:r>
              <w:t>-N</w:t>
            </w:r>
          </w:p>
        </w:tc>
        <w:tc>
          <w:tcPr>
            <w:tcW w:w="578" w:type="pct"/>
            <w:vAlign w:val="center"/>
          </w:tcPr>
          <w:p>
            <w:pPr>
              <w:pStyle w:val="35"/>
            </w:pPr>
            <w:r>
              <w:t>45</w:t>
            </w:r>
          </w:p>
          <w:p>
            <w:pPr>
              <w:pStyle w:val="35"/>
            </w:pPr>
            <w:r>
              <w:t>10</w:t>
            </w:r>
          </w:p>
          <w:p>
            <w:pPr>
              <w:pStyle w:val="35"/>
            </w:pPr>
            <w:r>
              <w:t>50</w:t>
            </w:r>
          </w:p>
          <w:p>
            <w:pPr>
              <w:pStyle w:val="35"/>
            </w:pPr>
            <w:r>
              <w:t>2</w:t>
            </w:r>
          </w:p>
        </w:tc>
        <w:tc>
          <w:tcPr>
            <w:tcW w:w="537" w:type="pct"/>
            <w:vAlign w:val="center"/>
          </w:tcPr>
          <w:p>
            <w:pPr>
              <w:pStyle w:val="35"/>
            </w:pPr>
            <w:r>
              <w:t>常温</w:t>
            </w:r>
          </w:p>
        </w:tc>
        <w:tc>
          <w:tcPr>
            <w:tcW w:w="432" w:type="pct"/>
            <w:vAlign w:val="center"/>
          </w:tcPr>
          <w:p>
            <w:pPr>
              <w:pStyle w:val="35"/>
            </w:pPr>
            <w:r>
              <w:t>连续</w:t>
            </w:r>
          </w:p>
        </w:tc>
        <w:tc>
          <w:tcPr>
            <w:tcW w:w="1137" w:type="pct"/>
            <w:vMerge w:val="restart"/>
            <w:vAlign w:val="center"/>
          </w:tcPr>
          <w:p>
            <w:pPr>
              <w:pStyle w:val="35"/>
            </w:pPr>
            <w:r>
              <w:t>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jc w:val="center"/>
        </w:trPr>
        <w:tc>
          <w:tcPr>
            <w:tcW w:w="395" w:type="pct"/>
            <w:vAlign w:val="center"/>
          </w:tcPr>
          <w:p>
            <w:pPr>
              <w:pStyle w:val="35"/>
            </w:pPr>
            <w:r>
              <w:t>W</w:t>
            </w:r>
            <w:r>
              <w:rPr>
                <w:vertAlign w:val="subscript"/>
              </w:rPr>
              <w:t>6</w:t>
            </w:r>
          </w:p>
        </w:tc>
        <w:tc>
          <w:tcPr>
            <w:tcW w:w="656" w:type="pct"/>
            <w:vAlign w:val="center"/>
          </w:tcPr>
          <w:p>
            <w:pPr>
              <w:pStyle w:val="35"/>
            </w:pPr>
            <w:r>
              <w:t>脱盐水站排水</w:t>
            </w:r>
          </w:p>
        </w:tc>
        <w:tc>
          <w:tcPr>
            <w:tcW w:w="616" w:type="pct"/>
            <w:vAlign w:val="center"/>
          </w:tcPr>
          <w:p>
            <w:pPr>
              <w:pStyle w:val="35"/>
            </w:pPr>
            <w:r>
              <w:t>0.24</w:t>
            </w:r>
          </w:p>
        </w:tc>
        <w:tc>
          <w:tcPr>
            <w:tcW w:w="645" w:type="pct"/>
            <w:vAlign w:val="center"/>
          </w:tcPr>
          <w:p>
            <w:pPr>
              <w:pStyle w:val="35"/>
            </w:pPr>
            <w:r>
              <w:t>COD</w:t>
            </w:r>
          </w:p>
          <w:p>
            <w:pPr>
              <w:pStyle w:val="35"/>
            </w:pPr>
            <w:r>
              <w:t>BOD</w:t>
            </w:r>
            <w:r>
              <w:rPr>
                <w:vertAlign w:val="subscript"/>
              </w:rPr>
              <w:t>5</w:t>
            </w:r>
          </w:p>
          <w:p>
            <w:pPr>
              <w:pStyle w:val="35"/>
            </w:pPr>
            <w:r>
              <w:t>SS</w:t>
            </w:r>
          </w:p>
          <w:p>
            <w:pPr>
              <w:pStyle w:val="35"/>
            </w:pPr>
            <w:r>
              <w:t>NH</w:t>
            </w:r>
            <w:r>
              <w:rPr>
                <w:vertAlign w:val="subscript"/>
              </w:rPr>
              <w:t>3</w:t>
            </w:r>
            <w:r>
              <w:t>-N</w:t>
            </w:r>
          </w:p>
        </w:tc>
        <w:tc>
          <w:tcPr>
            <w:tcW w:w="578" w:type="pct"/>
            <w:vAlign w:val="center"/>
          </w:tcPr>
          <w:p>
            <w:pPr>
              <w:pStyle w:val="35"/>
            </w:pPr>
            <w:r>
              <w:t>45</w:t>
            </w:r>
          </w:p>
          <w:p>
            <w:pPr>
              <w:pStyle w:val="35"/>
            </w:pPr>
            <w:r>
              <w:t>10</w:t>
            </w:r>
          </w:p>
          <w:p>
            <w:pPr>
              <w:pStyle w:val="35"/>
            </w:pPr>
            <w:r>
              <w:t>30</w:t>
            </w:r>
          </w:p>
          <w:p>
            <w:pPr>
              <w:pStyle w:val="35"/>
            </w:pPr>
            <w:r>
              <w:t>2</w:t>
            </w:r>
          </w:p>
        </w:tc>
        <w:tc>
          <w:tcPr>
            <w:tcW w:w="537" w:type="pct"/>
            <w:vAlign w:val="center"/>
          </w:tcPr>
          <w:p>
            <w:pPr>
              <w:pStyle w:val="35"/>
            </w:pPr>
            <w:r>
              <w:t>常温</w:t>
            </w:r>
          </w:p>
        </w:tc>
        <w:tc>
          <w:tcPr>
            <w:tcW w:w="432" w:type="pct"/>
            <w:vAlign w:val="center"/>
          </w:tcPr>
          <w:p>
            <w:pPr>
              <w:pStyle w:val="35"/>
            </w:pPr>
            <w:r>
              <w:t>连续</w:t>
            </w:r>
          </w:p>
        </w:tc>
        <w:tc>
          <w:tcPr>
            <w:tcW w:w="1137" w:type="pct"/>
            <w:vMerge w:val="continue"/>
            <w:vAlign w:val="center"/>
          </w:tcPr>
          <w:p>
            <w:pPr>
              <w:pStyle w:val="35"/>
            </w:pPr>
          </w:p>
        </w:tc>
      </w:tr>
    </w:tbl>
    <w:p>
      <w:pPr>
        <w:pStyle w:val="27"/>
        <w:ind w:firstLine="560"/>
      </w:pPr>
      <w:r>
        <w:t>正常状况下，本项目车间地面、装置塔等均参照《环境影响评价技术导则 地下水环境》(HJ610-2016)采取严格防渗措施。正常状况下，污染源从源头上可以得到控制，在可能产生滴漏等区域进行采取防渗措施。因此，因此本评价不再对正常状况进行预测评价。</w:t>
      </w:r>
    </w:p>
    <w:p>
      <w:pPr>
        <w:pStyle w:val="27"/>
        <w:ind w:firstLine="560"/>
      </w:pPr>
      <w:r>
        <w:t>在非正常工况下，考虑尾气洗涤塔外排水（W</w:t>
      </w:r>
      <w:r>
        <w:rPr>
          <w:vertAlign w:val="subscript"/>
        </w:rPr>
        <w:t>3</w:t>
      </w:r>
      <w:r>
        <w:t>）发生泄漏事故，导致废水进入含水层中污染地下水。在此考虑发生泄露事故时，泄露时间为连续泄露及修复工况时间为30天。</w:t>
      </w:r>
    </w:p>
    <w:p>
      <w:pPr>
        <w:adjustRightInd w:val="0"/>
        <w:snapToGrid w:val="0"/>
        <w:jc w:val="center"/>
      </w:pPr>
      <w:r>
        <mc:AlternateContent>
          <mc:Choice Requires="wps">
            <w:drawing>
              <wp:anchor distT="0" distB="0" distL="114300" distR="114300" simplePos="0" relativeHeight="251663360" behindDoc="0" locked="0" layoutInCell="1" allowOverlap="1">
                <wp:simplePos x="0" y="0"/>
                <wp:positionH relativeFrom="column">
                  <wp:posOffset>3061335</wp:posOffset>
                </wp:positionH>
                <wp:positionV relativeFrom="paragraph">
                  <wp:posOffset>1870075</wp:posOffset>
                </wp:positionV>
                <wp:extent cx="1181100" cy="365760"/>
                <wp:effectExtent l="4445" t="918845" r="14605" b="10795"/>
                <wp:wrapNone/>
                <wp:docPr id="52" name="圆角矩形标注 52"/>
                <wp:cNvGraphicFramePr/>
                <a:graphic xmlns:a="http://schemas.openxmlformats.org/drawingml/2006/main">
                  <a:graphicData uri="http://schemas.microsoft.com/office/word/2010/wordprocessingShape">
                    <wps:wsp>
                      <wps:cNvSpPr/>
                      <wps:spPr>
                        <a:xfrm>
                          <a:off x="0" y="0"/>
                          <a:ext cx="1181100" cy="365760"/>
                        </a:xfrm>
                        <a:prstGeom prst="wedgeRoundRectCallout">
                          <a:avLst>
                            <a:gd name="adj1" fmla="val 23763"/>
                            <a:gd name="adj2" fmla="val -293229"/>
                            <a:gd name="adj3" fmla="val 16667"/>
                          </a:avLst>
                        </a:prstGeom>
                        <a:solidFill>
                          <a:srgbClr val="FFFFFF">
                            <a:alpha val="0"/>
                          </a:srgbClr>
                        </a:solidFill>
                        <a:ln w="9525" cap="flat" cmpd="sng">
                          <a:solidFill>
                            <a:srgbClr val="000000"/>
                          </a:solidFill>
                          <a:prstDash val="solid"/>
                          <a:miter/>
                          <a:headEnd type="none" w="med" len="med"/>
                          <a:tailEnd type="none" w="med" len="med"/>
                        </a:ln>
                      </wps:spPr>
                      <wps:txbx>
                        <w:txbxContent>
                          <w:p>
                            <w:pPr>
                              <w:adjustRightInd w:val="0"/>
                              <w:snapToGrid w:val="0"/>
                              <w:rPr>
                                <w:rFonts w:ascii="Tahoma" w:hAnsi="Tahoma"/>
                                <w:b/>
                                <w:color w:val="C00000"/>
                                <w:sz w:val="21"/>
                                <w:szCs w:val="21"/>
                              </w:rPr>
                            </w:pPr>
                            <w:r>
                              <w:rPr>
                                <w:rFonts w:hAnsi="宋体"/>
                                <w:b/>
                                <w:bCs/>
                                <w:color w:val="C00000"/>
                                <w:sz w:val="21"/>
                                <w:szCs w:val="21"/>
                              </w:rPr>
                              <w:t>尾气洗涤塔</w:t>
                            </w:r>
                            <w:r>
                              <w:rPr>
                                <w:rFonts w:hint="eastAsia" w:hAnsi="宋体"/>
                                <w:b/>
                                <w:bCs/>
                                <w:color w:val="C00000"/>
                                <w:sz w:val="21"/>
                                <w:szCs w:val="21"/>
                              </w:rPr>
                              <w:t>泄漏点</w:t>
                            </w:r>
                          </w:p>
                        </w:txbxContent>
                      </wps:txbx>
                      <wps:bodyPr lIns="0" tIns="45720" rIns="0" bIns="45720" upright="1"/>
                    </wps:wsp>
                  </a:graphicData>
                </a:graphic>
              </wp:anchor>
            </w:drawing>
          </mc:Choice>
          <mc:Fallback>
            <w:pict>
              <v:shape id="_x0000_s1026" o:spid="_x0000_s1026" o:spt="62" type="#_x0000_t62" style="position:absolute;left:0pt;margin-left:241.05pt;margin-top:147.25pt;height:28.8pt;width:93pt;z-index:251663360;mso-width-relative:page;mso-height-relative:page;" fillcolor="#FFFFFF" filled="t" stroked="t" coordsize="21600,21600" o:gfxdata="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&#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FzWVPaAAAACwEAAA8AAAAAAAAAAQAgAAAAIgAAAGRy&#10;cy9kb3ducmV2LnhtbFBLAQIUABQAAAAIAIdO4kDT6RBBdQIAAAgFAAAOAAAAAAAAAAEAIAAAACkB&#10;AABkcnMvZTJvRG9jLnhtbFBLBQYAAAAABgAGAFkBAAAQBgAAAAA=&#10;" adj="15933,-52537,14400">
                <v:fill on="t" opacity="0f" focussize="0,0"/>
                <v:stroke color="#000000" joinstyle="miter"/>
                <v:imagedata o:title=""/>
                <o:lock v:ext="edit" aspectratio="f"/>
                <v:textbox inset="0mm,1.27mm,0mm,1.27mm">
                  <w:txbxContent>
                    <w:p>
                      <w:pPr>
                        <w:adjustRightInd w:val="0"/>
                        <w:snapToGrid w:val="0"/>
                        <w:rPr>
                          <w:rFonts w:ascii="Tahoma" w:hAnsi="Tahoma"/>
                          <w:b/>
                          <w:color w:val="C00000"/>
                          <w:sz w:val="21"/>
                          <w:szCs w:val="21"/>
                        </w:rPr>
                      </w:pPr>
                      <w:r>
                        <w:rPr>
                          <w:rFonts w:hAnsi="宋体"/>
                          <w:b/>
                          <w:bCs/>
                          <w:color w:val="C00000"/>
                          <w:sz w:val="21"/>
                          <w:szCs w:val="21"/>
                        </w:rPr>
                        <w:t>尾气洗涤塔</w:t>
                      </w:r>
                      <w:r>
                        <w:rPr>
                          <w:rFonts w:hint="eastAsia" w:hAnsi="宋体"/>
                          <w:b/>
                          <w:bCs/>
                          <w:color w:val="C00000"/>
                          <w:sz w:val="21"/>
                          <w:szCs w:val="21"/>
                        </w:rPr>
                        <w:t>泄漏点</w:t>
                      </w:r>
                    </w:p>
                  </w:txbxContent>
                </v:textbox>
              </v:shape>
            </w:pict>
          </mc:Fallback>
        </mc:AlternateContent>
      </w:r>
      <w:r>
        <w:rPr>
          <w:rFonts w:eastAsia="Times New Roman"/>
          <w:w w:val="0"/>
          <w:kern w:val="0"/>
          <w:sz w:val="0"/>
          <w:szCs w:val="0"/>
          <w:u w:color="000000"/>
          <w:shd w:val="clear" w:color="000000" w:fill="000000"/>
        </w:rPr>
        <w:drawing>
          <wp:inline distT="0" distB="0" distL="0" distR="0">
            <wp:extent cx="5274310" cy="2397760"/>
            <wp:effectExtent l="9525" t="9525" r="12065" b="1206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02"/>
                    <a:srcRect b="2202"/>
                    <a:stretch>
                      <a:fillRect/>
                    </a:stretch>
                  </pic:blipFill>
                  <pic:spPr>
                    <a:xfrm>
                      <a:off x="0" y="0"/>
                      <a:ext cx="5274310" cy="2397760"/>
                    </a:xfrm>
                    <a:prstGeom prst="rect">
                      <a:avLst/>
                    </a:prstGeom>
                    <a:noFill/>
                    <a:ln w="9525">
                      <a:solidFill>
                        <a:schemeClr val="tx1"/>
                      </a:solidFill>
                      <a:miter lim="800000"/>
                      <a:headEnd/>
                      <a:tailEnd/>
                    </a:ln>
                  </pic:spPr>
                </pic:pic>
              </a:graphicData>
            </a:graphic>
          </wp:inline>
        </w:drawing>
      </w:r>
    </w:p>
    <w:p>
      <w:pPr>
        <w:pStyle w:val="58"/>
      </w:pPr>
      <w:r>
        <w:t>图5.4-2</w:t>
      </w:r>
      <w:r>
        <w:rPr>
          <w:rFonts w:hint="eastAsia"/>
        </w:rPr>
        <w:t>2</w:t>
      </w:r>
      <w:r>
        <w:t xml:space="preserve">    尾气洗涤塔地下水污染源设定位置图</w:t>
      </w:r>
    </w:p>
    <w:p>
      <w:pPr>
        <w:pStyle w:val="27"/>
        <w:ind w:firstLine="560"/>
      </w:pPr>
      <w:r>
        <w:t>本项目产生的生产废水中主要含COD和NH</w:t>
      </w:r>
      <w:r>
        <w:rPr>
          <w:vertAlign w:val="subscript"/>
        </w:rPr>
        <w:t>3</w:t>
      </w:r>
      <w:r>
        <w:t>-N，本评价选取两种污染指标作为预测因子。COD和NH</w:t>
      </w:r>
      <w:r>
        <w:rPr>
          <w:vertAlign w:val="subscript"/>
        </w:rPr>
        <w:t>3</w:t>
      </w:r>
      <w:r>
        <w:t>-N评价标准参照《地下水质量标准》(GB/T 14848-93)Ⅲ类标准限值。评价因子检出限及评价标准见表5.4-</w:t>
      </w:r>
      <w:r>
        <w:rPr>
          <w:rFonts w:hint="eastAsia"/>
        </w:rPr>
        <w:t>8</w:t>
      </w:r>
      <w:r>
        <w:t>。具体源强计算如下：</w:t>
      </w:r>
    </w:p>
    <w:p>
      <w:pPr>
        <w:pStyle w:val="27"/>
        <w:ind w:firstLine="560"/>
      </w:pPr>
      <w:r>
        <w:t>源强计算：设定尾气洗涤塔外排水（W</w:t>
      </w:r>
      <w:r>
        <w:rPr>
          <w:vertAlign w:val="subscript"/>
        </w:rPr>
        <w:t>3</w:t>
      </w:r>
      <w:r>
        <w:t>）发生泄漏事故，尾气洗涤塔外排水（W</w:t>
      </w:r>
      <w:r>
        <w:rPr>
          <w:vertAlign w:val="subscript"/>
        </w:rPr>
        <w:t>3</w:t>
      </w:r>
      <w:r>
        <w:t>）量为0.47m</w:t>
      </w:r>
      <w:r>
        <w:rPr>
          <w:vertAlign w:val="superscript"/>
        </w:rPr>
        <w:t>3</w:t>
      </w:r>
      <w:r>
        <w:t>/h，即11.28m m</w:t>
      </w:r>
      <w:r>
        <w:rPr>
          <w:vertAlign w:val="superscript"/>
        </w:rPr>
        <w:t>3</w:t>
      </w:r>
      <w:r>
        <w:t>/d，考虑1%的泄漏水进入到含水层中，连续泄漏时间为30d，泄漏水量为1.128 m</w:t>
      </w:r>
      <w:r>
        <w:rPr>
          <w:vertAlign w:val="superscript"/>
        </w:rPr>
        <w:t>3</w:t>
      </w:r>
      <w:r>
        <w:t>/d，COD浓度为12000mg/L，NH</w:t>
      </w:r>
      <w:r>
        <w:rPr>
          <w:vertAlign w:val="subscript"/>
        </w:rPr>
        <w:t>3</w:t>
      </w:r>
      <w:r>
        <w:t>-N浓度为5mg/L。</w:t>
      </w:r>
    </w:p>
    <w:p>
      <w:pPr>
        <w:pStyle w:val="27"/>
        <w:ind w:firstLine="560"/>
      </w:pPr>
      <w:r>
        <w:t>本次模拟预测根据污染风险分析的情景设计，在选定优先控制污染物的基础上，分别对地下水污染物在不同时段的运移距离、超标范围和影响范围进行模拟预测，COD和NH</w:t>
      </w:r>
      <w:r>
        <w:rPr>
          <w:vertAlign w:val="subscript"/>
        </w:rPr>
        <w:t>3</w:t>
      </w:r>
      <w:r>
        <w:t>-N的超标范围参照《地下水质量标准》（GB/T14848-2017）中Ⅲ类水</w:t>
      </w:r>
      <w:r>
        <w:rPr>
          <w:rFonts w:hint="eastAsia"/>
        </w:rPr>
        <w:t>质</w:t>
      </w:r>
      <w:r>
        <w:t>的要求，污染物的检出下限值参照常规仪器检测下限，详见下表。</w:t>
      </w:r>
    </w:p>
    <w:p>
      <w:pPr>
        <w:pStyle w:val="27"/>
        <w:ind w:firstLine="560"/>
      </w:pPr>
    </w:p>
    <w:p>
      <w:pPr>
        <w:pStyle w:val="32"/>
        <w:ind w:right="240"/>
      </w:pPr>
      <w:r>
        <w:t>表5.4-</w:t>
      </w:r>
      <w:r>
        <w:rPr>
          <w:rFonts w:hint="eastAsia"/>
        </w:rPr>
        <w:t>8</w:t>
      </w:r>
      <w:r>
        <w:t xml:space="preserve">             评价因子及评价标准一览表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003"/>
        <w:gridCol w:w="3005"/>
        <w:gridCol w:w="30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666" w:type="pct"/>
            <w:vAlign w:val="center"/>
          </w:tcPr>
          <w:p>
            <w:pPr>
              <w:pStyle w:val="35"/>
              <w:rPr>
                <w:b/>
                <w:bCs/>
              </w:rPr>
            </w:pPr>
            <w:r>
              <w:rPr>
                <w:b/>
                <w:bCs/>
              </w:rPr>
              <w:t>评价因子</w:t>
            </w:r>
          </w:p>
        </w:tc>
        <w:tc>
          <w:tcPr>
            <w:tcW w:w="1667" w:type="pct"/>
            <w:vAlign w:val="center"/>
          </w:tcPr>
          <w:p>
            <w:pPr>
              <w:pStyle w:val="35"/>
              <w:rPr>
                <w:b/>
                <w:bCs/>
              </w:rPr>
            </w:pPr>
            <w:r>
              <w:rPr>
                <w:b/>
                <w:bCs/>
              </w:rPr>
              <w:t>COD</w:t>
            </w:r>
          </w:p>
        </w:tc>
        <w:tc>
          <w:tcPr>
            <w:tcW w:w="1667" w:type="pct"/>
            <w:vAlign w:val="center"/>
          </w:tcPr>
          <w:p>
            <w:pPr>
              <w:pStyle w:val="35"/>
              <w:rPr>
                <w:b/>
                <w:bCs/>
              </w:rPr>
            </w:pPr>
            <w:r>
              <w:rPr>
                <w:b/>
                <w:bCs/>
              </w:rPr>
              <w:t>NH</w:t>
            </w:r>
            <w:r>
              <w:rPr>
                <w:b/>
                <w:bCs/>
                <w:vertAlign w:val="subscript"/>
              </w:rPr>
              <w:t>3</w:t>
            </w:r>
            <w:r>
              <w:rPr>
                <w:b/>
                <w:bCs/>
              </w:rPr>
              <w:t>-N</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666" w:type="pct"/>
            <w:vAlign w:val="center"/>
          </w:tcPr>
          <w:p>
            <w:pPr>
              <w:pStyle w:val="35"/>
            </w:pPr>
            <w:r>
              <w:t>质量标准（mg/L）</w:t>
            </w:r>
          </w:p>
        </w:tc>
        <w:tc>
          <w:tcPr>
            <w:tcW w:w="1667" w:type="pct"/>
            <w:vAlign w:val="center"/>
          </w:tcPr>
          <w:p>
            <w:pPr>
              <w:pStyle w:val="35"/>
            </w:pPr>
            <w:r>
              <w:t>3</w:t>
            </w:r>
          </w:p>
        </w:tc>
        <w:tc>
          <w:tcPr>
            <w:tcW w:w="1667" w:type="pct"/>
            <w:vAlign w:val="center"/>
          </w:tcPr>
          <w:p>
            <w:pPr>
              <w:pStyle w:val="35"/>
            </w:pPr>
            <w: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1666" w:type="pct"/>
            <w:vAlign w:val="center"/>
          </w:tcPr>
          <w:p>
            <w:pPr>
              <w:pStyle w:val="35"/>
            </w:pPr>
            <w:r>
              <w:t>检出范围(mg/L)</w:t>
            </w:r>
          </w:p>
        </w:tc>
        <w:tc>
          <w:tcPr>
            <w:tcW w:w="1667" w:type="pct"/>
            <w:vAlign w:val="center"/>
          </w:tcPr>
          <w:p>
            <w:pPr>
              <w:pStyle w:val="35"/>
            </w:pPr>
            <w:r>
              <w:t>0.05</w:t>
            </w:r>
          </w:p>
        </w:tc>
        <w:tc>
          <w:tcPr>
            <w:tcW w:w="1667" w:type="pct"/>
            <w:vAlign w:val="center"/>
          </w:tcPr>
          <w:p>
            <w:pPr>
              <w:pStyle w:val="35"/>
            </w:pPr>
            <w:r>
              <w:t>0.01</w:t>
            </w:r>
          </w:p>
        </w:tc>
      </w:tr>
    </w:tbl>
    <w:p>
      <w:pPr>
        <w:pStyle w:val="27"/>
        <w:ind w:firstLine="560"/>
      </w:pPr>
      <w:r>
        <w:rPr>
          <w:rFonts w:hint="eastAsia"/>
        </w:rPr>
        <w:t>以下所有模拟预测结果中，用蓝色～红色色带表示受污染的情况，颜色越靠近红色表示浓度越大，超标风险越大，越靠近蓝色表示浓度越小，超标风险越小。</w:t>
      </w:r>
      <w:r>
        <w:t>根据设定的污染源位置和源强大小，对厂区非</w:t>
      </w:r>
      <w:r>
        <w:rPr>
          <w:bCs/>
        </w:rPr>
        <w:t>正常状况</w:t>
      </w:r>
      <w:r>
        <w:t>情景进行模拟预测</w:t>
      </w:r>
      <w:r>
        <w:rPr>
          <w:rFonts w:hint="eastAsia"/>
        </w:rPr>
        <w:t>。</w:t>
      </w:r>
    </w:p>
    <w:p>
      <w:pPr>
        <w:pStyle w:val="33"/>
      </w:pPr>
      <w:r>
        <w:t>5.4.7.4 尾气洗涤塔泄露污染预测</w:t>
      </w:r>
    </w:p>
    <w:p>
      <w:pPr>
        <w:pStyle w:val="27"/>
        <w:ind w:firstLine="560"/>
      </w:pPr>
      <w:r>
        <w:t>（1）COD渗漏地下水污染预测</w:t>
      </w:r>
    </w:p>
    <w:p>
      <w:pPr>
        <w:pStyle w:val="27"/>
        <w:ind w:firstLine="560"/>
      </w:pPr>
      <w:r>
        <w:t>此情景条件下的地下水污染模拟结果见图5.4-2</w:t>
      </w:r>
      <w:r>
        <w:rPr>
          <w:rFonts w:hint="eastAsia"/>
        </w:rPr>
        <w:t>3</w:t>
      </w:r>
      <w:r>
        <w:t>和图5.4-2</w:t>
      </w:r>
      <w:r>
        <w:rPr>
          <w:rFonts w:hint="eastAsia"/>
        </w:rPr>
        <w:t>4</w:t>
      </w:r>
      <w:r>
        <w:t>以及表5.4-</w:t>
      </w:r>
      <w:r>
        <w:rPr>
          <w:rFonts w:hint="eastAsia"/>
        </w:rPr>
        <w:t>9</w:t>
      </w:r>
      <w:r>
        <w:t>。</w:t>
      </w:r>
    </w:p>
    <w:p>
      <w:pPr>
        <w:adjustRightInd w:val="0"/>
        <w:snapToGrid w:val="0"/>
        <w:spacing w:line="240" w:lineRule="atLeast"/>
        <w:jc w:val="center"/>
      </w:pPr>
      <w:r>
        <w:drawing>
          <wp:inline distT="0" distB="0" distL="0" distR="0">
            <wp:extent cx="5260975" cy="2284730"/>
            <wp:effectExtent l="9525" t="9525" r="25400" b="10795"/>
            <wp:docPr id="54" name="图片 14"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descr="C:\Users\lenovo\Desktop\绘图1.jpg"/>
                    <pic:cNvPicPr>
                      <a:picLocks noChangeAspect="1" noChangeArrowheads="1"/>
                    </pic:cNvPicPr>
                  </pic:nvPicPr>
                  <pic:blipFill>
                    <a:blip r:embed="rId103"/>
                    <a:srcRect/>
                    <a:stretch>
                      <a:fillRect/>
                    </a:stretch>
                  </pic:blipFill>
                  <pic:spPr>
                    <a:xfrm>
                      <a:off x="0" y="0"/>
                      <a:ext cx="5274310" cy="2290474"/>
                    </a:xfrm>
                    <a:prstGeom prst="rect">
                      <a:avLst/>
                    </a:prstGeom>
                    <a:noFill/>
                    <a:ln w="9525">
                      <a:solidFill>
                        <a:schemeClr val="tx1"/>
                      </a:solidFill>
                      <a:miter lim="800000"/>
                      <a:headEnd/>
                      <a:tailEnd/>
                    </a:ln>
                  </pic:spPr>
                </pic:pic>
              </a:graphicData>
            </a:graphic>
          </wp:inline>
        </w:drawing>
      </w:r>
    </w:p>
    <w:p>
      <w:pPr>
        <w:pStyle w:val="34"/>
      </w:pPr>
      <w:r>
        <w:t>A． 100天COD影响预测厂区范围图</w:t>
      </w:r>
    </w:p>
    <w:p>
      <w:pPr>
        <w:adjustRightInd w:val="0"/>
        <w:snapToGrid w:val="0"/>
        <w:spacing w:line="240" w:lineRule="atLeast"/>
        <w:jc w:val="center"/>
      </w:pPr>
      <w:r>
        <w:drawing>
          <wp:inline distT="0" distB="0" distL="0" distR="0">
            <wp:extent cx="5266690" cy="2296160"/>
            <wp:effectExtent l="9525" t="9525" r="19685" b="18415"/>
            <wp:docPr id="55" name="图片 55"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lenovo\Desktop\绘图1.jpg"/>
                    <pic:cNvPicPr>
                      <a:picLocks noChangeAspect="1" noChangeArrowheads="1"/>
                    </pic:cNvPicPr>
                  </pic:nvPicPr>
                  <pic:blipFill>
                    <a:blip r:embed="rId104"/>
                    <a:srcRect/>
                    <a:stretch>
                      <a:fillRect/>
                    </a:stretch>
                  </pic:blipFill>
                  <pic:spPr>
                    <a:xfrm>
                      <a:off x="0" y="0"/>
                      <a:ext cx="5274310" cy="2299800"/>
                    </a:xfrm>
                    <a:prstGeom prst="rect">
                      <a:avLst/>
                    </a:prstGeom>
                    <a:noFill/>
                    <a:ln w="9525">
                      <a:solidFill>
                        <a:schemeClr val="tx1"/>
                      </a:solidFill>
                      <a:miter lim="800000"/>
                      <a:headEnd/>
                      <a:tailEnd/>
                    </a:ln>
                  </pic:spPr>
                </pic:pic>
              </a:graphicData>
            </a:graphic>
          </wp:inline>
        </w:drawing>
      </w:r>
    </w:p>
    <w:p>
      <w:pPr>
        <w:pStyle w:val="34"/>
        <w:rPr>
          <w:bCs/>
        </w:rPr>
      </w:pPr>
      <w:r>
        <w:rPr>
          <w:bCs/>
        </w:rPr>
        <w:t>B． 300天COD影响</w:t>
      </w:r>
      <w:r>
        <w:t>预测</w:t>
      </w:r>
      <w:r>
        <w:rPr>
          <w:bCs/>
        </w:rPr>
        <w:t>厂区范围图</w:t>
      </w:r>
    </w:p>
    <w:p>
      <w:pPr>
        <w:adjustRightInd w:val="0"/>
        <w:snapToGrid w:val="0"/>
        <w:spacing w:line="240" w:lineRule="atLeast"/>
        <w:jc w:val="center"/>
      </w:pPr>
      <w:r>
        <w:drawing>
          <wp:inline distT="0" distB="0" distL="0" distR="0">
            <wp:extent cx="5347970" cy="2522855"/>
            <wp:effectExtent l="9525" t="9525" r="14605" b="20320"/>
            <wp:docPr id="56" name="图片 56"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lenovo\Desktop\绘图1.jpg"/>
                    <pic:cNvPicPr>
                      <a:picLocks noChangeAspect="1" noChangeArrowheads="1"/>
                    </pic:cNvPicPr>
                  </pic:nvPicPr>
                  <pic:blipFill>
                    <a:blip r:embed="rId105"/>
                    <a:srcRect/>
                    <a:stretch>
                      <a:fillRect/>
                    </a:stretch>
                  </pic:blipFill>
                  <pic:spPr>
                    <a:xfrm>
                      <a:off x="0" y="0"/>
                      <a:ext cx="5358076" cy="2527822"/>
                    </a:xfrm>
                    <a:prstGeom prst="rect">
                      <a:avLst/>
                    </a:prstGeom>
                    <a:noFill/>
                    <a:ln w="9525">
                      <a:solidFill>
                        <a:schemeClr val="tx1"/>
                      </a:solidFill>
                      <a:miter lim="800000"/>
                      <a:headEnd/>
                      <a:tailEnd/>
                    </a:ln>
                  </pic:spPr>
                </pic:pic>
              </a:graphicData>
            </a:graphic>
          </wp:inline>
        </w:drawing>
      </w:r>
    </w:p>
    <w:p>
      <w:pPr>
        <w:pStyle w:val="34"/>
        <w:rPr>
          <w:bCs/>
        </w:rPr>
      </w:pPr>
      <w:r>
        <w:rPr>
          <w:bCs/>
        </w:rPr>
        <w:t>C． 500天COD影响</w:t>
      </w:r>
      <w:r>
        <w:t>预测</w:t>
      </w:r>
      <w:r>
        <w:rPr>
          <w:bCs/>
        </w:rPr>
        <w:t>厂区范围图</w:t>
      </w:r>
    </w:p>
    <w:p>
      <w:pPr>
        <w:adjustRightInd w:val="0"/>
        <w:snapToGrid w:val="0"/>
        <w:spacing w:line="240" w:lineRule="atLeast"/>
        <w:jc w:val="center"/>
        <w:rPr>
          <w:bCs/>
        </w:rPr>
      </w:pPr>
      <w:r>
        <w:rPr>
          <w:bCs/>
        </w:rPr>
        <w:drawing>
          <wp:inline distT="0" distB="0" distL="0" distR="0">
            <wp:extent cx="5419725" cy="2282190"/>
            <wp:effectExtent l="9525" t="9525" r="19050" b="13335"/>
            <wp:docPr id="57" name="图片 17"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descr="C:\Users\lenovo\Desktop\绘图1.jpg"/>
                    <pic:cNvPicPr>
                      <a:picLocks noChangeAspect="1" noChangeArrowheads="1"/>
                    </pic:cNvPicPr>
                  </pic:nvPicPr>
                  <pic:blipFill>
                    <a:blip r:embed="rId106"/>
                    <a:srcRect/>
                    <a:stretch>
                      <a:fillRect/>
                    </a:stretch>
                  </pic:blipFill>
                  <pic:spPr>
                    <a:xfrm>
                      <a:off x="0" y="0"/>
                      <a:ext cx="5442673" cy="2292307"/>
                    </a:xfrm>
                    <a:prstGeom prst="rect">
                      <a:avLst/>
                    </a:prstGeom>
                    <a:noFill/>
                    <a:ln w="9525">
                      <a:solidFill>
                        <a:schemeClr val="tx1"/>
                      </a:solidFill>
                      <a:miter lim="800000"/>
                      <a:headEnd/>
                      <a:tailEnd/>
                    </a:ln>
                  </pic:spPr>
                </pic:pic>
              </a:graphicData>
            </a:graphic>
          </wp:inline>
        </w:drawing>
      </w:r>
    </w:p>
    <w:p>
      <w:pPr>
        <w:pStyle w:val="34"/>
        <w:rPr>
          <w:bCs/>
        </w:rPr>
      </w:pPr>
      <w:r>
        <w:rPr>
          <w:bCs/>
        </w:rPr>
        <w:t>D． 1000天COD影响</w:t>
      </w:r>
      <w:r>
        <w:t>预测</w:t>
      </w:r>
      <w:r>
        <w:rPr>
          <w:bCs/>
        </w:rPr>
        <w:t>厂区范围图</w:t>
      </w:r>
    </w:p>
    <w:p>
      <w:pPr>
        <w:adjustRightInd w:val="0"/>
        <w:snapToGrid w:val="0"/>
        <w:spacing w:line="240" w:lineRule="atLeast"/>
        <w:jc w:val="center"/>
        <w:rPr>
          <w:bCs/>
        </w:rPr>
      </w:pPr>
      <w:r>
        <w:rPr>
          <w:bCs/>
        </w:rPr>
        <w:drawing>
          <wp:inline distT="0" distB="0" distL="0" distR="0">
            <wp:extent cx="5285105" cy="2343785"/>
            <wp:effectExtent l="9525" t="9525" r="20320" b="27940"/>
            <wp:docPr id="262" name="图片 262"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C:\Users\lenovo\Desktop\绘图1.jpg"/>
                    <pic:cNvPicPr>
                      <a:picLocks noChangeAspect="1" noChangeArrowheads="1"/>
                    </pic:cNvPicPr>
                  </pic:nvPicPr>
                  <pic:blipFill>
                    <a:blip r:embed="rId107"/>
                    <a:srcRect b="3468"/>
                    <a:stretch>
                      <a:fillRect/>
                    </a:stretch>
                  </pic:blipFill>
                  <pic:spPr>
                    <a:xfrm>
                      <a:off x="0" y="0"/>
                      <a:ext cx="5285221" cy="2344140"/>
                    </a:xfrm>
                    <a:prstGeom prst="rect">
                      <a:avLst/>
                    </a:prstGeom>
                    <a:noFill/>
                    <a:ln w="9525">
                      <a:solidFill>
                        <a:schemeClr val="tx1"/>
                      </a:solidFill>
                      <a:miter lim="800000"/>
                      <a:headEnd/>
                      <a:tailEnd/>
                    </a:ln>
                  </pic:spPr>
                </pic:pic>
              </a:graphicData>
            </a:graphic>
          </wp:inline>
        </w:drawing>
      </w:r>
    </w:p>
    <w:p>
      <w:pPr>
        <w:pStyle w:val="34"/>
        <w:rPr>
          <w:bCs/>
        </w:rPr>
      </w:pPr>
      <w:r>
        <w:rPr>
          <w:bCs/>
        </w:rPr>
        <w:t>E． 2000天COD影响预测厂区范围图</w:t>
      </w:r>
    </w:p>
    <w:p>
      <w:pPr>
        <w:adjustRightInd w:val="0"/>
        <w:snapToGrid w:val="0"/>
        <w:spacing w:line="240" w:lineRule="atLeast"/>
        <w:jc w:val="center"/>
        <w:rPr>
          <w:bCs/>
        </w:rPr>
      </w:pPr>
      <w:r>
        <w:rPr>
          <w:bCs/>
        </w:rPr>
        <w:drawing>
          <wp:inline distT="0" distB="0" distL="0" distR="0">
            <wp:extent cx="5261610" cy="2308225"/>
            <wp:effectExtent l="9525" t="9525" r="24765" b="25400"/>
            <wp:docPr id="263" name="图片 263"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C:\Users\lenovo\Desktop\绘图1.jpg"/>
                    <pic:cNvPicPr>
                      <a:picLocks noChangeAspect="1" noChangeArrowheads="1"/>
                    </pic:cNvPicPr>
                  </pic:nvPicPr>
                  <pic:blipFill>
                    <a:blip r:embed="rId108"/>
                    <a:srcRect/>
                    <a:stretch>
                      <a:fillRect/>
                    </a:stretch>
                  </pic:blipFill>
                  <pic:spPr>
                    <a:xfrm>
                      <a:off x="0" y="0"/>
                      <a:ext cx="5274310" cy="2313867"/>
                    </a:xfrm>
                    <a:prstGeom prst="rect">
                      <a:avLst/>
                    </a:prstGeom>
                    <a:noFill/>
                    <a:ln w="9525">
                      <a:solidFill>
                        <a:schemeClr val="tx1"/>
                      </a:solidFill>
                      <a:miter lim="800000"/>
                      <a:headEnd/>
                      <a:tailEnd/>
                    </a:ln>
                  </pic:spPr>
                </pic:pic>
              </a:graphicData>
            </a:graphic>
          </wp:inline>
        </w:drawing>
      </w:r>
    </w:p>
    <w:p>
      <w:pPr>
        <w:pStyle w:val="34"/>
      </w:pPr>
      <w:r>
        <w:t>F． 3000天COD影响预测厂区范围图</w:t>
      </w:r>
    </w:p>
    <w:p>
      <w:pPr>
        <w:pStyle w:val="58"/>
      </w:pPr>
      <w:r>
        <w:t>图5.4-2</w:t>
      </w:r>
      <w:r>
        <w:rPr>
          <w:rFonts w:hint="eastAsia"/>
        </w:rPr>
        <w:t>3</w:t>
      </w:r>
      <w:r>
        <w:t xml:space="preserve">    非正常状况泄漏情景下含水层COD影响范围图</w:t>
      </w:r>
    </w:p>
    <w:p>
      <w:pPr>
        <w:pStyle w:val="32"/>
        <w:ind w:right="240"/>
      </w:pPr>
      <w:r>
        <w:t>表5.4-</w:t>
      </w:r>
      <w:r>
        <w:rPr>
          <w:rFonts w:hint="eastAsia"/>
        </w:rPr>
        <w:t>9</w:t>
      </w:r>
      <w:r>
        <w:t xml:space="preserve">         COD非正常状况泄漏情景下含水层影响范围</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490"/>
        <w:gridCol w:w="2333"/>
        <w:gridCol w:w="2335"/>
        <w:gridCol w:w="2856"/>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rPr>
                <w:b/>
                <w:bCs/>
              </w:rPr>
            </w:pPr>
            <w:r>
              <w:rPr>
                <w:b/>
                <w:bCs/>
              </w:rPr>
              <w:t>时间（天）</w:t>
            </w:r>
          </w:p>
        </w:tc>
        <w:tc>
          <w:tcPr>
            <w:tcW w:w="1294" w:type="pct"/>
            <w:vAlign w:val="center"/>
          </w:tcPr>
          <w:p>
            <w:pPr>
              <w:pStyle w:val="35"/>
              <w:rPr>
                <w:b/>
                <w:bCs/>
              </w:rPr>
            </w:pPr>
            <w:r>
              <w:rPr>
                <w:b/>
                <w:bCs/>
              </w:rPr>
              <w:t>超标范围（m</w:t>
            </w:r>
            <w:r>
              <w:rPr>
                <w:b/>
                <w:bCs/>
                <w:vertAlign w:val="superscript"/>
              </w:rPr>
              <w:t>2</w:t>
            </w:r>
            <w:r>
              <w:rPr>
                <w:b/>
                <w:bCs/>
              </w:rPr>
              <w:t>）</w:t>
            </w:r>
          </w:p>
        </w:tc>
        <w:tc>
          <w:tcPr>
            <w:tcW w:w="1295" w:type="pct"/>
            <w:vAlign w:val="center"/>
          </w:tcPr>
          <w:p>
            <w:pPr>
              <w:pStyle w:val="35"/>
              <w:rPr>
                <w:b/>
                <w:bCs/>
              </w:rPr>
            </w:pPr>
            <w:r>
              <w:rPr>
                <w:b/>
                <w:bCs/>
              </w:rPr>
              <w:t>影响范围（m</w:t>
            </w:r>
            <w:r>
              <w:rPr>
                <w:b/>
                <w:bCs/>
                <w:vertAlign w:val="superscript"/>
              </w:rPr>
              <w:t>2</w:t>
            </w:r>
            <w:r>
              <w:rPr>
                <w:b/>
                <w:bCs/>
              </w:rPr>
              <w:t>）</w:t>
            </w:r>
          </w:p>
        </w:tc>
        <w:tc>
          <w:tcPr>
            <w:tcW w:w="1584" w:type="pct"/>
            <w:vAlign w:val="center"/>
          </w:tcPr>
          <w:p>
            <w:pPr>
              <w:pStyle w:val="35"/>
              <w:rPr>
                <w:b/>
                <w:bCs/>
              </w:rPr>
            </w:pPr>
            <w:r>
              <w:rPr>
                <w:b/>
                <w:bCs/>
              </w:rPr>
              <w:t>最大运移距离（m）</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100</w:t>
            </w:r>
          </w:p>
        </w:tc>
        <w:tc>
          <w:tcPr>
            <w:tcW w:w="1294" w:type="pct"/>
            <w:vAlign w:val="center"/>
          </w:tcPr>
          <w:p>
            <w:pPr>
              <w:pStyle w:val="35"/>
            </w:pPr>
            <w:r>
              <w:t>17.14</w:t>
            </w:r>
          </w:p>
        </w:tc>
        <w:tc>
          <w:tcPr>
            <w:tcW w:w="1295" w:type="pct"/>
            <w:vAlign w:val="center"/>
          </w:tcPr>
          <w:p>
            <w:pPr>
              <w:pStyle w:val="35"/>
            </w:pPr>
            <w:r>
              <w:t>2425.32</w:t>
            </w:r>
          </w:p>
        </w:tc>
        <w:tc>
          <w:tcPr>
            <w:tcW w:w="1584" w:type="pct"/>
            <w:vAlign w:val="center"/>
          </w:tcPr>
          <w:p>
            <w:pPr>
              <w:pStyle w:val="35"/>
            </w:pPr>
            <w:r>
              <w:t>44.58</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300</w:t>
            </w:r>
          </w:p>
        </w:tc>
        <w:tc>
          <w:tcPr>
            <w:tcW w:w="1294" w:type="pct"/>
            <w:vAlign w:val="center"/>
          </w:tcPr>
          <w:p>
            <w:pPr>
              <w:pStyle w:val="35"/>
            </w:pPr>
            <w:r>
              <w:t>0</w:t>
            </w:r>
          </w:p>
        </w:tc>
        <w:tc>
          <w:tcPr>
            <w:tcW w:w="1295" w:type="pct"/>
            <w:vAlign w:val="center"/>
          </w:tcPr>
          <w:p>
            <w:pPr>
              <w:pStyle w:val="35"/>
            </w:pPr>
            <w:r>
              <w:t>3475.15</w:t>
            </w:r>
          </w:p>
        </w:tc>
        <w:tc>
          <w:tcPr>
            <w:tcW w:w="1584" w:type="pct"/>
            <w:vAlign w:val="center"/>
          </w:tcPr>
          <w:p>
            <w:pPr>
              <w:pStyle w:val="35"/>
            </w:pPr>
            <w:r>
              <w:t>65.36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500</w:t>
            </w:r>
          </w:p>
        </w:tc>
        <w:tc>
          <w:tcPr>
            <w:tcW w:w="1294" w:type="pct"/>
            <w:vAlign w:val="center"/>
          </w:tcPr>
          <w:p>
            <w:pPr>
              <w:pStyle w:val="35"/>
            </w:pPr>
            <w:r>
              <w:t>0</w:t>
            </w:r>
          </w:p>
        </w:tc>
        <w:tc>
          <w:tcPr>
            <w:tcW w:w="1295" w:type="pct"/>
            <w:vAlign w:val="center"/>
          </w:tcPr>
          <w:p>
            <w:pPr>
              <w:pStyle w:val="35"/>
            </w:pPr>
            <w:r>
              <w:t>4141.60</w:t>
            </w:r>
          </w:p>
        </w:tc>
        <w:tc>
          <w:tcPr>
            <w:tcW w:w="1584" w:type="pct"/>
            <w:vAlign w:val="center"/>
          </w:tcPr>
          <w:p>
            <w:pPr>
              <w:pStyle w:val="35"/>
            </w:pPr>
            <w:r>
              <w:t>78.50</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1000</w:t>
            </w:r>
          </w:p>
        </w:tc>
        <w:tc>
          <w:tcPr>
            <w:tcW w:w="1294" w:type="pct"/>
            <w:vAlign w:val="center"/>
          </w:tcPr>
          <w:p>
            <w:pPr>
              <w:pStyle w:val="35"/>
            </w:pPr>
            <w:r>
              <w:t>0</w:t>
            </w:r>
          </w:p>
        </w:tc>
        <w:tc>
          <w:tcPr>
            <w:tcW w:w="1295" w:type="pct"/>
            <w:vAlign w:val="center"/>
          </w:tcPr>
          <w:p>
            <w:pPr>
              <w:pStyle w:val="35"/>
            </w:pPr>
            <w:r>
              <w:t>4865.37</w:t>
            </w:r>
          </w:p>
        </w:tc>
        <w:tc>
          <w:tcPr>
            <w:tcW w:w="1584" w:type="pct"/>
            <w:vAlign w:val="center"/>
          </w:tcPr>
          <w:p>
            <w:pPr>
              <w:pStyle w:val="35"/>
            </w:pPr>
            <w:r>
              <w:t>90.11</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2000</w:t>
            </w:r>
          </w:p>
        </w:tc>
        <w:tc>
          <w:tcPr>
            <w:tcW w:w="1294" w:type="pct"/>
            <w:vAlign w:val="center"/>
          </w:tcPr>
          <w:p>
            <w:pPr>
              <w:pStyle w:val="35"/>
            </w:pPr>
            <w:r>
              <w:t>0</w:t>
            </w:r>
          </w:p>
        </w:tc>
        <w:tc>
          <w:tcPr>
            <w:tcW w:w="1295" w:type="pct"/>
            <w:vAlign w:val="center"/>
          </w:tcPr>
          <w:p>
            <w:pPr>
              <w:pStyle w:val="35"/>
            </w:pPr>
            <w:r>
              <w:t>5248.57</w:t>
            </w:r>
          </w:p>
        </w:tc>
        <w:tc>
          <w:tcPr>
            <w:tcW w:w="1584" w:type="pct"/>
            <w:vAlign w:val="center"/>
          </w:tcPr>
          <w:p>
            <w:pPr>
              <w:pStyle w:val="35"/>
            </w:pPr>
            <w:r>
              <w:t>99.33</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3000</w:t>
            </w:r>
          </w:p>
        </w:tc>
        <w:tc>
          <w:tcPr>
            <w:tcW w:w="1294" w:type="pct"/>
            <w:vAlign w:val="center"/>
          </w:tcPr>
          <w:p>
            <w:pPr>
              <w:pStyle w:val="35"/>
            </w:pPr>
            <w:r>
              <w:t>0</w:t>
            </w:r>
          </w:p>
        </w:tc>
        <w:tc>
          <w:tcPr>
            <w:tcW w:w="1295" w:type="pct"/>
            <w:vAlign w:val="center"/>
          </w:tcPr>
          <w:p>
            <w:pPr>
              <w:pStyle w:val="35"/>
            </w:pPr>
            <w:r>
              <w:t>5511.55</w:t>
            </w:r>
          </w:p>
        </w:tc>
        <w:tc>
          <w:tcPr>
            <w:tcW w:w="1584" w:type="pct"/>
            <w:vAlign w:val="center"/>
          </w:tcPr>
          <w:p>
            <w:pPr>
              <w:pStyle w:val="35"/>
            </w:pPr>
            <w:r>
              <w:t>100.23</w:t>
            </w:r>
          </w:p>
        </w:tc>
      </w:tr>
    </w:tbl>
    <w:p>
      <w:pPr>
        <w:pStyle w:val="27"/>
        <w:ind w:firstLine="560"/>
      </w:pPr>
      <w:r>
        <w:t>从上面预测结果可以看出，在厂区尾气洗涤塔非正常状况情景下，COD污染物运移过程中随着水流的稀释作用，由西向东迁移，在泄漏点位置浓度超标，泄漏点最大浓度值为4.39mg/L，100d时超标范围为17.149m</w:t>
      </w:r>
      <w:r>
        <w:rPr>
          <w:vertAlign w:val="superscript"/>
        </w:rPr>
        <w:t>2</w:t>
      </w:r>
      <w:r>
        <w:t>，随着时间延长COD浓度在逐渐地降低，泄漏事故发生300天后，地下水中COD就不再超标（地下水III类水质量标准3.0mg/L）。在3000d时地下水中COD浓度已经降得很低，泄漏点处值为0.65mg/L，并未超过地下水III类水质量标准。可见，COD浓度在尾气洗涤塔发生泄露情景下，会对地下水环境产生影响，有一定范围的超标，但是超标范围很小，仅在泄漏点附近，并未出厂区。为了进一步减小在非正常工况下，尾气洗涤塔发生泄漏对地下水环境的影响，应加强装置防渗以及监测工作。</w:t>
      </w:r>
    </w:p>
    <w:p>
      <w:pPr>
        <w:adjustRightInd w:val="0"/>
        <w:snapToGrid w:val="0"/>
        <w:spacing w:line="240" w:lineRule="atLeast"/>
        <w:jc w:val="center"/>
      </w:pPr>
      <w:r>
        <w:drawing>
          <wp:inline distT="0" distB="0" distL="0" distR="0">
            <wp:extent cx="4596765" cy="2767330"/>
            <wp:effectExtent l="9525" t="9525" r="22860" b="23495"/>
            <wp:docPr id="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
                    <pic:cNvPicPr>
                      <a:picLocks noChangeAspect="1"/>
                    </pic:cNvPicPr>
                  </pic:nvPicPr>
                  <pic:blipFill>
                    <a:blip r:embed="rId109"/>
                    <a:stretch>
                      <a:fillRect/>
                    </a:stretch>
                  </pic:blipFill>
                  <pic:spPr>
                    <a:xfrm>
                      <a:off x="0" y="0"/>
                      <a:ext cx="4596782" cy="2767824"/>
                    </a:xfrm>
                    <a:prstGeom prst="rect">
                      <a:avLst/>
                    </a:prstGeom>
                    <a:noFill/>
                    <a:ln w="9525">
                      <a:solidFill>
                        <a:schemeClr val="tx1"/>
                      </a:solidFill>
                      <a:miter lim="800000"/>
                      <a:headEnd/>
                      <a:tailEnd/>
                    </a:ln>
                  </pic:spPr>
                </pic:pic>
              </a:graphicData>
            </a:graphic>
          </wp:inline>
        </w:drawing>
      </w:r>
    </w:p>
    <w:p>
      <w:pPr>
        <w:pStyle w:val="58"/>
      </w:pPr>
      <w:r>
        <w:t>图5.4-2</w:t>
      </w:r>
      <w:r>
        <w:rPr>
          <w:rFonts w:hint="eastAsia"/>
        </w:rPr>
        <w:t>4</w:t>
      </w:r>
      <w:r>
        <w:t xml:space="preserve">  非正常状况泄漏情景下泄漏点位置含水层COD浓度曲线</w:t>
      </w:r>
    </w:p>
    <w:p>
      <w:pPr>
        <w:pStyle w:val="27"/>
        <w:ind w:firstLine="560"/>
      </w:pPr>
      <w:r>
        <w:t>（2）氨氮渗漏地下水污染预测</w:t>
      </w:r>
    </w:p>
    <w:p>
      <w:pPr>
        <w:pStyle w:val="27"/>
        <w:ind w:firstLine="560"/>
      </w:pPr>
      <w:r>
        <w:t>此情景条件下的地下水污染模拟结果见图5.4-2</w:t>
      </w:r>
      <w:r>
        <w:rPr>
          <w:rFonts w:hint="eastAsia"/>
        </w:rPr>
        <w:t>5</w:t>
      </w:r>
      <w:r>
        <w:t>和图5.4-2</w:t>
      </w:r>
      <w:r>
        <w:rPr>
          <w:rFonts w:hint="eastAsia"/>
        </w:rPr>
        <w:t>6</w:t>
      </w:r>
      <w:r>
        <w:t>，以及表5.4-</w:t>
      </w:r>
      <w:r>
        <w:rPr>
          <w:rFonts w:hint="eastAsia"/>
        </w:rPr>
        <w:t>9</w:t>
      </w:r>
      <w:r>
        <w:t>。</w:t>
      </w:r>
    </w:p>
    <w:p>
      <w:pPr>
        <w:adjustRightInd w:val="0"/>
        <w:snapToGrid w:val="0"/>
        <w:spacing w:line="240" w:lineRule="atLeast"/>
        <w:jc w:val="center"/>
      </w:pPr>
      <w:r>
        <w:drawing>
          <wp:inline distT="0" distB="0" distL="0" distR="0">
            <wp:extent cx="5229225" cy="2481580"/>
            <wp:effectExtent l="9525" t="9525" r="19050" b="23495"/>
            <wp:docPr id="72" name="图片 72"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lenovo\Desktop\绘图1.jpg"/>
                    <pic:cNvPicPr>
                      <a:picLocks noChangeAspect="1" noChangeArrowheads="1"/>
                    </pic:cNvPicPr>
                  </pic:nvPicPr>
                  <pic:blipFill>
                    <a:blip r:embed="rId110"/>
                    <a:srcRect/>
                    <a:stretch>
                      <a:fillRect/>
                    </a:stretch>
                  </pic:blipFill>
                  <pic:spPr>
                    <a:xfrm>
                      <a:off x="0" y="0"/>
                      <a:ext cx="5229501" cy="2481711"/>
                    </a:xfrm>
                    <a:prstGeom prst="rect">
                      <a:avLst/>
                    </a:prstGeom>
                    <a:noFill/>
                    <a:ln w="9525">
                      <a:solidFill>
                        <a:schemeClr val="tx1"/>
                      </a:solidFill>
                      <a:miter lim="800000"/>
                      <a:headEnd/>
                      <a:tailEnd/>
                    </a:ln>
                  </pic:spPr>
                </pic:pic>
              </a:graphicData>
            </a:graphic>
          </wp:inline>
        </w:drawing>
      </w:r>
    </w:p>
    <w:p>
      <w:pPr>
        <w:pStyle w:val="34"/>
        <w:rPr>
          <w:bCs/>
        </w:rPr>
      </w:pPr>
      <w:r>
        <w:rPr>
          <w:bCs/>
        </w:rPr>
        <w:t>A． 100天氨氮影响预测污染源范围总图</w:t>
      </w:r>
    </w:p>
    <w:p>
      <w:pPr>
        <w:ind w:firstLine="480"/>
        <w:jc w:val="center"/>
      </w:pPr>
    </w:p>
    <w:p>
      <w:pPr>
        <w:adjustRightInd w:val="0"/>
        <w:snapToGrid w:val="0"/>
        <w:spacing w:line="240" w:lineRule="atLeast"/>
        <w:jc w:val="center"/>
      </w:pPr>
      <w:r>
        <w:drawing>
          <wp:inline distT="0" distB="0" distL="0" distR="0">
            <wp:extent cx="5274310" cy="2294255"/>
            <wp:effectExtent l="9525" t="9525" r="12065" b="20320"/>
            <wp:docPr id="73" name="图片 73"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lenovo\Desktop\绘图1.jpg"/>
                    <pic:cNvPicPr>
                      <a:picLocks noChangeAspect="1" noChangeArrowheads="1"/>
                    </pic:cNvPicPr>
                  </pic:nvPicPr>
                  <pic:blipFill>
                    <a:blip r:embed="rId111"/>
                    <a:srcRect/>
                    <a:stretch>
                      <a:fillRect/>
                    </a:stretch>
                  </pic:blipFill>
                  <pic:spPr>
                    <a:xfrm>
                      <a:off x="0" y="0"/>
                      <a:ext cx="5274310" cy="2294691"/>
                    </a:xfrm>
                    <a:prstGeom prst="rect">
                      <a:avLst/>
                    </a:prstGeom>
                    <a:noFill/>
                    <a:ln w="9525">
                      <a:solidFill>
                        <a:schemeClr val="tx1"/>
                      </a:solidFill>
                      <a:miter lim="800000"/>
                      <a:headEnd/>
                      <a:tailEnd/>
                    </a:ln>
                  </pic:spPr>
                </pic:pic>
              </a:graphicData>
            </a:graphic>
          </wp:inline>
        </w:drawing>
      </w:r>
    </w:p>
    <w:p>
      <w:pPr>
        <w:pStyle w:val="34"/>
        <w:rPr>
          <w:bCs/>
        </w:rPr>
      </w:pPr>
      <w:r>
        <w:rPr>
          <w:bCs/>
        </w:rPr>
        <w:t>B． 300天氨氮影响预测污染源范围图</w:t>
      </w:r>
    </w:p>
    <w:p>
      <w:pPr>
        <w:adjustRightInd w:val="0"/>
        <w:snapToGrid w:val="0"/>
        <w:spacing w:line="240" w:lineRule="atLeast"/>
        <w:jc w:val="center"/>
      </w:pPr>
      <w:r>
        <w:drawing>
          <wp:inline distT="0" distB="0" distL="0" distR="0">
            <wp:extent cx="5274310" cy="2234565"/>
            <wp:effectExtent l="9525" t="9525" r="12065" b="22860"/>
            <wp:docPr id="74" name="图片 74"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lenovo\Desktop\绘图1.jpg"/>
                    <pic:cNvPicPr>
                      <a:picLocks noChangeAspect="1" noChangeArrowheads="1"/>
                    </pic:cNvPicPr>
                  </pic:nvPicPr>
                  <pic:blipFill>
                    <a:blip r:embed="rId112"/>
                    <a:srcRect/>
                    <a:stretch>
                      <a:fillRect/>
                    </a:stretch>
                  </pic:blipFill>
                  <pic:spPr>
                    <a:xfrm>
                      <a:off x="0" y="0"/>
                      <a:ext cx="5274310" cy="2234714"/>
                    </a:xfrm>
                    <a:prstGeom prst="rect">
                      <a:avLst/>
                    </a:prstGeom>
                    <a:noFill/>
                    <a:ln w="9525">
                      <a:solidFill>
                        <a:schemeClr val="tx1"/>
                      </a:solidFill>
                      <a:miter lim="800000"/>
                      <a:headEnd/>
                      <a:tailEnd/>
                    </a:ln>
                  </pic:spPr>
                </pic:pic>
              </a:graphicData>
            </a:graphic>
          </wp:inline>
        </w:drawing>
      </w:r>
    </w:p>
    <w:p>
      <w:pPr>
        <w:pStyle w:val="34"/>
        <w:rPr>
          <w:bCs/>
        </w:rPr>
      </w:pPr>
      <w:r>
        <w:rPr>
          <w:bCs/>
        </w:rPr>
        <w:t>C． 500天氨氮影响预测污染源范围图</w:t>
      </w:r>
    </w:p>
    <w:p>
      <w:pPr>
        <w:adjustRightInd w:val="0"/>
        <w:snapToGrid w:val="0"/>
        <w:spacing w:line="240" w:lineRule="atLeast"/>
        <w:jc w:val="center"/>
      </w:pPr>
      <w:r>
        <w:drawing>
          <wp:inline distT="0" distB="0" distL="0" distR="0">
            <wp:extent cx="5274310" cy="2387600"/>
            <wp:effectExtent l="9525" t="9525" r="12065" b="22225"/>
            <wp:docPr id="75" name="图片 75"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lenovo\Desktop\绘图1.jpg"/>
                    <pic:cNvPicPr>
                      <a:picLocks noChangeAspect="1" noChangeArrowheads="1"/>
                    </pic:cNvPicPr>
                  </pic:nvPicPr>
                  <pic:blipFill>
                    <a:blip r:embed="rId113"/>
                    <a:srcRect/>
                    <a:stretch>
                      <a:fillRect/>
                    </a:stretch>
                  </pic:blipFill>
                  <pic:spPr>
                    <a:xfrm>
                      <a:off x="0" y="0"/>
                      <a:ext cx="5274310" cy="2388060"/>
                    </a:xfrm>
                    <a:prstGeom prst="rect">
                      <a:avLst/>
                    </a:prstGeom>
                    <a:noFill/>
                    <a:ln w="9525">
                      <a:solidFill>
                        <a:schemeClr val="tx1"/>
                      </a:solidFill>
                      <a:miter lim="800000"/>
                      <a:headEnd/>
                      <a:tailEnd/>
                    </a:ln>
                  </pic:spPr>
                </pic:pic>
              </a:graphicData>
            </a:graphic>
          </wp:inline>
        </w:drawing>
      </w:r>
    </w:p>
    <w:p>
      <w:pPr>
        <w:pStyle w:val="34"/>
        <w:rPr>
          <w:bCs/>
        </w:rPr>
      </w:pPr>
      <w:r>
        <w:rPr>
          <w:bCs/>
        </w:rPr>
        <w:t>D． 1000天氨氮影响预测污染源范围图</w:t>
      </w:r>
    </w:p>
    <w:p>
      <w:pPr>
        <w:adjustRightInd w:val="0"/>
        <w:snapToGrid w:val="0"/>
        <w:spacing w:line="240" w:lineRule="atLeast"/>
        <w:jc w:val="center"/>
        <w:rPr>
          <w:bCs/>
        </w:rPr>
      </w:pPr>
      <w:r>
        <w:rPr>
          <w:bCs/>
        </w:rPr>
        <w:drawing>
          <wp:inline distT="0" distB="0" distL="0" distR="0">
            <wp:extent cx="5274310" cy="2472055"/>
            <wp:effectExtent l="9525" t="9525" r="12065" b="13970"/>
            <wp:docPr id="76" name="图片 76"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lenovo\Desktop\绘图1.jpg"/>
                    <pic:cNvPicPr>
                      <a:picLocks noChangeAspect="1" noChangeArrowheads="1"/>
                    </pic:cNvPicPr>
                  </pic:nvPicPr>
                  <pic:blipFill>
                    <a:blip r:embed="rId114"/>
                    <a:srcRect/>
                    <a:stretch>
                      <a:fillRect/>
                    </a:stretch>
                  </pic:blipFill>
                  <pic:spPr>
                    <a:xfrm>
                      <a:off x="0" y="0"/>
                      <a:ext cx="5274310" cy="2472446"/>
                    </a:xfrm>
                    <a:prstGeom prst="rect">
                      <a:avLst/>
                    </a:prstGeom>
                    <a:noFill/>
                    <a:ln w="9525">
                      <a:solidFill>
                        <a:schemeClr val="tx1"/>
                      </a:solidFill>
                      <a:miter lim="800000"/>
                      <a:headEnd/>
                      <a:tailEnd/>
                    </a:ln>
                  </pic:spPr>
                </pic:pic>
              </a:graphicData>
            </a:graphic>
          </wp:inline>
        </w:drawing>
      </w:r>
    </w:p>
    <w:p>
      <w:pPr>
        <w:pStyle w:val="34"/>
        <w:rPr>
          <w:bCs/>
        </w:rPr>
      </w:pPr>
      <w:r>
        <w:rPr>
          <w:bCs/>
        </w:rPr>
        <w:t>E． 2000天氨氮影响预测污染源范围图</w:t>
      </w:r>
    </w:p>
    <w:p>
      <w:pPr>
        <w:adjustRightInd w:val="0"/>
        <w:snapToGrid w:val="0"/>
        <w:spacing w:line="240" w:lineRule="atLeast"/>
        <w:jc w:val="center"/>
      </w:pPr>
      <w:r>
        <w:drawing>
          <wp:inline distT="0" distB="0" distL="0" distR="0">
            <wp:extent cx="5274310" cy="2448560"/>
            <wp:effectExtent l="9525" t="9525" r="12065" b="18415"/>
            <wp:docPr id="77" name="图片 77" descr="C:\Users\lenovo\Desktop\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lenovo\Desktop\绘图1.jpg"/>
                    <pic:cNvPicPr>
                      <a:picLocks noChangeAspect="1" noChangeArrowheads="1"/>
                    </pic:cNvPicPr>
                  </pic:nvPicPr>
                  <pic:blipFill>
                    <a:blip r:embed="rId115"/>
                    <a:srcRect/>
                    <a:stretch>
                      <a:fillRect/>
                    </a:stretch>
                  </pic:blipFill>
                  <pic:spPr>
                    <a:xfrm>
                      <a:off x="0" y="0"/>
                      <a:ext cx="5274310" cy="2448771"/>
                    </a:xfrm>
                    <a:prstGeom prst="rect">
                      <a:avLst/>
                    </a:prstGeom>
                    <a:noFill/>
                    <a:ln w="9525">
                      <a:solidFill>
                        <a:schemeClr val="accent1"/>
                      </a:solidFill>
                      <a:miter lim="800000"/>
                      <a:headEnd/>
                      <a:tailEnd/>
                    </a:ln>
                  </pic:spPr>
                </pic:pic>
              </a:graphicData>
            </a:graphic>
          </wp:inline>
        </w:drawing>
      </w:r>
    </w:p>
    <w:p>
      <w:pPr>
        <w:pStyle w:val="34"/>
        <w:rPr>
          <w:bCs/>
        </w:rPr>
      </w:pPr>
      <w:r>
        <w:rPr>
          <w:bCs/>
        </w:rPr>
        <w:t>F． 3000天氨氮影响预测污染源范围图</w:t>
      </w:r>
    </w:p>
    <w:p>
      <w:pPr>
        <w:pStyle w:val="58"/>
      </w:pPr>
      <w:r>
        <w:t>图5.4-2</w:t>
      </w:r>
      <w:r>
        <w:rPr>
          <w:rFonts w:hint="eastAsia"/>
        </w:rPr>
        <w:t>5</w:t>
      </w:r>
      <w:r>
        <w:t xml:space="preserve">  非正常状况泄漏情景下含水层氨氮影响范围图</w:t>
      </w:r>
    </w:p>
    <w:p>
      <w:pPr>
        <w:pStyle w:val="32"/>
        <w:ind w:right="240"/>
      </w:pPr>
      <w:r>
        <w:t>表5.4-</w:t>
      </w:r>
      <w:r>
        <w:rPr>
          <w:rFonts w:hint="eastAsia"/>
        </w:rPr>
        <w:t>9</w:t>
      </w:r>
      <w:r>
        <w:t xml:space="preserve">      非正常状况泄漏情景下含水层NH</w:t>
      </w:r>
      <w:r>
        <w:rPr>
          <w:vertAlign w:val="subscript"/>
        </w:rPr>
        <w:t>3</w:t>
      </w:r>
      <w:r>
        <w:t>-N影响范围</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490"/>
        <w:gridCol w:w="2333"/>
        <w:gridCol w:w="2335"/>
        <w:gridCol w:w="2856"/>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时间（天）</w:t>
            </w:r>
          </w:p>
        </w:tc>
        <w:tc>
          <w:tcPr>
            <w:tcW w:w="1294" w:type="pct"/>
            <w:vAlign w:val="center"/>
          </w:tcPr>
          <w:p>
            <w:pPr>
              <w:pStyle w:val="35"/>
            </w:pPr>
            <w:r>
              <w:t>超标范围（m</w:t>
            </w:r>
            <w:r>
              <w:rPr>
                <w:vertAlign w:val="superscript"/>
              </w:rPr>
              <w:t>2</w:t>
            </w:r>
            <w:r>
              <w:t>）</w:t>
            </w:r>
          </w:p>
        </w:tc>
        <w:tc>
          <w:tcPr>
            <w:tcW w:w="1295" w:type="pct"/>
            <w:vAlign w:val="center"/>
          </w:tcPr>
          <w:p>
            <w:pPr>
              <w:pStyle w:val="35"/>
            </w:pPr>
            <w:r>
              <w:t>影响范围（m</w:t>
            </w:r>
            <w:r>
              <w:rPr>
                <w:vertAlign w:val="superscript"/>
              </w:rPr>
              <w:t>2</w:t>
            </w:r>
            <w:r>
              <w:t>）</w:t>
            </w:r>
          </w:p>
        </w:tc>
        <w:tc>
          <w:tcPr>
            <w:tcW w:w="1584" w:type="pct"/>
            <w:vAlign w:val="center"/>
          </w:tcPr>
          <w:p>
            <w:pPr>
              <w:pStyle w:val="35"/>
            </w:pPr>
            <w:r>
              <w:t>最大运移距离（m）</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100</w:t>
            </w:r>
          </w:p>
        </w:tc>
        <w:tc>
          <w:tcPr>
            <w:tcW w:w="1294" w:type="pct"/>
            <w:vAlign w:val="center"/>
          </w:tcPr>
          <w:p>
            <w:pPr>
              <w:pStyle w:val="35"/>
            </w:pPr>
            <w:r>
              <w:t>0</w:t>
            </w:r>
          </w:p>
        </w:tc>
        <w:tc>
          <w:tcPr>
            <w:tcW w:w="1295" w:type="pct"/>
            <w:vAlign w:val="center"/>
          </w:tcPr>
          <w:p>
            <w:pPr>
              <w:pStyle w:val="35"/>
            </w:pPr>
            <w:r>
              <w:t>1915.37</w:t>
            </w:r>
          </w:p>
        </w:tc>
        <w:tc>
          <w:tcPr>
            <w:tcW w:w="1584" w:type="pct"/>
            <w:vAlign w:val="center"/>
          </w:tcPr>
          <w:p>
            <w:pPr>
              <w:pStyle w:val="35"/>
            </w:pPr>
            <w:r>
              <w:t>40.05</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300</w:t>
            </w:r>
          </w:p>
        </w:tc>
        <w:tc>
          <w:tcPr>
            <w:tcW w:w="1294" w:type="pct"/>
            <w:vAlign w:val="center"/>
          </w:tcPr>
          <w:p>
            <w:pPr>
              <w:pStyle w:val="35"/>
            </w:pPr>
            <w:r>
              <w:t>0</w:t>
            </w:r>
          </w:p>
        </w:tc>
        <w:tc>
          <w:tcPr>
            <w:tcW w:w="1295" w:type="pct"/>
            <w:vAlign w:val="center"/>
          </w:tcPr>
          <w:p>
            <w:pPr>
              <w:pStyle w:val="35"/>
            </w:pPr>
            <w:r>
              <w:t>3635.07</w:t>
            </w:r>
          </w:p>
        </w:tc>
        <w:tc>
          <w:tcPr>
            <w:tcW w:w="1584" w:type="pct"/>
            <w:vAlign w:val="center"/>
          </w:tcPr>
          <w:p>
            <w:pPr>
              <w:pStyle w:val="35"/>
            </w:pPr>
            <w:r>
              <w:t>64.08</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500</w:t>
            </w:r>
          </w:p>
        </w:tc>
        <w:tc>
          <w:tcPr>
            <w:tcW w:w="1294" w:type="pct"/>
            <w:vAlign w:val="center"/>
          </w:tcPr>
          <w:p>
            <w:pPr>
              <w:pStyle w:val="35"/>
            </w:pPr>
            <w:r>
              <w:t>0</w:t>
            </w:r>
          </w:p>
        </w:tc>
        <w:tc>
          <w:tcPr>
            <w:tcW w:w="1295" w:type="pct"/>
            <w:vAlign w:val="center"/>
          </w:tcPr>
          <w:p>
            <w:pPr>
              <w:pStyle w:val="35"/>
            </w:pPr>
            <w:r>
              <w:t>4169.56</w:t>
            </w:r>
          </w:p>
        </w:tc>
        <w:tc>
          <w:tcPr>
            <w:tcW w:w="1584" w:type="pct"/>
            <w:vAlign w:val="center"/>
          </w:tcPr>
          <w:p>
            <w:pPr>
              <w:pStyle w:val="35"/>
            </w:pPr>
            <w:r>
              <w:t>74.22</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1000</w:t>
            </w:r>
          </w:p>
        </w:tc>
        <w:tc>
          <w:tcPr>
            <w:tcW w:w="1294" w:type="pct"/>
            <w:vAlign w:val="center"/>
          </w:tcPr>
          <w:p>
            <w:pPr>
              <w:pStyle w:val="35"/>
            </w:pPr>
            <w:r>
              <w:t>0</w:t>
            </w:r>
          </w:p>
        </w:tc>
        <w:tc>
          <w:tcPr>
            <w:tcW w:w="1295" w:type="pct"/>
            <w:vAlign w:val="center"/>
          </w:tcPr>
          <w:p>
            <w:pPr>
              <w:pStyle w:val="35"/>
            </w:pPr>
            <w:r>
              <w:t>5369.77</w:t>
            </w:r>
          </w:p>
        </w:tc>
        <w:tc>
          <w:tcPr>
            <w:tcW w:w="1584" w:type="pct"/>
            <w:vAlign w:val="center"/>
          </w:tcPr>
          <w:p>
            <w:pPr>
              <w:pStyle w:val="35"/>
            </w:pPr>
            <w:r>
              <w:t>93.79</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2000</w:t>
            </w:r>
          </w:p>
        </w:tc>
        <w:tc>
          <w:tcPr>
            <w:tcW w:w="1294" w:type="pct"/>
            <w:vAlign w:val="center"/>
          </w:tcPr>
          <w:p>
            <w:pPr>
              <w:pStyle w:val="35"/>
            </w:pPr>
            <w:r>
              <w:t>0</w:t>
            </w:r>
          </w:p>
        </w:tc>
        <w:tc>
          <w:tcPr>
            <w:tcW w:w="1295" w:type="pct"/>
            <w:vAlign w:val="center"/>
          </w:tcPr>
          <w:p>
            <w:pPr>
              <w:pStyle w:val="35"/>
            </w:pPr>
            <w:r>
              <w:t>5726.93</w:t>
            </w:r>
          </w:p>
        </w:tc>
        <w:tc>
          <w:tcPr>
            <w:tcW w:w="1584" w:type="pct"/>
            <w:vAlign w:val="center"/>
          </w:tcPr>
          <w:p>
            <w:pPr>
              <w:pStyle w:val="35"/>
            </w:pPr>
            <w:r>
              <w:t>101.09</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3" w:hRule="atLeast"/>
        </w:trPr>
        <w:tc>
          <w:tcPr>
            <w:tcW w:w="827" w:type="pct"/>
            <w:vAlign w:val="center"/>
          </w:tcPr>
          <w:p>
            <w:pPr>
              <w:pStyle w:val="35"/>
            </w:pPr>
            <w:r>
              <w:t>3000</w:t>
            </w:r>
          </w:p>
        </w:tc>
        <w:tc>
          <w:tcPr>
            <w:tcW w:w="1294" w:type="pct"/>
            <w:vAlign w:val="center"/>
          </w:tcPr>
          <w:p>
            <w:pPr>
              <w:pStyle w:val="35"/>
            </w:pPr>
            <w:r>
              <w:t>0</w:t>
            </w:r>
          </w:p>
        </w:tc>
        <w:tc>
          <w:tcPr>
            <w:tcW w:w="1295" w:type="pct"/>
            <w:vAlign w:val="center"/>
          </w:tcPr>
          <w:p>
            <w:pPr>
              <w:pStyle w:val="35"/>
            </w:pPr>
            <w:r>
              <w:t>6239.60</w:t>
            </w:r>
          </w:p>
        </w:tc>
        <w:tc>
          <w:tcPr>
            <w:tcW w:w="1584" w:type="pct"/>
            <w:vAlign w:val="center"/>
          </w:tcPr>
          <w:p>
            <w:pPr>
              <w:pStyle w:val="35"/>
            </w:pPr>
            <w:r>
              <w:t>106.74</w:t>
            </w:r>
          </w:p>
        </w:tc>
      </w:tr>
    </w:tbl>
    <w:p>
      <w:pPr>
        <w:pStyle w:val="27"/>
        <w:ind w:firstLine="560"/>
      </w:pPr>
      <w:r>
        <w:t>从上面预测结果可以看出，在厂区尾气洗涤塔非正常状况情景下，氨氮污染物运移过程中随着水流的稀释作用，由西向东迁移，在泄漏点位置浓度最大，值为0.00183mg/L，不存在超标现象。随着时间延长氨氮浓度在逐渐地进一步降低。在3000d时地下水中COD浓度已经降得很低，泄漏点处值为0.00025mg/L。可见，氨氮浓度在尾气洗涤塔发生泄露情景下，对地下水环境产生很小影响，没有超标现象，但是具有一定的影响范围。为了进一步减小在非正常工况下，尾气洗涤塔发生泄漏对地下水环境的影响，应加强装置防渗以及监测工作。</w:t>
      </w:r>
    </w:p>
    <w:p>
      <w:pPr>
        <w:adjustRightInd w:val="0"/>
        <w:snapToGrid w:val="0"/>
        <w:spacing w:line="240" w:lineRule="atLeast"/>
        <w:jc w:val="center"/>
      </w:pPr>
      <w:r>
        <w:drawing>
          <wp:inline distT="0" distB="0" distL="0" distR="0">
            <wp:extent cx="4596765" cy="2767330"/>
            <wp:effectExtent l="9525" t="9525" r="22860" b="23495"/>
            <wp:docPr id="2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
                    <pic:cNvPicPr>
                      <a:picLocks noChangeAspect="1"/>
                    </pic:cNvPicPr>
                  </pic:nvPicPr>
                  <pic:blipFill>
                    <a:blip r:embed="rId116"/>
                    <a:stretch>
                      <a:fillRect/>
                    </a:stretch>
                  </pic:blipFill>
                  <pic:spPr>
                    <a:xfrm>
                      <a:off x="0" y="0"/>
                      <a:ext cx="4596782" cy="2767824"/>
                    </a:xfrm>
                    <a:prstGeom prst="rect">
                      <a:avLst/>
                    </a:prstGeom>
                    <a:noFill/>
                    <a:ln w="9525">
                      <a:solidFill>
                        <a:schemeClr val="tx1"/>
                      </a:solidFill>
                      <a:miter lim="800000"/>
                      <a:headEnd/>
                      <a:tailEnd/>
                    </a:ln>
                  </pic:spPr>
                </pic:pic>
              </a:graphicData>
            </a:graphic>
          </wp:inline>
        </w:drawing>
      </w:r>
    </w:p>
    <w:p>
      <w:pPr>
        <w:pStyle w:val="58"/>
      </w:pPr>
      <w:r>
        <w:t>图5.4-2</w:t>
      </w:r>
      <w:r>
        <w:rPr>
          <w:rFonts w:hint="eastAsia"/>
        </w:rPr>
        <w:t>6</w:t>
      </w:r>
      <w:r>
        <w:t xml:space="preserve">  非正常状况泄漏情景下泄漏点位置含水层氨氮浓度曲线</w:t>
      </w:r>
    </w:p>
    <w:p>
      <w:pPr>
        <w:pStyle w:val="33"/>
      </w:pPr>
      <w:r>
        <w:t>5.4.</w:t>
      </w:r>
      <w:bookmarkStart w:id="198" w:name="_Toc470096821"/>
      <w:bookmarkStart w:id="199" w:name="_Toc33898213"/>
      <w:bookmarkStart w:id="200" w:name="_Toc20679"/>
      <w:bookmarkStart w:id="201" w:name="_Toc468693004"/>
      <w:bookmarkStart w:id="202" w:name="_Toc405317350"/>
      <w:bookmarkStart w:id="203" w:name="_Toc67855453"/>
      <w:r>
        <w:t>7.5 厂区建设对区域地下水影响评价小结</w:t>
      </w:r>
      <w:bookmarkEnd w:id="198"/>
      <w:bookmarkEnd w:id="199"/>
      <w:bookmarkEnd w:id="200"/>
      <w:bookmarkEnd w:id="201"/>
      <w:bookmarkEnd w:id="202"/>
      <w:bookmarkEnd w:id="203"/>
    </w:p>
    <w:p>
      <w:pPr>
        <w:pStyle w:val="27"/>
        <w:ind w:firstLine="560"/>
      </w:pPr>
      <w:r>
        <w:t>（1）由预测结果可知，污染物在水动力条件作用下主要由西向东方向运移。</w:t>
      </w:r>
    </w:p>
    <w:p>
      <w:pPr>
        <w:pStyle w:val="27"/>
        <w:ind w:firstLine="560"/>
      </w:pPr>
      <w:r>
        <w:t>（2）考虑最不利状况（项目区尾气洗涤塔泄露情景下），可以看出地下水中COD有超标，但超标范围仅在泄漏点附近，并没有超出厂区范围。泄漏事故发生300天后，地下水中COD就不再超标。氨氮由于浓度较低，不存在超标问题。</w:t>
      </w:r>
    </w:p>
    <w:p>
      <w:pPr>
        <w:pStyle w:val="27"/>
        <w:ind w:firstLine="560"/>
      </w:pPr>
      <w:r>
        <w:t>（3）从总的评价结果来看，在有效的防渗措施和完善的监测系统条件下，该项目不会对地下水造成很大影响。发生事故立即启动应急预案，只要处理及时其对地下水的污染可控制在厂区范围之内。</w:t>
      </w:r>
    </w:p>
    <w:p>
      <w:pPr>
        <w:pStyle w:val="31"/>
      </w:pPr>
      <w:bookmarkStart w:id="204" w:name="_Toc67855461"/>
      <w:bookmarkStart w:id="205" w:name="_Toc28160042"/>
      <w:r>
        <w:t>5.4.</w:t>
      </w:r>
      <w:r>
        <w:rPr>
          <w:rFonts w:hint="eastAsia"/>
        </w:rPr>
        <w:t>8</w:t>
      </w:r>
      <w:r>
        <w:t xml:space="preserve">  地下水环境影响评价结论</w:t>
      </w:r>
      <w:bookmarkEnd w:id="204"/>
      <w:bookmarkEnd w:id="205"/>
    </w:p>
    <w:p>
      <w:pPr>
        <w:pStyle w:val="33"/>
      </w:pPr>
      <w:bookmarkStart w:id="206" w:name="bookmark66"/>
      <w:bookmarkEnd w:id="206"/>
      <w:bookmarkStart w:id="207" w:name="_Toc67855462"/>
      <w:bookmarkStart w:id="208" w:name="_Toc28160043"/>
      <w:r>
        <w:t>5.4.</w:t>
      </w:r>
      <w:r>
        <w:rPr>
          <w:rFonts w:hint="eastAsia"/>
        </w:rPr>
        <w:t>8</w:t>
      </w:r>
      <w:r>
        <w:t>.1 项目类别与评价工作等级</w:t>
      </w:r>
      <w:bookmarkEnd w:id="207"/>
      <w:bookmarkEnd w:id="208"/>
    </w:p>
    <w:p>
      <w:pPr>
        <w:pStyle w:val="27"/>
        <w:ind w:firstLine="560"/>
      </w:pPr>
      <w:r>
        <w:rPr>
          <w:rFonts w:hint="eastAsia"/>
        </w:rPr>
        <w:t>本</w:t>
      </w:r>
      <w:r>
        <w:t>项目</w:t>
      </w:r>
      <w:r>
        <w:rPr>
          <w:rFonts w:hint="eastAsia"/>
        </w:rPr>
        <w:t>行业类别为</w:t>
      </w:r>
      <w:r>
        <w:t>石化、化工行业里的基本化学原料制造，地下水环境影响评价项目类别为Ⅰ类，建设项目的地下水环境敏感程度为“较敏感”，综合判定本项目地下水环境影响评价工作等级为“一级”。</w:t>
      </w:r>
    </w:p>
    <w:p>
      <w:pPr>
        <w:pStyle w:val="33"/>
      </w:pPr>
      <w:bookmarkStart w:id="209" w:name="bookmark67"/>
      <w:bookmarkEnd w:id="209"/>
      <w:bookmarkStart w:id="210" w:name="_Toc28160044"/>
      <w:bookmarkStart w:id="211" w:name="_Toc67855463"/>
      <w:r>
        <w:t>5.4.</w:t>
      </w:r>
      <w:r>
        <w:rPr>
          <w:rFonts w:hint="eastAsia"/>
        </w:rPr>
        <w:t>8</w:t>
      </w:r>
      <w:r>
        <w:t>.2 地下水保护目标</w:t>
      </w:r>
      <w:bookmarkEnd w:id="210"/>
      <w:bookmarkEnd w:id="211"/>
    </w:p>
    <w:p>
      <w:pPr>
        <w:pStyle w:val="27"/>
        <w:ind w:firstLine="560"/>
      </w:pPr>
      <w:r>
        <w:t>本项目的地下水保护目标为项目区周边的康呼村、前漳消村供水井等分散式饮水源地和潜水含水层。</w:t>
      </w:r>
    </w:p>
    <w:p>
      <w:pPr>
        <w:pStyle w:val="33"/>
      </w:pPr>
      <w:bookmarkStart w:id="212" w:name="_Toc67855464"/>
      <w:bookmarkStart w:id="213" w:name="_Toc28160045"/>
      <w:r>
        <w:t>5.4.</w:t>
      </w:r>
      <w:r>
        <w:rPr>
          <w:rFonts w:hint="eastAsia"/>
        </w:rPr>
        <w:t>8</w:t>
      </w:r>
      <w:r>
        <w:t>.3 调查评价区水文地质特征</w:t>
      </w:r>
      <w:bookmarkEnd w:id="212"/>
      <w:bookmarkEnd w:id="213"/>
    </w:p>
    <w:p>
      <w:pPr>
        <w:pStyle w:val="27"/>
        <w:ind w:firstLine="560"/>
      </w:pPr>
      <w:bookmarkStart w:id="214" w:name="bookmark69"/>
      <w:bookmarkEnd w:id="214"/>
      <w:r>
        <w:t>调查区浅层含水组为潜水或承压水，由上更新统与全新统中的含水砂层组成，地下水赋存于全新统，上更新统粉细砂、细砂中。全新统含水层总厚度一般5～15m，底板由不甚稳定的粘性土层所组成，埋深30m左右。由于地下水位的持续下降，上部砂层大都已被疏干。上更新统含水层厚度一般大于30m，底板埋深70～100m。</w:t>
      </w:r>
    </w:p>
    <w:p>
      <w:pPr>
        <w:pStyle w:val="27"/>
        <w:ind w:firstLine="560"/>
      </w:pPr>
      <w:r>
        <w:t>调查区中深层含水组为层间承压水，主要由中更新统和下更新统含水层组成，中更新统含水岩组岩性以细砂、中砂为主，局部为粗砂，含水层底板埋深一般为200～240m。中更新统含水岩组的富水性与古河道的分布和结构密切相关。地下水水化学类型以HCO</w:t>
      </w:r>
      <w:r>
        <w:rPr>
          <w:vertAlign w:val="subscript"/>
        </w:rPr>
        <w:t>3</w:t>
      </w:r>
      <w:r>
        <w:t>型为主。下更新统含水岩组岩性主要为中、细砂、粉砂，含水层厚度一般20～30m，埋藏深度260～450m。深层承压水含水系统地下水化学类型以SO</w:t>
      </w:r>
      <w:r>
        <w:rPr>
          <w:vertAlign w:val="subscript"/>
        </w:rPr>
        <w:t>4</w:t>
      </w:r>
      <w:r>
        <w:t>·Cl—Na·Mg及HCO</w:t>
      </w:r>
      <w:r>
        <w:rPr>
          <w:vertAlign w:val="subscript"/>
        </w:rPr>
        <w:t>3</w:t>
      </w:r>
      <w:r>
        <w:t xml:space="preserve">·Cl—Na·Mg为主。 </w:t>
      </w:r>
    </w:p>
    <w:p>
      <w:pPr>
        <w:pStyle w:val="27"/>
        <w:ind w:firstLine="560"/>
      </w:pPr>
      <w:r>
        <w:t>调查区的大气降水补给是该区地下水的主要补给源，区内有濮水河等常年性河流，河水常年侧向补给或自由渗漏补给地下水。工作区农田主要使用井灌，同时农村生活用水及乡镇企业用水开采浅层地下水，因此开采排泄成为浅层地下水主要的排泄途径。浅层水总体由西向东径流，也存在径流排泄、蒸发排泄。</w:t>
      </w:r>
    </w:p>
    <w:p>
      <w:pPr>
        <w:pStyle w:val="33"/>
      </w:pPr>
      <w:bookmarkStart w:id="215" w:name="_Toc28160046"/>
      <w:bookmarkStart w:id="216" w:name="_Toc67855465"/>
      <w:r>
        <w:t>5.4.</w:t>
      </w:r>
      <w:r>
        <w:rPr>
          <w:rFonts w:hint="eastAsia"/>
        </w:rPr>
        <w:t>8</w:t>
      </w:r>
      <w:r>
        <w:t>.4 项目场地水文地质特征</w:t>
      </w:r>
      <w:bookmarkEnd w:id="215"/>
      <w:bookmarkEnd w:id="216"/>
    </w:p>
    <w:p>
      <w:pPr>
        <w:pStyle w:val="27"/>
        <w:ind w:firstLine="560"/>
      </w:pPr>
      <w:r>
        <w:t>场地包气带主要由粉土、粘土、粉砂组成，包气带中具有天然防污性能的为第3层粘土层，总厚度2.5m。根据本次渗水试验，测得包气带粉土垂向渗透系数7.83×10</w:t>
      </w:r>
      <w:r>
        <w:rPr>
          <w:vertAlign w:val="superscript"/>
        </w:rPr>
        <w:t>-5</w:t>
      </w:r>
      <w:r>
        <w:t xml:space="preserve"> cm/s，包气带天然防污性能级别为“中”。</w:t>
      </w:r>
    </w:p>
    <w:p>
      <w:pPr>
        <w:pStyle w:val="27"/>
        <w:ind w:firstLine="560"/>
      </w:pPr>
      <w:r>
        <w:t>场地浅层地下水含水层岩性为粉细砂和粉土，含水层总厚度为25.54m，层底埋深45.8m。该浅层含水岩组为全新统、上更新统含水岩组，地下水类型为承压水。根据本次现场抽水试验及水质分析资料，含水层渗透系数为9.61m/d，浅层地下水化学类型为HCO</w:t>
      </w:r>
      <w:r>
        <w:rPr>
          <w:vertAlign w:val="subscript"/>
        </w:rPr>
        <w:t>3</w:t>
      </w:r>
      <w:r>
        <w:t>·SO</w:t>
      </w:r>
      <w:r>
        <w:rPr>
          <w:vertAlign w:val="subscript"/>
        </w:rPr>
        <w:t>4</w:t>
      </w:r>
      <w:r>
        <w:t>—Ca·Mg型水。</w:t>
      </w:r>
    </w:p>
    <w:p>
      <w:pPr>
        <w:pStyle w:val="27"/>
        <w:ind w:firstLine="560"/>
      </w:pPr>
      <w:r>
        <w:t>根据钻孔柱状图，隔水层为第11层的粉质粘土层。据区域水文地质条件，在浅层、中层、深层含水岩组之间，均分布有稳定的粉质粘土、粘土，各层含水岩组之间水力联系微弱。</w:t>
      </w:r>
    </w:p>
    <w:p>
      <w:pPr>
        <w:pStyle w:val="27"/>
        <w:ind w:firstLine="560"/>
      </w:pPr>
      <w:r>
        <w:t>项目场地位于冲积平原，地形平坦、开阔，场地浅层地下水稳定水位埋深为21.52m，其补给来源主要为大气降水入渗，地表水渗漏（濮水河），田间灌溉水回渗等。排泄方式主要为人工开采。人工开采主要是城市工业及生活用水开采和农业灌溉开采。浅层地下水由由西向东流动，水力坡度为3‰。</w:t>
      </w:r>
    </w:p>
    <w:p>
      <w:pPr>
        <w:pStyle w:val="33"/>
      </w:pPr>
      <w:bookmarkStart w:id="217" w:name="bookmark71"/>
      <w:bookmarkEnd w:id="217"/>
      <w:bookmarkStart w:id="218" w:name="bookmark72"/>
      <w:bookmarkEnd w:id="218"/>
      <w:bookmarkStart w:id="219" w:name="_Toc67855467"/>
      <w:bookmarkStart w:id="220" w:name="_Toc28160048"/>
      <w:r>
        <w:t>5.4.</w:t>
      </w:r>
      <w:r>
        <w:rPr>
          <w:rFonts w:hint="eastAsia"/>
        </w:rPr>
        <w:t>8</w:t>
      </w:r>
      <w:r>
        <w:t>.5 地下水环境影响预测评价</w:t>
      </w:r>
      <w:bookmarkEnd w:id="219"/>
      <w:bookmarkEnd w:id="220"/>
    </w:p>
    <w:p>
      <w:pPr>
        <w:pStyle w:val="27"/>
        <w:ind w:firstLine="560"/>
      </w:pPr>
      <w:bookmarkStart w:id="221" w:name="bookmark73"/>
      <w:bookmarkEnd w:id="221"/>
      <w:bookmarkStart w:id="222" w:name="_Toc28160049"/>
      <w:bookmarkStart w:id="223" w:name="_Toc67855468"/>
      <w:r>
        <w:t>（1）正常工况</w:t>
      </w:r>
      <w:bookmarkEnd w:id="222"/>
      <w:bookmarkEnd w:id="223"/>
    </w:p>
    <w:p>
      <w:pPr>
        <w:pStyle w:val="27"/>
        <w:ind w:firstLine="560"/>
      </w:pPr>
      <w:r>
        <w:t>正常工况下，按照项目可研报告，项目建设均按照《石油化工工程防渗技术 规范 GB/T 50934-2013》、《环境影响评价导则-地下水环境》（HJ 610-2016）等相关规范的要求进行防渗处理，各生产环节按照设计参数运行，地下水可能的污染来源为各管线、储罐等跑冒漏滴。正常工况下污水不会渗漏进入地下造成污染。因此，正常工况下不应有污染物或其它物料暴露而发生渗漏至地下水的情景发生。</w:t>
      </w:r>
    </w:p>
    <w:p>
      <w:pPr>
        <w:pStyle w:val="27"/>
        <w:ind w:firstLine="560"/>
      </w:pPr>
      <w:bookmarkStart w:id="224" w:name="bookmark74"/>
      <w:bookmarkEnd w:id="224"/>
      <w:bookmarkStart w:id="225" w:name="_Toc67855469"/>
      <w:bookmarkStart w:id="226" w:name="_Toc28160050"/>
      <w:r>
        <w:t>（2）非正常工况</w:t>
      </w:r>
      <w:bookmarkEnd w:id="225"/>
      <w:bookmarkEnd w:id="226"/>
    </w:p>
    <w:p>
      <w:pPr>
        <w:pStyle w:val="27"/>
        <w:ind w:firstLine="560"/>
      </w:pPr>
      <w:r>
        <w:t>考虑最不利状况（项目区尾气洗涤塔泄露情景下），可以看出地下水中COD有超标，但超标范围仅在泄漏点附近，并没有超出厂区范围。泄漏事故发生300天后，地下水中COD就不再超标。氨氮由于浓度较低，不存在超标问题。</w:t>
      </w:r>
    </w:p>
    <w:p>
      <w:pPr>
        <w:pStyle w:val="27"/>
        <w:ind w:firstLine="560"/>
      </w:pPr>
      <w:r>
        <w:t>从总的评价结果来看，在有效的防渗措施和完善的监测系统条件下，该项目不会对地下水造成很大影响。发生事故立即启动应急预案，只要处理及时其对地下水的污染可控制在厂区范围之内。</w:t>
      </w:r>
    </w:p>
    <w:p>
      <w:pPr>
        <w:pStyle w:val="27"/>
        <w:ind w:firstLine="560"/>
      </w:pPr>
      <w:r>
        <w:t>预测说明该工程对地下水环境有一定的影响。但从泄漏概率、地面破损概率综合考虑，尾气洗涤塔破裂渗入地下是概率很小的事件，如果采取适当的预防措施和应急处理措施，可以把对地下水环境的影响控制到地下水环境容量可以接受的程度。</w:t>
      </w:r>
      <w:bookmarkStart w:id="227" w:name="bookmark75"/>
      <w:bookmarkEnd w:id="227"/>
    </w:p>
    <w:p>
      <w:pPr>
        <w:pStyle w:val="33"/>
      </w:pPr>
      <w:bookmarkStart w:id="228" w:name="bookmark76"/>
      <w:bookmarkEnd w:id="228"/>
      <w:bookmarkStart w:id="229" w:name="_Toc67855471"/>
      <w:bookmarkStart w:id="230" w:name="_Toc28160052"/>
      <w:r>
        <w:t>5.4.</w:t>
      </w:r>
      <w:r>
        <w:rPr>
          <w:rFonts w:hint="eastAsia"/>
        </w:rPr>
        <w:t>8</w:t>
      </w:r>
      <w:r>
        <w:t>.</w:t>
      </w:r>
      <w:r>
        <w:rPr>
          <w:rFonts w:hint="eastAsia"/>
        </w:rPr>
        <w:t>6</w:t>
      </w:r>
      <w:r>
        <w:t xml:space="preserve"> 建议</w:t>
      </w:r>
      <w:bookmarkEnd w:id="229"/>
      <w:bookmarkEnd w:id="230"/>
    </w:p>
    <w:p>
      <w:pPr>
        <w:pStyle w:val="27"/>
        <w:ind w:firstLine="560"/>
      </w:pPr>
      <w:r>
        <w:t xml:space="preserve">（1）地下水污染具有不易发现和一旦污染很难治理的特点。因此，防止地下水污染应遵循源头控制，采取防渗措施、污染动态监测及事故应急处理的主动和被动相结合的原则。 </w:t>
      </w:r>
    </w:p>
    <w:p>
      <w:pPr>
        <w:pStyle w:val="27"/>
        <w:ind w:firstLine="560"/>
      </w:pPr>
      <w:r>
        <w:t>（2）地下水污染评价是一项专业性很强的工作，一旦发生污染事故，应首先委托具有水文地质勘察资质的单位查明地下水污染情况。</w:t>
      </w:r>
    </w:p>
    <w:p>
      <w:pPr>
        <w:pStyle w:val="27"/>
        <w:ind w:firstLine="560"/>
      </w:pPr>
      <w:r>
        <w:t>（3）项目建成后，应加强对厂址区地下水质量的动态监测工作，实时掌握项目对地下水水质的影响，为污染防治提供资料。</w:t>
      </w:r>
    </w:p>
    <w:p>
      <w:pPr>
        <w:pStyle w:val="62"/>
      </w:pPr>
      <w:r>
        <w:t>5.5  土壤环境质量影响分析</w:t>
      </w:r>
    </w:p>
    <w:p>
      <w:pPr>
        <w:pStyle w:val="31"/>
        <w:rPr>
          <w:lang w:val="zh-CN"/>
        </w:rPr>
      </w:pPr>
      <w:bookmarkStart w:id="231" w:name="_Toc13617"/>
      <w:r>
        <w:t xml:space="preserve">5.5.1 </w:t>
      </w:r>
      <w:r>
        <w:rPr>
          <w:lang w:val="zh-CN"/>
        </w:rPr>
        <w:t>土壤环境影响识别及评价等级确定</w:t>
      </w:r>
      <w:bookmarkEnd w:id="231"/>
    </w:p>
    <w:p>
      <w:pPr>
        <w:pStyle w:val="27"/>
        <w:ind w:firstLine="560"/>
      </w:pPr>
      <w:r>
        <w:t>根据项目建设内容及其对土壤环境可能产生的影响，判定本项目土壤影响类型为污染影响型。</w:t>
      </w:r>
    </w:p>
    <w:p>
      <w:pPr>
        <w:pStyle w:val="33"/>
      </w:pPr>
      <w:r>
        <w:t>5.5.1.1 评价等级确定</w:t>
      </w:r>
    </w:p>
    <w:p>
      <w:pPr>
        <w:pStyle w:val="27"/>
        <w:ind w:firstLine="560"/>
      </w:pPr>
      <w:r>
        <w:t>根据《环境影响评价技术导则  土壤环境》（HJ 964-2018）中规定，污染影响型建设项目土壤环境影响评价工作等级的划分有项目类别、占地规模与周边土壤环境敏感程度确定。建设项目占地规模分为大型（≧50hm</w:t>
      </w:r>
      <w:r>
        <w:rPr>
          <w:vertAlign w:val="superscript"/>
        </w:rPr>
        <w:t>2</w:t>
      </w:r>
      <w:r>
        <w:t>）、中型（5~50hm</w:t>
      </w:r>
      <w:r>
        <w:rPr>
          <w:vertAlign w:val="superscript"/>
        </w:rPr>
        <w:t>2</w:t>
      </w:r>
      <w:r>
        <w:t>）、小型（≦5hm</w:t>
      </w:r>
      <w:r>
        <w:rPr>
          <w:vertAlign w:val="superscript"/>
        </w:rPr>
        <w:t>2</w:t>
      </w:r>
      <w:r>
        <w:t>）。</w:t>
      </w:r>
    </w:p>
    <w:p>
      <w:pPr>
        <w:pStyle w:val="27"/>
        <w:ind w:firstLine="560"/>
      </w:pPr>
      <w:r>
        <w:t>环境敏感程度分级方法见表5.5-1，评价工作等级划分方法见表5.5-2。</w:t>
      </w:r>
    </w:p>
    <w:p>
      <w:pPr>
        <w:pStyle w:val="32"/>
        <w:tabs>
          <w:tab w:val="left" w:pos="4540"/>
          <w:tab w:val="clear" w:pos="900"/>
        </w:tabs>
        <w:ind w:right="240"/>
        <w:rPr>
          <w:szCs w:val="24"/>
        </w:rPr>
      </w:pPr>
      <w:r>
        <w:t>表5.5-1</w:t>
      </w:r>
      <w:r>
        <w:rPr>
          <w:szCs w:val="24"/>
        </w:rPr>
        <w:t xml:space="preserve">                 环境敏感程度分级表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75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09" w:type="pct"/>
            <w:shd w:val="clear" w:color="auto" w:fill="auto"/>
            <w:vAlign w:val="center"/>
          </w:tcPr>
          <w:p>
            <w:pPr>
              <w:spacing w:line="280" w:lineRule="exact"/>
              <w:jc w:val="center"/>
              <w:rPr>
                <w:b/>
                <w:sz w:val="21"/>
                <w:szCs w:val="21"/>
              </w:rPr>
            </w:pPr>
            <w:r>
              <w:rPr>
                <w:b/>
                <w:sz w:val="21"/>
                <w:szCs w:val="21"/>
              </w:rPr>
              <w:t>敏感程度</w:t>
            </w:r>
          </w:p>
        </w:tc>
        <w:tc>
          <w:tcPr>
            <w:tcW w:w="4090" w:type="pct"/>
            <w:shd w:val="clear" w:color="auto" w:fill="auto"/>
            <w:vAlign w:val="center"/>
          </w:tcPr>
          <w:p>
            <w:pPr>
              <w:spacing w:line="280" w:lineRule="exact"/>
              <w:jc w:val="center"/>
              <w:rPr>
                <w:b/>
                <w:sz w:val="21"/>
                <w:szCs w:val="21"/>
              </w:rPr>
            </w:pPr>
            <w:r>
              <w:rPr>
                <w:b/>
                <w:sz w:val="21"/>
                <w:szCs w:val="21"/>
              </w:rPr>
              <w:t>判别依据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09" w:type="pct"/>
            <w:shd w:val="clear" w:color="auto" w:fill="auto"/>
            <w:vAlign w:val="center"/>
          </w:tcPr>
          <w:p>
            <w:pPr>
              <w:spacing w:line="280" w:lineRule="exact"/>
              <w:jc w:val="center"/>
              <w:rPr>
                <w:sz w:val="21"/>
                <w:szCs w:val="21"/>
              </w:rPr>
            </w:pPr>
            <w:r>
              <w:rPr>
                <w:sz w:val="21"/>
                <w:szCs w:val="21"/>
              </w:rPr>
              <w:t>敏感</w:t>
            </w:r>
          </w:p>
        </w:tc>
        <w:tc>
          <w:tcPr>
            <w:tcW w:w="4090" w:type="pct"/>
            <w:shd w:val="clear" w:color="auto" w:fill="auto"/>
            <w:vAlign w:val="center"/>
          </w:tcPr>
          <w:p>
            <w:pPr>
              <w:spacing w:line="280" w:lineRule="exact"/>
              <w:jc w:val="left"/>
              <w:rPr>
                <w:sz w:val="21"/>
                <w:szCs w:val="21"/>
              </w:rPr>
            </w:pPr>
            <w:r>
              <w:rPr>
                <w:sz w:val="21"/>
                <w:szCs w:val="21"/>
              </w:rPr>
              <w:t>建设项目周边存在耕地、园地、牧草地、饮用水水源地或居民区、学校、医院、疗养院、养老院等土壤环境敏感目标的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09" w:type="pct"/>
            <w:shd w:val="clear" w:color="auto" w:fill="auto"/>
            <w:vAlign w:val="center"/>
          </w:tcPr>
          <w:p>
            <w:pPr>
              <w:spacing w:line="280" w:lineRule="exact"/>
              <w:jc w:val="center"/>
              <w:rPr>
                <w:sz w:val="21"/>
                <w:szCs w:val="21"/>
              </w:rPr>
            </w:pPr>
            <w:r>
              <w:rPr>
                <w:sz w:val="21"/>
                <w:szCs w:val="21"/>
              </w:rPr>
              <w:t>较敏感</w:t>
            </w:r>
          </w:p>
        </w:tc>
        <w:tc>
          <w:tcPr>
            <w:tcW w:w="4090" w:type="pct"/>
            <w:shd w:val="clear" w:color="auto" w:fill="auto"/>
            <w:vAlign w:val="center"/>
          </w:tcPr>
          <w:p>
            <w:pPr>
              <w:spacing w:line="280" w:lineRule="exact"/>
              <w:jc w:val="center"/>
              <w:rPr>
                <w:sz w:val="21"/>
                <w:szCs w:val="21"/>
              </w:rPr>
            </w:pPr>
            <w:r>
              <w:rPr>
                <w:sz w:val="21"/>
                <w:szCs w:val="21"/>
              </w:rPr>
              <w:t>建设项目周边存在其他土壤环境敏感目标的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09" w:type="pct"/>
            <w:shd w:val="clear" w:color="auto" w:fill="auto"/>
            <w:vAlign w:val="center"/>
          </w:tcPr>
          <w:p>
            <w:pPr>
              <w:spacing w:line="280" w:lineRule="exact"/>
              <w:jc w:val="center"/>
              <w:rPr>
                <w:sz w:val="21"/>
                <w:szCs w:val="21"/>
              </w:rPr>
            </w:pPr>
            <w:r>
              <w:rPr>
                <w:sz w:val="21"/>
                <w:szCs w:val="21"/>
              </w:rPr>
              <w:t>不敏感</w:t>
            </w:r>
          </w:p>
        </w:tc>
        <w:tc>
          <w:tcPr>
            <w:tcW w:w="4090" w:type="pct"/>
            <w:shd w:val="clear" w:color="auto" w:fill="auto"/>
            <w:vAlign w:val="center"/>
          </w:tcPr>
          <w:p>
            <w:pPr>
              <w:spacing w:line="280" w:lineRule="exact"/>
              <w:jc w:val="center"/>
              <w:rPr>
                <w:sz w:val="21"/>
                <w:szCs w:val="21"/>
              </w:rPr>
            </w:pPr>
            <w:r>
              <w:rPr>
                <w:sz w:val="21"/>
                <w:szCs w:val="21"/>
              </w:rPr>
              <w:t>其他情况</w:t>
            </w:r>
          </w:p>
        </w:tc>
      </w:tr>
    </w:tbl>
    <w:p>
      <w:pPr>
        <w:pStyle w:val="32"/>
        <w:tabs>
          <w:tab w:val="left" w:pos="4540"/>
          <w:tab w:val="clear" w:pos="900"/>
        </w:tabs>
        <w:ind w:right="240"/>
        <w:rPr>
          <w:szCs w:val="24"/>
        </w:rPr>
      </w:pPr>
      <w:r>
        <w:t xml:space="preserve">表5.5-2 </w:t>
      </w:r>
      <w:r>
        <w:rPr>
          <w:szCs w:val="24"/>
        </w:rPr>
        <w:t xml:space="preserve">                 工作等级划分表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704"/>
        <w:gridCol w:w="850"/>
        <w:gridCol w:w="853"/>
        <w:gridCol w:w="712"/>
        <w:gridCol w:w="712"/>
        <w:gridCol w:w="850"/>
        <w:gridCol w:w="712"/>
        <w:gridCol w:w="705"/>
        <w:gridCol w:w="69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297" w:type="pct"/>
            <w:vMerge w:val="restart"/>
            <w:tcBorders>
              <w:tl2br w:val="single" w:color="auto" w:sz="6" w:space="0"/>
            </w:tcBorders>
            <w:shd w:val="clear" w:color="auto" w:fill="auto"/>
            <w:vAlign w:val="center"/>
          </w:tcPr>
          <w:p>
            <w:pPr>
              <w:pStyle w:val="35"/>
              <w:rPr>
                <w:b/>
                <w:bCs/>
              </w:rPr>
            </w:pPr>
          </w:p>
          <w:p>
            <w:pPr>
              <w:pStyle w:val="35"/>
              <w:snapToGrid w:val="0"/>
              <w:jc w:val="left"/>
              <w:rPr>
                <w:b/>
                <w:bCs/>
              </w:rPr>
            </w:pPr>
            <w:r>
              <w:rPr>
                <w:b/>
                <w:bCs/>
              </w:rPr>
              <w:t>占地规模</w:t>
            </w:r>
          </w:p>
          <w:p>
            <w:pPr>
              <w:pStyle w:val="35"/>
              <w:rPr>
                <w:b/>
                <w:bCs/>
              </w:rPr>
            </w:pPr>
          </w:p>
          <w:p>
            <w:pPr>
              <w:pStyle w:val="35"/>
              <w:jc w:val="left"/>
              <w:rPr>
                <w:b/>
                <w:bCs/>
              </w:rPr>
            </w:pPr>
            <w:r>
              <w:rPr>
                <w:b/>
                <w:bCs/>
              </w:rPr>
              <w:t>评价工作等级</w:t>
            </w:r>
          </w:p>
          <w:p>
            <w:pPr>
              <w:pStyle w:val="35"/>
              <w:rPr>
                <w:b/>
                <w:bCs/>
              </w:rPr>
            </w:pPr>
            <w:r>
              <w:rPr>
                <w:b/>
                <w:bCs/>
              </w:rPr>
              <w:t>敏感程度</w:t>
            </w:r>
          </w:p>
        </w:tc>
        <w:tc>
          <w:tcPr>
            <w:tcW w:w="1312" w:type="pct"/>
            <w:gridSpan w:val="3"/>
            <w:tcBorders>
              <w:bottom w:val="single" w:color="auto" w:sz="4" w:space="0"/>
            </w:tcBorders>
            <w:shd w:val="clear" w:color="auto" w:fill="auto"/>
            <w:vAlign w:val="center"/>
          </w:tcPr>
          <w:p>
            <w:pPr>
              <w:pStyle w:val="35"/>
              <w:rPr>
                <w:b/>
                <w:bCs/>
              </w:rPr>
            </w:pPr>
            <w:r>
              <w:rPr>
                <w:b/>
                <w:bCs/>
              </w:rPr>
              <w:t>Ⅰ类</w:t>
            </w:r>
          </w:p>
        </w:tc>
        <w:tc>
          <w:tcPr>
            <w:tcW w:w="1239" w:type="pct"/>
            <w:gridSpan w:val="3"/>
            <w:tcBorders>
              <w:bottom w:val="single" w:color="auto" w:sz="4" w:space="0"/>
            </w:tcBorders>
            <w:shd w:val="clear" w:color="auto" w:fill="auto"/>
            <w:vAlign w:val="center"/>
          </w:tcPr>
          <w:p>
            <w:pPr>
              <w:pStyle w:val="35"/>
              <w:rPr>
                <w:b/>
                <w:bCs/>
              </w:rPr>
            </w:pPr>
            <w:r>
              <w:rPr>
                <w:b/>
                <w:bCs/>
              </w:rPr>
              <w:t>Ⅱ类</w:t>
            </w:r>
          </w:p>
        </w:tc>
        <w:tc>
          <w:tcPr>
            <w:tcW w:w="1149" w:type="pct"/>
            <w:gridSpan w:val="3"/>
            <w:tcBorders>
              <w:bottom w:val="single" w:color="auto" w:sz="4" w:space="0"/>
            </w:tcBorders>
            <w:shd w:val="clear" w:color="auto" w:fill="auto"/>
            <w:vAlign w:val="center"/>
          </w:tcPr>
          <w:p>
            <w:pPr>
              <w:pStyle w:val="35"/>
              <w:rPr>
                <w:b/>
                <w:bCs/>
              </w:rPr>
            </w:pPr>
            <w:r>
              <w:rPr>
                <w:b/>
                <w:bCs/>
              </w:rPr>
              <w:t>Ⅲ类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297" w:type="pct"/>
            <w:vMerge w:val="continue"/>
            <w:shd w:val="clear" w:color="auto" w:fill="auto"/>
            <w:vAlign w:val="center"/>
          </w:tcPr>
          <w:p>
            <w:pPr>
              <w:pStyle w:val="35"/>
              <w:rPr>
                <w:b/>
                <w:bCs/>
              </w:rPr>
            </w:pPr>
          </w:p>
        </w:tc>
        <w:tc>
          <w:tcPr>
            <w:tcW w:w="384" w:type="pct"/>
            <w:tcBorders>
              <w:top w:val="single" w:color="auto" w:sz="4" w:space="0"/>
              <w:bottom w:val="single" w:color="auto" w:sz="4" w:space="0"/>
            </w:tcBorders>
            <w:shd w:val="clear" w:color="auto" w:fill="auto"/>
            <w:vAlign w:val="center"/>
          </w:tcPr>
          <w:p>
            <w:pPr>
              <w:pStyle w:val="35"/>
              <w:rPr>
                <w:b/>
                <w:bCs/>
              </w:rPr>
            </w:pPr>
            <w:r>
              <w:rPr>
                <w:b/>
                <w:bCs/>
              </w:rPr>
              <w:t>大</w:t>
            </w:r>
          </w:p>
        </w:tc>
        <w:tc>
          <w:tcPr>
            <w:tcW w:w="463" w:type="pct"/>
            <w:tcBorders>
              <w:top w:val="single" w:color="auto" w:sz="4" w:space="0"/>
              <w:bottom w:val="single" w:color="auto" w:sz="4" w:space="0"/>
            </w:tcBorders>
            <w:shd w:val="clear" w:color="auto" w:fill="auto"/>
            <w:vAlign w:val="center"/>
          </w:tcPr>
          <w:p>
            <w:pPr>
              <w:pStyle w:val="35"/>
              <w:rPr>
                <w:b/>
                <w:bCs/>
              </w:rPr>
            </w:pPr>
            <w:r>
              <w:rPr>
                <w:b/>
                <w:bCs/>
              </w:rPr>
              <w:t>中</w:t>
            </w:r>
          </w:p>
        </w:tc>
        <w:tc>
          <w:tcPr>
            <w:tcW w:w="464" w:type="pct"/>
            <w:tcBorders>
              <w:top w:val="single" w:color="auto" w:sz="4" w:space="0"/>
              <w:bottom w:val="single" w:color="auto" w:sz="4" w:space="0"/>
            </w:tcBorders>
            <w:shd w:val="clear" w:color="auto" w:fill="auto"/>
            <w:vAlign w:val="center"/>
          </w:tcPr>
          <w:p>
            <w:pPr>
              <w:pStyle w:val="35"/>
              <w:rPr>
                <w:b/>
                <w:bCs/>
              </w:rPr>
            </w:pPr>
            <w:r>
              <w:rPr>
                <w:b/>
                <w:bCs/>
              </w:rPr>
              <w:t>小</w:t>
            </w:r>
          </w:p>
        </w:tc>
        <w:tc>
          <w:tcPr>
            <w:tcW w:w="388" w:type="pct"/>
            <w:tcBorders>
              <w:top w:val="single" w:color="auto" w:sz="4" w:space="0"/>
              <w:bottom w:val="single" w:color="auto" w:sz="4" w:space="0"/>
            </w:tcBorders>
            <w:shd w:val="clear" w:color="auto" w:fill="auto"/>
            <w:vAlign w:val="center"/>
          </w:tcPr>
          <w:p>
            <w:pPr>
              <w:pStyle w:val="35"/>
              <w:rPr>
                <w:b/>
                <w:bCs/>
              </w:rPr>
            </w:pPr>
            <w:r>
              <w:rPr>
                <w:b/>
                <w:bCs/>
              </w:rPr>
              <w:t>大</w:t>
            </w:r>
          </w:p>
        </w:tc>
        <w:tc>
          <w:tcPr>
            <w:tcW w:w="388" w:type="pct"/>
            <w:tcBorders>
              <w:top w:val="single" w:color="auto" w:sz="4" w:space="0"/>
              <w:bottom w:val="single" w:color="auto" w:sz="4" w:space="0"/>
            </w:tcBorders>
            <w:shd w:val="clear" w:color="auto" w:fill="auto"/>
            <w:vAlign w:val="center"/>
          </w:tcPr>
          <w:p>
            <w:pPr>
              <w:pStyle w:val="35"/>
              <w:rPr>
                <w:b/>
                <w:bCs/>
              </w:rPr>
            </w:pPr>
            <w:r>
              <w:rPr>
                <w:b/>
                <w:bCs/>
              </w:rPr>
              <w:t>中</w:t>
            </w:r>
          </w:p>
        </w:tc>
        <w:tc>
          <w:tcPr>
            <w:tcW w:w="463" w:type="pct"/>
            <w:tcBorders>
              <w:top w:val="single" w:color="auto" w:sz="4" w:space="0"/>
              <w:bottom w:val="single" w:color="auto" w:sz="4" w:space="0"/>
            </w:tcBorders>
            <w:shd w:val="clear" w:color="auto" w:fill="auto"/>
            <w:vAlign w:val="center"/>
          </w:tcPr>
          <w:p>
            <w:pPr>
              <w:pStyle w:val="35"/>
              <w:rPr>
                <w:b/>
                <w:bCs/>
              </w:rPr>
            </w:pPr>
            <w:r>
              <w:rPr>
                <w:b/>
                <w:bCs/>
              </w:rPr>
              <w:t>小</w:t>
            </w:r>
          </w:p>
        </w:tc>
        <w:tc>
          <w:tcPr>
            <w:tcW w:w="388" w:type="pct"/>
            <w:tcBorders>
              <w:top w:val="single" w:color="auto" w:sz="4" w:space="0"/>
              <w:bottom w:val="single" w:color="auto" w:sz="4" w:space="0"/>
            </w:tcBorders>
            <w:shd w:val="clear" w:color="auto" w:fill="auto"/>
            <w:vAlign w:val="center"/>
          </w:tcPr>
          <w:p>
            <w:pPr>
              <w:pStyle w:val="35"/>
              <w:rPr>
                <w:b/>
                <w:bCs/>
              </w:rPr>
            </w:pPr>
            <w:r>
              <w:rPr>
                <w:b/>
                <w:bCs/>
              </w:rPr>
              <w:t>大</w:t>
            </w:r>
          </w:p>
        </w:tc>
        <w:tc>
          <w:tcPr>
            <w:tcW w:w="384" w:type="pct"/>
            <w:tcBorders>
              <w:top w:val="single" w:color="auto" w:sz="4" w:space="0"/>
              <w:bottom w:val="single" w:color="auto" w:sz="4" w:space="0"/>
            </w:tcBorders>
            <w:shd w:val="clear" w:color="auto" w:fill="auto"/>
            <w:vAlign w:val="center"/>
          </w:tcPr>
          <w:p>
            <w:pPr>
              <w:pStyle w:val="35"/>
              <w:rPr>
                <w:b/>
                <w:bCs/>
              </w:rPr>
            </w:pPr>
            <w:r>
              <w:rPr>
                <w:b/>
                <w:bCs/>
              </w:rPr>
              <w:t>中</w:t>
            </w:r>
          </w:p>
        </w:tc>
        <w:tc>
          <w:tcPr>
            <w:tcW w:w="377" w:type="pct"/>
            <w:tcBorders>
              <w:top w:val="single" w:color="auto" w:sz="4" w:space="0"/>
              <w:bottom w:val="single" w:color="auto" w:sz="4" w:space="0"/>
            </w:tcBorders>
            <w:shd w:val="clear" w:color="auto" w:fill="auto"/>
            <w:vAlign w:val="center"/>
          </w:tcPr>
          <w:p>
            <w:pPr>
              <w:pStyle w:val="35"/>
              <w:rPr>
                <w:b/>
                <w:bCs/>
              </w:rPr>
            </w:pPr>
            <w:r>
              <w:rPr>
                <w:b/>
                <w:bCs/>
              </w:rPr>
              <w:t>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297" w:type="pct"/>
            <w:tcBorders>
              <w:top w:val="single" w:color="auto" w:sz="4" w:space="0"/>
              <w:bottom w:val="single" w:color="auto" w:sz="4" w:space="0"/>
            </w:tcBorders>
            <w:shd w:val="clear" w:color="auto" w:fill="auto"/>
            <w:vAlign w:val="center"/>
          </w:tcPr>
          <w:p>
            <w:pPr>
              <w:pStyle w:val="35"/>
            </w:pPr>
            <w:r>
              <w:t>敏感</w:t>
            </w:r>
          </w:p>
        </w:tc>
        <w:tc>
          <w:tcPr>
            <w:tcW w:w="384" w:type="pct"/>
            <w:tcBorders>
              <w:top w:val="single" w:color="auto" w:sz="4" w:space="0"/>
              <w:bottom w:val="single" w:color="auto" w:sz="4" w:space="0"/>
            </w:tcBorders>
            <w:shd w:val="clear" w:color="auto" w:fill="auto"/>
            <w:vAlign w:val="center"/>
          </w:tcPr>
          <w:p>
            <w:pPr>
              <w:pStyle w:val="35"/>
            </w:pPr>
            <w:r>
              <w:t>一级</w:t>
            </w:r>
          </w:p>
        </w:tc>
        <w:tc>
          <w:tcPr>
            <w:tcW w:w="463" w:type="pct"/>
            <w:tcBorders>
              <w:top w:val="single" w:color="auto" w:sz="4" w:space="0"/>
              <w:bottom w:val="single" w:color="auto" w:sz="4" w:space="0"/>
            </w:tcBorders>
            <w:shd w:val="clear" w:color="auto" w:fill="auto"/>
            <w:vAlign w:val="center"/>
          </w:tcPr>
          <w:p>
            <w:pPr>
              <w:pStyle w:val="35"/>
            </w:pPr>
            <w:r>
              <w:t>一级</w:t>
            </w:r>
          </w:p>
        </w:tc>
        <w:tc>
          <w:tcPr>
            <w:tcW w:w="464" w:type="pct"/>
            <w:tcBorders>
              <w:top w:val="single" w:color="auto" w:sz="4" w:space="0"/>
              <w:bottom w:val="single" w:color="auto" w:sz="4" w:space="0"/>
            </w:tcBorders>
            <w:shd w:val="clear" w:color="auto" w:fill="auto"/>
            <w:vAlign w:val="center"/>
          </w:tcPr>
          <w:p>
            <w:pPr>
              <w:pStyle w:val="35"/>
            </w:pPr>
            <w:r>
              <w:rPr>
                <w:b/>
                <w:bCs/>
                <w:szCs w:val="21"/>
              </w:rPr>
              <w:t>*一级</w:t>
            </w:r>
          </w:p>
        </w:tc>
        <w:tc>
          <w:tcPr>
            <w:tcW w:w="388"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二级</w:t>
            </w:r>
          </w:p>
        </w:tc>
        <w:tc>
          <w:tcPr>
            <w:tcW w:w="463"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三级</w:t>
            </w:r>
          </w:p>
        </w:tc>
        <w:tc>
          <w:tcPr>
            <w:tcW w:w="384" w:type="pct"/>
            <w:tcBorders>
              <w:top w:val="single" w:color="auto" w:sz="4" w:space="0"/>
              <w:bottom w:val="single" w:color="auto" w:sz="4" w:space="0"/>
            </w:tcBorders>
            <w:shd w:val="clear" w:color="auto" w:fill="auto"/>
            <w:vAlign w:val="center"/>
          </w:tcPr>
          <w:p>
            <w:pPr>
              <w:pStyle w:val="35"/>
            </w:pPr>
            <w:r>
              <w:t>三级</w:t>
            </w:r>
          </w:p>
        </w:tc>
        <w:tc>
          <w:tcPr>
            <w:tcW w:w="377" w:type="pct"/>
            <w:tcBorders>
              <w:top w:val="single" w:color="auto" w:sz="4" w:space="0"/>
              <w:bottom w:val="single" w:color="auto" w:sz="4" w:space="0"/>
            </w:tcBorders>
            <w:shd w:val="clear" w:color="auto" w:fill="auto"/>
            <w:vAlign w:val="center"/>
          </w:tcPr>
          <w:p>
            <w:pPr>
              <w:pStyle w:val="35"/>
            </w:pPr>
            <w:r>
              <w:t>三级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297" w:type="pct"/>
            <w:tcBorders>
              <w:top w:val="single" w:color="auto" w:sz="4" w:space="0"/>
              <w:bottom w:val="single" w:color="auto" w:sz="4" w:space="0"/>
            </w:tcBorders>
            <w:shd w:val="clear" w:color="auto" w:fill="auto"/>
            <w:vAlign w:val="center"/>
          </w:tcPr>
          <w:p>
            <w:pPr>
              <w:pStyle w:val="35"/>
            </w:pPr>
            <w:r>
              <w:t>较敏感</w:t>
            </w:r>
          </w:p>
        </w:tc>
        <w:tc>
          <w:tcPr>
            <w:tcW w:w="384" w:type="pct"/>
            <w:tcBorders>
              <w:top w:val="single" w:color="auto" w:sz="4" w:space="0"/>
              <w:bottom w:val="single" w:color="auto" w:sz="4" w:space="0"/>
            </w:tcBorders>
            <w:shd w:val="clear" w:color="auto" w:fill="auto"/>
            <w:vAlign w:val="center"/>
          </w:tcPr>
          <w:p>
            <w:pPr>
              <w:pStyle w:val="35"/>
            </w:pPr>
            <w:r>
              <w:t>一级</w:t>
            </w:r>
          </w:p>
        </w:tc>
        <w:tc>
          <w:tcPr>
            <w:tcW w:w="463" w:type="pct"/>
            <w:tcBorders>
              <w:top w:val="single" w:color="auto" w:sz="4" w:space="0"/>
              <w:bottom w:val="single" w:color="auto" w:sz="4" w:space="0"/>
            </w:tcBorders>
            <w:shd w:val="clear" w:color="auto" w:fill="auto"/>
            <w:vAlign w:val="center"/>
          </w:tcPr>
          <w:p>
            <w:pPr>
              <w:pStyle w:val="35"/>
            </w:pPr>
            <w:r>
              <w:t>一级</w:t>
            </w:r>
          </w:p>
        </w:tc>
        <w:tc>
          <w:tcPr>
            <w:tcW w:w="464"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二级</w:t>
            </w:r>
          </w:p>
        </w:tc>
        <w:tc>
          <w:tcPr>
            <w:tcW w:w="463" w:type="pct"/>
            <w:tcBorders>
              <w:top w:val="single" w:color="auto" w:sz="4" w:space="0"/>
              <w:bottom w:val="single" w:color="auto" w:sz="4" w:space="0"/>
            </w:tcBorders>
            <w:shd w:val="clear" w:color="auto" w:fill="auto"/>
            <w:vAlign w:val="center"/>
          </w:tcPr>
          <w:p>
            <w:pPr>
              <w:pStyle w:val="35"/>
            </w:pPr>
            <w:r>
              <w:t>三级</w:t>
            </w:r>
          </w:p>
        </w:tc>
        <w:tc>
          <w:tcPr>
            <w:tcW w:w="388" w:type="pct"/>
            <w:tcBorders>
              <w:top w:val="single" w:color="auto" w:sz="4" w:space="0"/>
              <w:bottom w:val="single" w:color="auto" w:sz="4" w:space="0"/>
            </w:tcBorders>
            <w:shd w:val="clear" w:color="auto" w:fill="auto"/>
            <w:vAlign w:val="center"/>
          </w:tcPr>
          <w:p>
            <w:pPr>
              <w:pStyle w:val="35"/>
            </w:pPr>
            <w:r>
              <w:t>三级</w:t>
            </w:r>
          </w:p>
        </w:tc>
        <w:tc>
          <w:tcPr>
            <w:tcW w:w="384" w:type="pct"/>
            <w:tcBorders>
              <w:top w:val="single" w:color="auto" w:sz="4" w:space="0"/>
              <w:bottom w:val="single" w:color="auto" w:sz="4" w:space="0"/>
            </w:tcBorders>
            <w:shd w:val="clear" w:color="auto" w:fill="auto"/>
            <w:vAlign w:val="center"/>
          </w:tcPr>
          <w:p>
            <w:pPr>
              <w:pStyle w:val="35"/>
            </w:pPr>
            <w:r>
              <w:t>三级</w:t>
            </w:r>
          </w:p>
        </w:tc>
        <w:tc>
          <w:tcPr>
            <w:tcW w:w="377" w:type="pct"/>
            <w:tcBorders>
              <w:top w:val="single" w:color="auto" w:sz="4" w:space="0"/>
              <w:bottom w:val="single" w:color="auto" w:sz="4" w:space="0"/>
            </w:tcBorders>
            <w:shd w:val="clear" w:color="auto" w:fill="auto"/>
            <w:vAlign w:val="center"/>
          </w:tcPr>
          <w:p>
            <w:pPr>
              <w:pStyle w:val="35"/>
            </w:pPr>
            <w: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297" w:type="pct"/>
            <w:tcBorders>
              <w:top w:val="single" w:color="auto" w:sz="4" w:space="0"/>
              <w:bottom w:val="single" w:color="auto" w:sz="4" w:space="0"/>
            </w:tcBorders>
            <w:shd w:val="clear" w:color="auto" w:fill="auto"/>
            <w:vAlign w:val="center"/>
          </w:tcPr>
          <w:p>
            <w:pPr>
              <w:pStyle w:val="35"/>
            </w:pPr>
            <w:r>
              <w:t>不敏感</w:t>
            </w:r>
          </w:p>
        </w:tc>
        <w:tc>
          <w:tcPr>
            <w:tcW w:w="384" w:type="pct"/>
            <w:tcBorders>
              <w:top w:val="single" w:color="auto" w:sz="4" w:space="0"/>
              <w:bottom w:val="single" w:color="auto" w:sz="4" w:space="0"/>
            </w:tcBorders>
            <w:shd w:val="clear" w:color="auto" w:fill="auto"/>
            <w:vAlign w:val="center"/>
          </w:tcPr>
          <w:p>
            <w:pPr>
              <w:pStyle w:val="35"/>
            </w:pPr>
            <w:r>
              <w:t>一级</w:t>
            </w:r>
          </w:p>
        </w:tc>
        <w:tc>
          <w:tcPr>
            <w:tcW w:w="463" w:type="pct"/>
            <w:tcBorders>
              <w:top w:val="single" w:color="auto" w:sz="4" w:space="0"/>
              <w:bottom w:val="single" w:color="auto" w:sz="4" w:space="0"/>
            </w:tcBorders>
            <w:shd w:val="clear" w:color="auto" w:fill="auto"/>
            <w:vAlign w:val="center"/>
          </w:tcPr>
          <w:p>
            <w:pPr>
              <w:pStyle w:val="35"/>
            </w:pPr>
            <w:r>
              <w:t>二级</w:t>
            </w:r>
          </w:p>
        </w:tc>
        <w:tc>
          <w:tcPr>
            <w:tcW w:w="464"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二级</w:t>
            </w:r>
          </w:p>
        </w:tc>
        <w:tc>
          <w:tcPr>
            <w:tcW w:w="388" w:type="pct"/>
            <w:tcBorders>
              <w:top w:val="single" w:color="auto" w:sz="4" w:space="0"/>
              <w:bottom w:val="single" w:color="auto" w:sz="4" w:space="0"/>
            </w:tcBorders>
            <w:shd w:val="clear" w:color="auto" w:fill="auto"/>
            <w:vAlign w:val="center"/>
          </w:tcPr>
          <w:p>
            <w:pPr>
              <w:pStyle w:val="35"/>
            </w:pPr>
            <w:r>
              <w:t>三级</w:t>
            </w:r>
          </w:p>
        </w:tc>
        <w:tc>
          <w:tcPr>
            <w:tcW w:w="463" w:type="pct"/>
            <w:tcBorders>
              <w:top w:val="single" w:color="auto" w:sz="4" w:space="0"/>
              <w:bottom w:val="single" w:color="auto" w:sz="4" w:space="0"/>
            </w:tcBorders>
            <w:shd w:val="clear" w:color="auto" w:fill="auto"/>
            <w:vAlign w:val="center"/>
          </w:tcPr>
          <w:p>
            <w:pPr>
              <w:pStyle w:val="35"/>
            </w:pPr>
            <w:r>
              <w:t>三级</w:t>
            </w:r>
          </w:p>
        </w:tc>
        <w:tc>
          <w:tcPr>
            <w:tcW w:w="388" w:type="pct"/>
            <w:tcBorders>
              <w:top w:val="single" w:color="auto" w:sz="4" w:space="0"/>
              <w:bottom w:val="single" w:color="auto" w:sz="4" w:space="0"/>
            </w:tcBorders>
            <w:shd w:val="clear" w:color="auto" w:fill="auto"/>
            <w:vAlign w:val="center"/>
          </w:tcPr>
          <w:p>
            <w:pPr>
              <w:pStyle w:val="35"/>
            </w:pPr>
            <w:r>
              <w:t>三级</w:t>
            </w:r>
          </w:p>
        </w:tc>
        <w:tc>
          <w:tcPr>
            <w:tcW w:w="384" w:type="pct"/>
            <w:tcBorders>
              <w:top w:val="single" w:color="auto" w:sz="4" w:space="0"/>
              <w:bottom w:val="single" w:color="auto" w:sz="4" w:space="0"/>
            </w:tcBorders>
            <w:shd w:val="clear" w:color="auto" w:fill="auto"/>
            <w:vAlign w:val="center"/>
          </w:tcPr>
          <w:p>
            <w:pPr>
              <w:pStyle w:val="35"/>
            </w:pPr>
            <w:r>
              <w:t>/</w:t>
            </w:r>
          </w:p>
        </w:tc>
        <w:tc>
          <w:tcPr>
            <w:tcW w:w="377" w:type="pct"/>
            <w:tcBorders>
              <w:top w:val="single" w:color="auto" w:sz="4" w:space="0"/>
              <w:bottom w:val="single" w:color="auto" w:sz="4" w:space="0"/>
            </w:tcBorders>
            <w:shd w:val="clear" w:color="auto" w:fill="auto"/>
            <w:vAlign w:val="center"/>
          </w:tcPr>
          <w:p>
            <w:pPr>
              <w:pStyle w:val="35"/>
            </w:pPr>
            <w: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000" w:type="pct"/>
            <w:gridSpan w:val="10"/>
            <w:tcBorders>
              <w:top w:val="single" w:color="auto" w:sz="4" w:space="0"/>
            </w:tcBorders>
            <w:shd w:val="clear" w:color="auto" w:fill="auto"/>
            <w:vAlign w:val="center"/>
          </w:tcPr>
          <w:p>
            <w:pPr>
              <w:pStyle w:val="35"/>
            </w:pPr>
            <w:r>
              <w:t>注：“/”表示可不开展土壤环境影响评价工作</w:t>
            </w:r>
          </w:p>
        </w:tc>
      </w:tr>
    </w:tbl>
    <w:p>
      <w:pPr>
        <w:pStyle w:val="27"/>
        <w:ind w:firstLine="560"/>
      </w:pPr>
      <w:r>
        <w:t>根据（HJ 964-2018）附录A，项目类别属于“Ⅰ类”；本项目占地0.6hm</w:t>
      </w:r>
      <w:r>
        <w:rPr>
          <w:vertAlign w:val="superscript"/>
        </w:rPr>
        <w:t>2</w:t>
      </w:r>
      <w:r>
        <w:t>，属于小型项目；</w:t>
      </w:r>
      <w:r>
        <w:rPr>
          <w:szCs w:val="28"/>
        </w:rPr>
        <w:t>项目占地</w:t>
      </w:r>
      <w:r>
        <w:t>属于小型项目；项目周边有居民区，因此周边环境敏感程度为“敏感”。按照导则要求，本项目土壤环境影响评价等级为“一级”。</w:t>
      </w:r>
      <w:bookmarkStart w:id="232" w:name="_Hlk19883455"/>
    </w:p>
    <w:bookmarkEnd w:id="232"/>
    <w:p>
      <w:pPr>
        <w:pStyle w:val="33"/>
      </w:pPr>
      <w:r>
        <w:t>5.5.1.2 土壤环境影响识别</w:t>
      </w:r>
    </w:p>
    <w:p>
      <w:pPr>
        <w:pStyle w:val="27"/>
        <w:ind w:firstLine="560"/>
        <w:rPr>
          <w:rFonts w:eastAsiaTheme="minorEastAsia"/>
          <w:szCs w:val="28"/>
        </w:rPr>
      </w:pPr>
      <w:r>
        <w:rPr>
          <w:rFonts w:eastAsiaTheme="minorEastAsia"/>
          <w:szCs w:val="28"/>
        </w:rPr>
        <w:t>根据本项目工程分析，本项目排放气体污染物主要是乙二醇、丙二醇。根据本项目排放废气物质理化性质以及大气环境预测结论，本项目通过大气沉降进入地表土壤的影响很小。</w:t>
      </w:r>
    </w:p>
    <w:p>
      <w:pPr>
        <w:pStyle w:val="27"/>
        <w:ind w:firstLine="560"/>
        <w:rPr>
          <w:rFonts w:eastAsiaTheme="minorEastAsia"/>
          <w:szCs w:val="28"/>
        </w:rPr>
      </w:pPr>
      <w:r>
        <w:rPr>
          <w:rFonts w:eastAsiaTheme="minorEastAsia"/>
          <w:szCs w:val="28"/>
        </w:rPr>
        <w:t>本项目废水经厂内污水处理设施处理后，排入濮阳市第二污水处理厂进一步治理，尾水排入马颊河。正常工况下，本项目运营期内没有厂区废水经过地面漫流进入土壤的途径。</w:t>
      </w:r>
    </w:p>
    <w:p>
      <w:pPr>
        <w:pStyle w:val="27"/>
        <w:ind w:firstLine="560"/>
        <w:rPr>
          <w:rFonts w:eastAsiaTheme="minorEastAsia"/>
          <w:szCs w:val="28"/>
        </w:rPr>
      </w:pPr>
      <w:r>
        <w:rPr>
          <w:rFonts w:eastAsiaTheme="minorEastAsia"/>
          <w:szCs w:val="28"/>
        </w:rPr>
        <w:t>本项目生产区、装置区、及公辅工程地面按照相关规范进行硬化，正常工况下，本项目运营期内废水污染物没有垂直入渗进入土壤的途径。在假定事故工况下，污染物存在垂直入渗影响土壤的途径。</w:t>
      </w:r>
    </w:p>
    <w:p>
      <w:pPr>
        <w:pStyle w:val="27"/>
        <w:ind w:firstLine="560"/>
        <w:rPr>
          <w:rFonts w:eastAsiaTheme="minorEastAsia"/>
          <w:szCs w:val="28"/>
        </w:rPr>
      </w:pPr>
      <w:r>
        <w:rPr>
          <w:rFonts w:eastAsiaTheme="minorEastAsia"/>
          <w:szCs w:val="28"/>
        </w:rPr>
        <w:t>综上所述，本项运营期内存在垂直入渗污染土壤的途径，土壤环境的影响类型和途径见</w:t>
      </w:r>
      <w:r>
        <w:t>表5.5-3</w:t>
      </w:r>
      <w:r>
        <w:rPr>
          <w:rFonts w:eastAsiaTheme="minorEastAsia"/>
          <w:szCs w:val="28"/>
        </w:rPr>
        <w:t>，项目土壤环境影响源及影响因子识别见</w:t>
      </w:r>
      <w:r>
        <w:t>表5.5-4</w:t>
      </w:r>
      <w:r>
        <w:rPr>
          <w:rFonts w:eastAsiaTheme="minorEastAsia"/>
          <w:szCs w:val="28"/>
        </w:rPr>
        <w:t>。</w:t>
      </w:r>
    </w:p>
    <w:p>
      <w:pPr>
        <w:pStyle w:val="32"/>
        <w:ind w:right="240"/>
      </w:pPr>
      <w:r>
        <w:t>表5.5-3             本项目土壤影响类型与途径表</w:t>
      </w:r>
    </w:p>
    <w:tbl>
      <w:tblPr>
        <w:tblStyle w:val="6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2"/>
        <w:gridCol w:w="2943"/>
        <w:gridCol w:w="2294"/>
        <w:gridCol w:w="229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95" w:type="pct"/>
            <w:vMerge w:val="restar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时段</w:t>
            </w:r>
          </w:p>
        </w:tc>
        <w:tc>
          <w:tcPr>
            <w:tcW w:w="4105" w:type="pct"/>
            <w:gridSpan w:val="3"/>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污染影响型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95" w:type="pct"/>
            <w:vMerge w:val="continue"/>
            <w:vAlign w:val="center"/>
          </w:tcPr>
          <w:p>
            <w:pPr>
              <w:spacing w:line="320" w:lineRule="exact"/>
              <w:jc w:val="center"/>
              <w:rPr>
                <w:rFonts w:asciiTheme="minorHAnsi" w:hAnsiTheme="minorHAnsi" w:eastAsiaTheme="minorEastAsia" w:cstheme="minorBidi"/>
                <w:b/>
                <w:sz w:val="21"/>
                <w:szCs w:val="21"/>
              </w:rPr>
            </w:pPr>
          </w:p>
        </w:tc>
        <w:tc>
          <w:tcPr>
            <w:tcW w:w="1604"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大气沉降</w:t>
            </w:r>
          </w:p>
        </w:tc>
        <w:tc>
          <w:tcPr>
            <w:tcW w:w="1250"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地面漫流</w:t>
            </w:r>
          </w:p>
        </w:tc>
        <w:tc>
          <w:tcPr>
            <w:tcW w:w="1251"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垂直入渗</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95"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建设期</w:t>
            </w:r>
          </w:p>
        </w:tc>
        <w:tc>
          <w:tcPr>
            <w:tcW w:w="1604"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0"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1"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95"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运营期</w:t>
            </w:r>
          </w:p>
        </w:tc>
        <w:tc>
          <w:tcPr>
            <w:tcW w:w="1604"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0"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1"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95"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服务期满后</w:t>
            </w:r>
          </w:p>
        </w:tc>
        <w:tc>
          <w:tcPr>
            <w:tcW w:w="1604"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0"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c>
          <w:tcPr>
            <w:tcW w:w="1251"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w:t>
            </w:r>
          </w:p>
        </w:tc>
      </w:tr>
    </w:tbl>
    <w:p>
      <w:pPr>
        <w:pStyle w:val="32"/>
        <w:ind w:right="240"/>
      </w:pPr>
      <w:r>
        <w:t>表5.5-4          本项目土壤环境影响源及影响因子识别表</w:t>
      </w:r>
    </w:p>
    <w:tbl>
      <w:tblPr>
        <w:tblStyle w:val="6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6"/>
        <w:gridCol w:w="2630"/>
        <w:gridCol w:w="2931"/>
        <w:gridCol w:w="166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060"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污染源</w:t>
            </w:r>
          </w:p>
        </w:tc>
        <w:tc>
          <w:tcPr>
            <w:tcW w:w="1433"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污染途径</w:t>
            </w:r>
          </w:p>
        </w:tc>
        <w:tc>
          <w:tcPr>
            <w:tcW w:w="1597"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污染因子</w:t>
            </w:r>
          </w:p>
        </w:tc>
        <w:tc>
          <w:tcPr>
            <w:tcW w:w="908" w:type="pct"/>
            <w:vAlign w:val="center"/>
          </w:tcPr>
          <w:p>
            <w:pPr>
              <w:spacing w:line="320" w:lineRule="exact"/>
              <w:jc w:val="center"/>
              <w:rPr>
                <w:rFonts w:asciiTheme="minorHAnsi" w:hAnsiTheme="minorHAnsi" w:eastAsiaTheme="minorEastAsia" w:cstheme="minorBidi"/>
                <w:b/>
                <w:sz w:val="21"/>
                <w:szCs w:val="21"/>
              </w:rPr>
            </w:pPr>
            <w:r>
              <w:rPr>
                <w:rFonts w:asciiTheme="minorHAnsi" w:hAnsiTheme="minorHAnsi" w:eastAsiaTheme="minorEastAsia" w:cstheme="minorBidi"/>
                <w:b/>
                <w:sz w:val="21"/>
                <w:szCs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060"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尾气洗涤塔</w:t>
            </w:r>
          </w:p>
        </w:tc>
        <w:tc>
          <w:tcPr>
            <w:tcW w:w="1433"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垂直入渗</w:t>
            </w:r>
          </w:p>
        </w:tc>
        <w:tc>
          <w:tcPr>
            <w:tcW w:w="1597"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COD</w:t>
            </w:r>
          </w:p>
        </w:tc>
        <w:tc>
          <w:tcPr>
            <w:tcW w:w="908" w:type="pct"/>
            <w:vAlign w:val="center"/>
          </w:tcPr>
          <w:p>
            <w:pPr>
              <w:spacing w:line="320" w:lineRule="exact"/>
              <w:jc w:val="center"/>
              <w:rPr>
                <w:rFonts w:asciiTheme="minorHAnsi" w:hAnsiTheme="minorHAnsi" w:eastAsiaTheme="minorEastAsia" w:cstheme="minorBidi"/>
                <w:sz w:val="21"/>
                <w:szCs w:val="21"/>
              </w:rPr>
            </w:pPr>
            <w:r>
              <w:rPr>
                <w:rFonts w:asciiTheme="minorHAnsi" w:hAnsiTheme="minorHAnsi" w:eastAsiaTheme="minorEastAsia" w:cstheme="minorBidi"/>
                <w:sz w:val="21"/>
                <w:szCs w:val="21"/>
              </w:rPr>
              <w:t>连续</w:t>
            </w:r>
          </w:p>
        </w:tc>
      </w:tr>
    </w:tbl>
    <w:p>
      <w:pPr>
        <w:pStyle w:val="31"/>
        <w:rPr>
          <w:lang w:val="zh-CN"/>
        </w:rPr>
      </w:pPr>
      <w:bookmarkStart w:id="233" w:name="_Toc17994"/>
      <w:r>
        <w:t xml:space="preserve">5.5.2 </w:t>
      </w:r>
      <w:r>
        <w:rPr>
          <w:lang w:val="zh-CN"/>
        </w:rPr>
        <w:t>土壤环境调查评价范围确定</w:t>
      </w:r>
      <w:bookmarkEnd w:id="233"/>
    </w:p>
    <w:p>
      <w:pPr>
        <w:pStyle w:val="27"/>
        <w:ind w:firstLine="560"/>
        <w:rPr>
          <w:lang w:val="zh-CN"/>
        </w:rPr>
      </w:pPr>
      <w:r>
        <w:rPr>
          <w:lang w:val="zh-CN"/>
        </w:rPr>
        <w:t>本项目为评价等级为一级的污染影响型项目，结合（HJ 964-2018）“表5现状调查范围”，项目土壤环境调查评价范围为厂界外扩1km。</w:t>
      </w:r>
    </w:p>
    <w:p>
      <w:pPr>
        <w:pStyle w:val="31"/>
        <w:rPr>
          <w:lang w:val="zh-CN"/>
        </w:rPr>
      </w:pPr>
      <w:r>
        <w:t>5.5.3</w:t>
      </w:r>
      <w:r>
        <w:rPr>
          <w:lang w:val="zh-CN"/>
        </w:rPr>
        <w:t xml:space="preserve"> </w:t>
      </w:r>
      <w:bookmarkStart w:id="234" w:name="_Toc18702"/>
      <w:r>
        <w:rPr>
          <w:lang w:val="zh-CN"/>
        </w:rPr>
        <w:t>土壤环境敏感目标</w:t>
      </w:r>
      <w:bookmarkEnd w:id="234"/>
    </w:p>
    <w:p>
      <w:pPr>
        <w:pStyle w:val="27"/>
        <w:ind w:firstLine="560"/>
        <w:rPr>
          <w:lang w:val="zh-CN"/>
        </w:rPr>
      </w:pPr>
      <w:r>
        <w:rPr>
          <w:lang w:val="zh-CN"/>
        </w:rPr>
        <w:t>本项目位于河南省中原大化集团有限责任公司现有厂区内，项目调查评价范围内分布有居民区、耕地等环境敏感目标。</w:t>
      </w:r>
    </w:p>
    <w:p>
      <w:pPr>
        <w:pStyle w:val="31"/>
        <w:rPr>
          <w:lang w:val="zh-CN"/>
        </w:rPr>
      </w:pPr>
      <w:r>
        <w:t>5.5.4</w:t>
      </w:r>
      <w:r>
        <w:rPr>
          <w:lang w:val="zh-CN"/>
        </w:rPr>
        <w:t xml:space="preserve"> </w:t>
      </w:r>
      <w:bookmarkStart w:id="235" w:name="_Toc20167"/>
      <w:r>
        <w:rPr>
          <w:lang w:val="zh-CN"/>
        </w:rPr>
        <w:t>区域土壤环境现状</w:t>
      </w:r>
      <w:bookmarkEnd w:id="235"/>
    </w:p>
    <w:p>
      <w:pPr>
        <w:pStyle w:val="33"/>
      </w:pPr>
      <w:r>
        <w:t>5.5.4.1 地层特性</w:t>
      </w:r>
    </w:p>
    <w:p>
      <w:pPr>
        <w:pStyle w:val="27"/>
        <w:ind w:firstLine="560"/>
      </w:pPr>
      <w:r>
        <w:t>濮阳市位于黄河下游冲积平原，地表沉积了约400m的第四系地层，第四系地层自老至新简述如下：</w:t>
      </w:r>
    </w:p>
    <w:p>
      <w:pPr>
        <w:pStyle w:val="27"/>
        <w:ind w:firstLine="560"/>
      </w:pPr>
      <w:r>
        <w:t>（1）下更新统（Q</w:t>
      </w:r>
      <w:r>
        <w:rPr>
          <w:vertAlign w:val="subscript"/>
        </w:rPr>
        <w:t>p</w:t>
      </w:r>
      <w:r>
        <w:rPr>
          <w:vertAlign w:val="superscript"/>
        </w:rPr>
        <w:t>1al-l</w:t>
      </w:r>
      <w:r>
        <w:t>）</w:t>
      </w:r>
    </w:p>
    <w:p>
      <w:pPr>
        <w:pStyle w:val="27"/>
        <w:ind w:firstLine="560"/>
      </w:pPr>
      <w:r>
        <w:t>上部以冲湖积为主，下部为湖积或冰积，底板埋深为370～400m，厚度170～200m。岩性为浅棕、红棕、棕红色粘土和粉质粘土，有7～10层砂层，单层厚度一般3～5m，厚者10m，岩性以细砂、细中砂为主，偶见中粗砂。粘性土质地纯净坚硬，具水平层理，有45°压裂面，上部可见风化壳和1～2层淋溶淀积层。</w:t>
      </w:r>
    </w:p>
    <w:p>
      <w:pPr>
        <w:pStyle w:val="27"/>
        <w:ind w:firstLine="560"/>
      </w:pPr>
      <w:r>
        <w:t>（2）中更新统（Q</w:t>
      </w:r>
      <w:r>
        <w:rPr>
          <w:vertAlign w:val="subscript"/>
        </w:rPr>
        <w:t>p</w:t>
      </w:r>
      <w:r>
        <w:rPr>
          <w:vertAlign w:val="superscript"/>
        </w:rPr>
        <w:t>2al</w:t>
      </w:r>
      <w:r>
        <w:t>）</w:t>
      </w:r>
    </w:p>
    <w:p>
      <w:pPr>
        <w:pStyle w:val="27"/>
        <w:ind w:firstLine="560"/>
      </w:pPr>
      <w:r>
        <w:t>冲积为主，底板埋深200～260m，厚度100～130m。主要岩性为浅棕色、棕色的粉质粘土、粘土，次为粉土和砂层；砂层有2～6层，单层厚度一般3～10m，厚者近20m，以细砂、中细砂为主，次为粗中砂。本统有2～3层淋溶淀积层，含少量铁锰质结核和钙质结核，具星点状锰染和斑块绿染。</w:t>
      </w:r>
    </w:p>
    <w:p>
      <w:pPr>
        <w:pStyle w:val="27"/>
        <w:ind w:firstLine="560"/>
      </w:pPr>
      <w:r>
        <w:t>（3）上更新统（Q</w:t>
      </w:r>
      <w:r>
        <w:rPr>
          <w:vertAlign w:val="subscript"/>
        </w:rPr>
        <w:t>p</w:t>
      </w:r>
      <w:r>
        <w:rPr>
          <w:vertAlign w:val="superscript"/>
        </w:rPr>
        <w:t>3al</w:t>
      </w:r>
      <w:r>
        <w:t>）</w:t>
      </w:r>
    </w:p>
    <w:p>
      <w:pPr>
        <w:pStyle w:val="27"/>
        <w:ind w:firstLine="560"/>
      </w:pPr>
      <w:r>
        <w:t>为冲积成因，底板埋深108～132m，厚度80～90m。岩性一般为浅黄、灰黄和浅棕色的粉土和粉质粘土，有2～4层砂层，砂层以细砂、粉细砂为主，次为中粗砂和粉砂，单层厚度一般8～15m，最小仅2m左右，最厚者达30余m。</w:t>
      </w:r>
    </w:p>
    <w:p>
      <w:pPr>
        <w:pStyle w:val="27"/>
        <w:ind w:firstLine="560"/>
      </w:pPr>
      <w:r>
        <w:t>（4）全新统（Q</w:t>
      </w:r>
      <w:r>
        <w:rPr>
          <w:vertAlign w:val="subscript"/>
        </w:rPr>
        <w:t>h</w:t>
      </w:r>
      <w:r>
        <w:rPr>
          <w:vertAlign w:val="superscript"/>
        </w:rPr>
        <w:t>al-eol</w:t>
      </w:r>
      <w:r>
        <w:t>）</w:t>
      </w:r>
    </w:p>
    <w:p>
      <w:pPr>
        <w:pStyle w:val="27"/>
        <w:ind w:firstLine="560"/>
      </w:pPr>
      <w:r>
        <w:t>多属冲积，极少部分为风积，底板埋深一般为24～30m，古河道地带较深，达35～40m，上部为灰黄及浅灰色粉土、粉质粘土和泥质粉砂，具水平层理，局部富含淤泥质。下部多为灰黄、黄色细粉砂，细砂夹粉土夹层。古河道带砂层多且厚，一般1～3层，单层厚度10～20m，最厚者大于30m。</w:t>
      </w:r>
    </w:p>
    <w:p>
      <w:pPr>
        <w:pStyle w:val="33"/>
      </w:pPr>
      <w:r>
        <w:t>5.5.4.2 土壤类型及理化特征</w:t>
      </w:r>
    </w:p>
    <w:p>
      <w:pPr>
        <w:pStyle w:val="27"/>
        <w:ind w:firstLine="560"/>
        <w:rPr>
          <w:lang w:val="zh-CN"/>
        </w:rPr>
      </w:pPr>
      <w:r>
        <w:t>濮阳</w:t>
      </w:r>
      <w:r>
        <w:rPr>
          <w:lang w:val="zh-CN"/>
        </w:rPr>
        <w:t>市土壤类型以潮土为主，占全市土地面积的97.2%。由国家土壤信息服务平台（http://www.soilinfo.cn/map/）查询及现场调查，本项目调查评价范围内土壤类型为潮土。本次调查在项目厂址处进行了土壤理化性质调查。其理化性见</w:t>
      </w:r>
      <w:r>
        <w:t>表5.5-5</w:t>
      </w:r>
      <w:r>
        <w:rPr>
          <w:lang w:val="zh-CN"/>
        </w:rPr>
        <w:t>。</w:t>
      </w:r>
    </w:p>
    <w:p>
      <w:pPr>
        <w:pStyle w:val="32"/>
        <w:ind w:right="240"/>
        <w:rPr>
          <w:lang w:val="zh-CN"/>
        </w:rPr>
      </w:pPr>
      <w:r>
        <w:t>表5.5-5         项目厂区土壤理化性质调查情况一览表</w:t>
      </w:r>
    </w:p>
    <w:tbl>
      <w:tblPr>
        <w:tblStyle w:val="6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2876"/>
        <w:gridCol w:w="1839"/>
        <w:gridCol w:w="1759"/>
        <w:gridCol w:w="195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1975" w:type="pct"/>
            <w:gridSpan w:val="2"/>
            <w:vAlign w:val="center"/>
          </w:tcPr>
          <w:p>
            <w:pPr>
              <w:spacing w:line="280" w:lineRule="exact"/>
              <w:jc w:val="center"/>
              <w:rPr>
                <w:rFonts w:asciiTheme="minorHAnsi" w:hAnsiTheme="minorHAnsi" w:eastAsiaTheme="minorEastAsia" w:cstheme="minorBidi"/>
                <w:b/>
                <w:sz w:val="21"/>
                <w:szCs w:val="21"/>
                <w:lang w:val="zh-CN"/>
              </w:rPr>
            </w:pPr>
            <w:r>
              <w:rPr>
                <w:rFonts w:asciiTheme="minorHAnsi" w:hAnsiTheme="minorHAnsi" w:eastAsiaTheme="minorEastAsia" w:cstheme="minorBidi"/>
                <w:b/>
                <w:sz w:val="21"/>
                <w:szCs w:val="21"/>
                <w:lang w:val="zh-CN"/>
              </w:rPr>
              <w:t>点位</w:t>
            </w:r>
          </w:p>
        </w:tc>
        <w:tc>
          <w:tcPr>
            <w:tcW w:w="1002" w:type="pct"/>
            <w:vAlign w:val="center"/>
          </w:tcPr>
          <w:p>
            <w:pPr>
              <w:spacing w:line="280" w:lineRule="exact"/>
              <w:jc w:val="center"/>
              <w:rPr>
                <w:rFonts w:asciiTheme="minorHAnsi" w:hAnsiTheme="minorHAnsi" w:eastAsiaTheme="minorEastAsia" w:cstheme="minorBidi"/>
                <w:b/>
                <w:sz w:val="21"/>
                <w:szCs w:val="21"/>
                <w:lang w:val="zh-CN"/>
              </w:rPr>
            </w:pPr>
            <w:r>
              <w:rPr>
                <w:rFonts w:asciiTheme="minorHAnsi" w:hAnsiTheme="minorHAnsi" w:eastAsiaTheme="minorEastAsia" w:cstheme="minorBidi"/>
                <w:b/>
                <w:sz w:val="21"/>
                <w:szCs w:val="21"/>
                <w:lang w:val="zh-CN"/>
              </w:rPr>
              <w:t>项目厂址处</w:t>
            </w:r>
          </w:p>
        </w:tc>
        <w:tc>
          <w:tcPr>
            <w:tcW w:w="958" w:type="pct"/>
            <w:vAlign w:val="center"/>
          </w:tcPr>
          <w:p>
            <w:pPr>
              <w:spacing w:line="280" w:lineRule="exact"/>
              <w:jc w:val="center"/>
              <w:rPr>
                <w:rFonts w:asciiTheme="minorHAnsi" w:hAnsiTheme="minorHAnsi" w:eastAsiaTheme="minorEastAsia" w:cstheme="minorBidi"/>
                <w:b/>
                <w:sz w:val="21"/>
                <w:szCs w:val="21"/>
                <w:lang w:val="zh-CN"/>
              </w:rPr>
            </w:pPr>
            <w:r>
              <w:rPr>
                <w:rFonts w:hint="eastAsia" w:asciiTheme="minorHAnsi" w:hAnsiTheme="minorHAnsi" w:eastAsiaTheme="minorEastAsia" w:cstheme="minorBidi"/>
                <w:b/>
                <w:sz w:val="21"/>
                <w:szCs w:val="21"/>
              </w:rPr>
              <w:t>采样</w:t>
            </w:r>
            <w:r>
              <w:rPr>
                <w:rFonts w:asciiTheme="minorHAnsi" w:hAnsiTheme="minorHAnsi" w:eastAsiaTheme="minorEastAsia" w:cstheme="minorBidi"/>
                <w:b/>
                <w:sz w:val="21"/>
                <w:szCs w:val="21"/>
                <w:lang w:val="zh-CN"/>
              </w:rPr>
              <w:t>时间</w:t>
            </w:r>
          </w:p>
        </w:tc>
        <w:tc>
          <w:tcPr>
            <w:tcW w:w="1063" w:type="pct"/>
            <w:vAlign w:val="center"/>
          </w:tcPr>
          <w:p>
            <w:pPr>
              <w:spacing w:line="280" w:lineRule="exact"/>
              <w:jc w:val="center"/>
              <w:rPr>
                <w:rFonts w:asciiTheme="minorHAnsi" w:hAnsiTheme="minorHAnsi" w:eastAsiaTheme="minorEastAsia" w:cstheme="minorBidi"/>
                <w:b/>
                <w:sz w:val="21"/>
                <w:szCs w:val="21"/>
                <w:lang w:val="zh-CN"/>
              </w:rPr>
            </w:pPr>
            <w:r>
              <w:rPr>
                <w:rFonts w:asciiTheme="minorHAnsi" w:hAnsiTheme="minorHAnsi" w:eastAsiaTheme="minorEastAsia" w:cstheme="minorBidi"/>
                <w:b/>
                <w:sz w:val="21"/>
                <w:szCs w:val="21"/>
                <w:lang w:val="zh-CN"/>
              </w:rPr>
              <w:t>2021-03-19~-03-20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975" w:type="pct"/>
            <w:gridSpan w:val="2"/>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层次（cm）</w:t>
            </w:r>
          </w:p>
        </w:tc>
        <w:tc>
          <w:tcPr>
            <w:tcW w:w="1002"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0~50</w:t>
            </w:r>
          </w:p>
        </w:tc>
        <w:tc>
          <w:tcPr>
            <w:tcW w:w="958"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50~150</w:t>
            </w:r>
          </w:p>
        </w:tc>
        <w:tc>
          <w:tcPr>
            <w:tcW w:w="1063"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150~300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restar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现</w:t>
            </w:r>
          </w:p>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场</w:t>
            </w:r>
          </w:p>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记</w:t>
            </w:r>
          </w:p>
          <w:p>
            <w:pPr>
              <w:pStyle w:val="35"/>
              <w:rPr>
                <w:rFonts w:asciiTheme="minorHAnsi" w:hAnsiTheme="minorHAnsi" w:eastAsiaTheme="minorEastAsia" w:cstheme="minorBidi"/>
                <w:lang w:val="zh-CN"/>
              </w:rPr>
            </w:pPr>
            <w:r>
              <w:rPr>
                <w:rFonts w:asciiTheme="minorHAnsi" w:hAnsiTheme="minorHAnsi" w:eastAsiaTheme="minorEastAsia" w:cstheme="minorBidi"/>
                <w:lang w:val="zh-CN"/>
              </w:rPr>
              <w:t>录</w:t>
            </w: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颜色</w:t>
            </w:r>
          </w:p>
        </w:tc>
        <w:tc>
          <w:tcPr>
            <w:tcW w:w="1002"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棕色</w:t>
            </w:r>
          </w:p>
        </w:tc>
        <w:tc>
          <w:tcPr>
            <w:tcW w:w="958"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棕色</w:t>
            </w:r>
          </w:p>
        </w:tc>
        <w:tc>
          <w:tcPr>
            <w:tcW w:w="1063"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棕色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pStyle w:val="35"/>
              <w:rPr>
                <w:rFonts w:asciiTheme="minorHAnsi" w:hAnsiTheme="minorHAnsi" w:eastAsiaTheme="minorEastAsia" w:cstheme="minorBidi"/>
                <w:lang w:val="zh-CN"/>
              </w:rPr>
            </w:pP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结构</w:t>
            </w:r>
          </w:p>
        </w:tc>
        <w:tc>
          <w:tcPr>
            <w:tcW w:w="1002"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块状</w:t>
            </w:r>
          </w:p>
        </w:tc>
        <w:tc>
          <w:tcPr>
            <w:tcW w:w="958"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块状</w:t>
            </w:r>
          </w:p>
        </w:tc>
        <w:tc>
          <w:tcPr>
            <w:tcW w:w="1063"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块状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pStyle w:val="35"/>
              <w:rPr>
                <w:rFonts w:asciiTheme="minorHAnsi" w:hAnsiTheme="minorHAnsi" w:eastAsiaTheme="minorEastAsia" w:cstheme="minorBidi"/>
                <w:lang w:val="zh-CN"/>
              </w:rPr>
            </w:pP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质地</w:t>
            </w:r>
          </w:p>
        </w:tc>
        <w:tc>
          <w:tcPr>
            <w:tcW w:w="1002"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沙壤土</w:t>
            </w:r>
          </w:p>
        </w:tc>
        <w:tc>
          <w:tcPr>
            <w:tcW w:w="958"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沙壤土</w:t>
            </w:r>
          </w:p>
        </w:tc>
        <w:tc>
          <w:tcPr>
            <w:tcW w:w="1063"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沙壤土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pStyle w:val="35"/>
              <w:rPr>
                <w:rFonts w:asciiTheme="minorHAnsi" w:hAnsiTheme="minorHAnsi" w:eastAsiaTheme="minorEastAsia" w:cstheme="minorBidi"/>
                <w:lang w:val="zh-CN"/>
              </w:rPr>
            </w:pP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砂砾含量</w:t>
            </w:r>
          </w:p>
        </w:tc>
        <w:tc>
          <w:tcPr>
            <w:tcW w:w="1002"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＜5%</w:t>
            </w:r>
          </w:p>
        </w:tc>
        <w:tc>
          <w:tcPr>
            <w:tcW w:w="958"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＜3%</w:t>
            </w:r>
          </w:p>
        </w:tc>
        <w:tc>
          <w:tcPr>
            <w:tcW w:w="1063"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pStyle w:val="35"/>
              <w:rPr>
                <w:rFonts w:asciiTheme="minorHAnsi" w:hAnsiTheme="minorHAnsi" w:eastAsiaTheme="minorEastAsia" w:cstheme="minorBidi"/>
                <w:lang w:val="zh-CN"/>
              </w:rPr>
            </w:pP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植物根系</w:t>
            </w:r>
          </w:p>
        </w:tc>
        <w:tc>
          <w:tcPr>
            <w:tcW w:w="1002"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无</w:t>
            </w:r>
          </w:p>
        </w:tc>
        <w:tc>
          <w:tcPr>
            <w:tcW w:w="958"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无</w:t>
            </w:r>
          </w:p>
        </w:tc>
        <w:tc>
          <w:tcPr>
            <w:tcW w:w="1063" w:type="pct"/>
            <w:vAlign w:val="center"/>
          </w:tcPr>
          <w:p>
            <w:pPr>
              <w:pStyle w:val="35"/>
              <w:rPr>
                <w:rFonts w:asciiTheme="minorHAnsi" w:hAnsiTheme="minorHAnsi" w:eastAsiaTheme="minorEastAsia" w:cstheme="minorBidi"/>
              </w:rPr>
            </w:pPr>
            <w:r>
              <w:rPr>
                <w:rFonts w:asciiTheme="minorHAnsi" w:hAnsiTheme="minorHAnsi" w:eastAsiaTheme="minorEastAsia" w:cstheme="minorBidi"/>
              </w:rPr>
              <w:t>无</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pStyle w:val="35"/>
              <w:rPr>
                <w:rFonts w:asciiTheme="minorHAnsi" w:hAnsiTheme="minorHAnsi" w:eastAsiaTheme="minorEastAsia" w:cstheme="minorBidi"/>
                <w:lang w:val="zh-CN"/>
              </w:rPr>
            </w:pPr>
          </w:p>
        </w:tc>
        <w:tc>
          <w:tcPr>
            <w:tcW w:w="1567"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其他异物</w:t>
            </w:r>
          </w:p>
        </w:tc>
        <w:tc>
          <w:tcPr>
            <w:tcW w:w="1002"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无</w:t>
            </w:r>
          </w:p>
        </w:tc>
        <w:tc>
          <w:tcPr>
            <w:tcW w:w="958"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无</w:t>
            </w:r>
          </w:p>
        </w:tc>
        <w:tc>
          <w:tcPr>
            <w:tcW w:w="1063"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无</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restart"/>
            <w:vAlign w:val="center"/>
          </w:tcPr>
          <w:p>
            <w:pPr>
              <w:spacing w:line="280" w:lineRule="exact"/>
              <w:jc w:val="center"/>
              <w:rPr>
                <w:rFonts w:asciiTheme="minorHAnsi" w:hAnsiTheme="minorHAnsi" w:eastAsiaTheme="minorEastAsia" w:cstheme="minorBidi"/>
                <w:bCs/>
                <w:sz w:val="21"/>
                <w:szCs w:val="21"/>
                <w:lang w:val="zh-CN"/>
              </w:rPr>
            </w:pPr>
            <w:r>
              <w:rPr>
                <w:rFonts w:asciiTheme="minorHAnsi" w:hAnsiTheme="minorHAnsi" w:eastAsiaTheme="minorEastAsia" w:cstheme="minorBidi"/>
                <w:bCs/>
                <w:sz w:val="21"/>
                <w:szCs w:val="21"/>
                <w:lang w:val="zh-CN"/>
              </w:rPr>
              <w:t>实验室测定</w:t>
            </w:r>
          </w:p>
        </w:tc>
        <w:tc>
          <w:tcPr>
            <w:tcW w:w="1567" w:type="pct"/>
            <w:vAlign w:val="center"/>
          </w:tcPr>
          <w:p>
            <w:pPr>
              <w:pStyle w:val="35"/>
              <w:rPr>
                <w:rFonts w:asciiTheme="minorHAnsi" w:hAnsiTheme="minorHAnsi" w:eastAsiaTheme="minorEastAsia" w:cstheme="minorBidi"/>
                <w:bCs/>
              </w:rPr>
            </w:pPr>
            <w:r>
              <w:rPr>
                <w:rFonts w:hint="eastAsia" w:asciiTheme="minorHAnsi" w:hAnsiTheme="minorHAnsi" w:eastAsiaTheme="minorEastAsia" w:cstheme="minorBidi"/>
                <w:bCs/>
              </w:rPr>
              <w:t>pH（无量纲）</w:t>
            </w:r>
          </w:p>
        </w:tc>
        <w:tc>
          <w:tcPr>
            <w:tcW w:w="1002" w:type="pct"/>
            <w:vAlign w:val="center"/>
          </w:tcPr>
          <w:p>
            <w:pPr>
              <w:pStyle w:val="35"/>
              <w:rPr>
                <w:rFonts w:asciiTheme="minorHAnsi" w:hAnsiTheme="minorHAnsi" w:eastAsiaTheme="minorEastAsia" w:cstheme="minorBidi"/>
              </w:rPr>
            </w:pPr>
            <w:r>
              <w:rPr>
                <w:rFonts w:hint="eastAsia" w:asciiTheme="minorHAnsi" w:hAnsiTheme="minorHAnsi" w:eastAsiaTheme="minorEastAsia" w:cstheme="minorBidi"/>
              </w:rPr>
              <w:t>8.90</w:t>
            </w:r>
          </w:p>
        </w:tc>
        <w:tc>
          <w:tcPr>
            <w:tcW w:w="958" w:type="pct"/>
            <w:vAlign w:val="center"/>
          </w:tcPr>
          <w:p>
            <w:pPr>
              <w:pStyle w:val="35"/>
              <w:rPr>
                <w:rFonts w:asciiTheme="minorHAnsi" w:hAnsiTheme="minorHAnsi" w:eastAsiaTheme="minorEastAsia" w:cstheme="minorBidi"/>
              </w:rPr>
            </w:pPr>
            <w:r>
              <w:rPr>
                <w:rFonts w:hint="eastAsia" w:asciiTheme="minorHAnsi" w:hAnsiTheme="minorHAnsi" w:eastAsiaTheme="minorEastAsia" w:cstheme="minorBidi"/>
              </w:rPr>
              <w:t>8.98</w:t>
            </w:r>
          </w:p>
        </w:tc>
        <w:tc>
          <w:tcPr>
            <w:tcW w:w="1063" w:type="pct"/>
            <w:vAlign w:val="center"/>
          </w:tcPr>
          <w:p>
            <w:pPr>
              <w:pStyle w:val="35"/>
              <w:rPr>
                <w:rFonts w:asciiTheme="minorHAnsi" w:hAnsiTheme="minorHAnsi" w:eastAsiaTheme="minorEastAsia" w:cstheme="minorBidi"/>
              </w:rPr>
            </w:pPr>
            <w:r>
              <w:rPr>
                <w:rFonts w:hint="eastAsia" w:asciiTheme="minorHAnsi" w:hAnsiTheme="minorHAnsi" w:eastAsiaTheme="minorEastAsia" w:cstheme="minorBidi"/>
              </w:rPr>
              <w:t>8.70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spacing w:line="280" w:lineRule="exact"/>
              <w:jc w:val="center"/>
              <w:rPr>
                <w:rFonts w:asciiTheme="minorHAnsi" w:hAnsiTheme="minorHAnsi" w:eastAsiaTheme="minorEastAsia" w:cstheme="minorBidi"/>
                <w:bCs/>
                <w:sz w:val="21"/>
                <w:szCs w:val="21"/>
                <w:lang w:val="zh-CN"/>
              </w:rPr>
            </w:pPr>
          </w:p>
        </w:tc>
        <w:tc>
          <w:tcPr>
            <w:tcW w:w="1567" w:type="pct"/>
            <w:vAlign w:val="center"/>
          </w:tcPr>
          <w:p>
            <w:pPr>
              <w:pStyle w:val="35"/>
              <w:rPr>
                <w:rFonts w:asciiTheme="minorHAnsi" w:hAnsiTheme="minorHAnsi" w:eastAsiaTheme="minorEastAsia" w:cstheme="minorBidi"/>
                <w:bCs/>
                <w:lang w:val="zh-CN"/>
              </w:rPr>
            </w:pPr>
            <w:r>
              <w:rPr>
                <w:rFonts w:hint="eastAsia" w:asciiTheme="minorHAnsi" w:hAnsiTheme="minorHAnsi" w:eastAsiaTheme="minorEastAsia" w:cstheme="minorBidi"/>
                <w:bCs/>
              </w:rPr>
              <w:t>阳离子交换量，cmol(+)/kg</w:t>
            </w:r>
          </w:p>
        </w:tc>
        <w:tc>
          <w:tcPr>
            <w:tcW w:w="1002"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6</w:t>
            </w:r>
            <w:r>
              <w:rPr>
                <w:rFonts w:asciiTheme="minorHAnsi" w:hAnsiTheme="minorHAnsi" w:eastAsiaTheme="minorEastAsia" w:cstheme="minorBidi"/>
              </w:rPr>
              <w:t>.58</w:t>
            </w:r>
          </w:p>
        </w:tc>
        <w:tc>
          <w:tcPr>
            <w:tcW w:w="958"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5</w:t>
            </w:r>
            <w:r>
              <w:rPr>
                <w:rFonts w:asciiTheme="minorHAnsi" w:hAnsiTheme="minorHAnsi" w:eastAsiaTheme="minorEastAsia" w:cstheme="minorBidi"/>
              </w:rPr>
              <w:t>.71</w:t>
            </w:r>
          </w:p>
        </w:tc>
        <w:tc>
          <w:tcPr>
            <w:tcW w:w="1063"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3</w:t>
            </w:r>
            <w:r>
              <w:rPr>
                <w:rFonts w:asciiTheme="minorHAnsi" w:hAnsiTheme="minorHAnsi" w:eastAsiaTheme="minorEastAsia" w:cstheme="minorBidi"/>
              </w:rPr>
              <w:t>.91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spacing w:line="280" w:lineRule="exact"/>
              <w:jc w:val="center"/>
              <w:rPr>
                <w:rFonts w:asciiTheme="minorHAnsi" w:hAnsiTheme="minorHAnsi" w:eastAsiaTheme="minorEastAsia" w:cstheme="minorBidi"/>
                <w:bCs/>
                <w:sz w:val="21"/>
                <w:szCs w:val="21"/>
                <w:lang w:val="zh-CN"/>
              </w:rPr>
            </w:pPr>
          </w:p>
        </w:tc>
        <w:tc>
          <w:tcPr>
            <w:tcW w:w="1567" w:type="pct"/>
            <w:vAlign w:val="center"/>
          </w:tcPr>
          <w:p>
            <w:pPr>
              <w:pStyle w:val="35"/>
              <w:rPr>
                <w:rFonts w:asciiTheme="minorHAnsi" w:hAnsiTheme="minorHAnsi" w:eastAsiaTheme="minorEastAsia" w:cstheme="minorBidi"/>
                <w:bCs/>
                <w:lang w:val="zh-CN"/>
              </w:rPr>
            </w:pPr>
            <w:r>
              <w:rPr>
                <w:rFonts w:hint="eastAsia" w:asciiTheme="minorHAnsi" w:hAnsiTheme="minorHAnsi" w:eastAsiaTheme="minorEastAsia" w:cstheme="minorBidi"/>
                <w:bCs/>
              </w:rPr>
              <w:t>氧化还原电位，mV</w:t>
            </w:r>
          </w:p>
        </w:tc>
        <w:tc>
          <w:tcPr>
            <w:tcW w:w="1002"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3</w:t>
            </w:r>
            <w:r>
              <w:rPr>
                <w:rFonts w:asciiTheme="minorHAnsi" w:hAnsiTheme="minorHAnsi" w:eastAsiaTheme="minorEastAsia" w:cstheme="minorBidi"/>
              </w:rPr>
              <w:t>22</w:t>
            </w:r>
          </w:p>
        </w:tc>
        <w:tc>
          <w:tcPr>
            <w:tcW w:w="958"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2</w:t>
            </w:r>
            <w:r>
              <w:rPr>
                <w:rFonts w:asciiTheme="minorHAnsi" w:hAnsiTheme="minorHAnsi" w:eastAsiaTheme="minorEastAsia" w:cstheme="minorBidi"/>
              </w:rPr>
              <w:t>80</w:t>
            </w:r>
          </w:p>
        </w:tc>
        <w:tc>
          <w:tcPr>
            <w:tcW w:w="1063"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2</w:t>
            </w:r>
            <w:r>
              <w:rPr>
                <w:rFonts w:asciiTheme="minorHAnsi" w:hAnsiTheme="minorHAnsi" w:eastAsiaTheme="minorEastAsia" w:cstheme="minorBidi"/>
              </w:rPr>
              <w:t>51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spacing w:line="280" w:lineRule="exact"/>
              <w:jc w:val="center"/>
              <w:rPr>
                <w:rFonts w:asciiTheme="minorHAnsi" w:hAnsiTheme="minorHAnsi" w:eastAsiaTheme="minorEastAsia" w:cstheme="minorBidi"/>
                <w:bCs/>
                <w:sz w:val="21"/>
                <w:szCs w:val="21"/>
                <w:lang w:val="zh-CN"/>
              </w:rPr>
            </w:pPr>
          </w:p>
        </w:tc>
        <w:tc>
          <w:tcPr>
            <w:tcW w:w="1567" w:type="pct"/>
            <w:vAlign w:val="center"/>
          </w:tcPr>
          <w:p>
            <w:pPr>
              <w:pStyle w:val="35"/>
              <w:rPr>
                <w:rFonts w:asciiTheme="minorHAnsi" w:hAnsiTheme="minorHAnsi" w:eastAsiaTheme="minorEastAsia" w:cstheme="minorBidi"/>
                <w:bCs/>
                <w:lang w:val="zh-CN"/>
              </w:rPr>
            </w:pPr>
            <w:r>
              <w:rPr>
                <w:rFonts w:hint="eastAsia" w:asciiTheme="minorHAnsi" w:hAnsiTheme="minorHAnsi" w:eastAsiaTheme="minorEastAsia" w:cstheme="minorBidi"/>
                <w:bCs/>
              </w:rPr>
              <w:t>饱和导水率</w:t>
            </w:r>
            <w:r>
              <w:rPr>
                <w:rFonts w:asciiTheme="minorHAnsi" w:hAnsiTheme="minorHAnsi" w:eastAsiaTheme="minorEastAsia" w:cstheme="minorBidi"/>
                <w:bCs/>
              </w:rPr>
              <w:t>，mm/min</w:t>
            </w:r>
          </w:p>
        </w:tc>
        <w:tc>
          <w:tcPr>
            <w:tcW w:w="1002"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2</w:t>
            </w:r>
            <w:r>
              <w:rPr>
                <w:rFonts w:asciiTheme="minorHAnsi" w:hAnsiTheme="minorHAnsi" w:eastAsiaTheme="minorEastAsia" w:cstheme="minorBidi"/>
              </w:rPr>
              <w:t>.34</w:t>
            </w:r>
          </w:p>
        </w:tc>
        <w:tc>
          <w:tcPr>
            <w:tcW w:w="958"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2</w:t>
            </w:r>
            <w:r>
              <w:rPr>
                <w:rFonts w:asciiTheme="minorHAnsi" w:hAnsiTheme="minorHAnsi" w:eastAsiaTheme="minorEastAsia" w:cstheme="minorBidi"/>
              </w:rPr>
              <w:t>.47</w:t>
            </w:r>
          </w:p>
        </w:tc>
        <w:tc>
          <w:tcPr>
            <w:tcW w:w="1063" w:type="pct"/>
            <w:vAlign w:val="center"/>
          </w:tcPr>
          <w:p>
            <w:pPr>
              <w:pStyle w:val="35"/>
              <w:rPr>
                <w:rFonts w:asciiTheme="minorHAnsi" w:hAnsiTheme="minorHAnsi" w:eastAsiaTheme="minorEastAsia" w:cstheme="minorBidi"/>
                <w:lang w:val="zh-CN"/>
              </w:rPr>
            </w:pPr>
            <w:r>
              <w:rPr>
                <w:rFonts w:asciiTheme="minorHAnsi" w:hAnsiTheme="minorHAnsi" w:eastAsiaTheme="minorEastAsia" w:cstheme="minorBidi"/>
              </w:rPr>
              <w:t>2.39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spacing w:line="280" w:lineRule="exact"/>
              <w:jc w:val="center"/>
              <w:rPr>
                <w:rFonts w:asciiTheme="minorHAnsi" w:hAnsiTheme="minorHAnsi" w:eastAsiaTheme="minorEastAsia" w:cstheme="minorBidi"/>
                <w:sz w:val="21"/>
                <w:szCs w:val="21"/>
                <w:lang w:val="zh-CN"/>
              </w:rPr>
            </w:pPr>
          </w:p>
        </w:tc>
        <w:tc>
          <w:tcPr>
            <w:tcW w:w="1567"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土壤容重，g/cm</w:t>
            </w:r>
            <w:r>
              <w:rPr>
                <w:rFonts w:hint="eastAsia" w:asciiTheme="minorHAnsi" w:hAnsiTheme="minorHAnsi" w:eastAsiaTheme="minorEastAsia" w:cstheme="minorBidi"/>
                <w:vertAlign w:val="superscript"/>
              </w:rPr>
              <w:t>3</w:t>
            </w:r>
          </w:p>
        </w:tc>
        <w:tc>
          <w:tcPr>
            <w:tcW w:w="1002"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1</w:t>
            </w:r>
            <w:r>
              <w:rPr>
                <w:rFonts w:asciiTheme="minorHAnsi" w:hAnsiTheme="minorHAnsi" w:eastAsiaTheme="minorEastAsia" w:cstheme="minorBidi"/>
              </w:rPr>
              <w:t>.17</w:t>
            </w:r>
          </w:p>
        </w:tc>
        <w:tc>
          <w:tcPr>
            <w:tcW w:w="958"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1</w:t>
            </w:r>
            <w:r>
              <w:rPr>
                <w:rFonts w:asciiTheme="minorHAnsi" w:hAnsiTheme="minorHAnsi" w:eastAsiaTheme="minorEastAsia" w:cstheme="minorBidi"/>
              </w:rPr>
              <w:t>.44</w:t>
            </w:r>
          </w:p>
        </w:tc>
        <w:tc>
          <w:tcPr>
            <w:tcW w:w="1063"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1</w:t>
            </w:r>
            <w:r>
              <w:rPr>
                <w:rFonts w:asciiTheme="minorHAnsi" w:hAnsiTheme="minorHAnsi" w:eastAsiaTheme="minorEastAsia" w:cstheme="minorBidi"/>
              </w:rPr>
              <w:t>.58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8" w:type="pct"/>
            <w:vMerge w:val="continue"/>
            <w:vAlign w:val="center"/>
          </w:tcPr>
          <w:p>
            <w:pPr>
              <w:spacing w:line="280" w:lineRule="exact"/>
              <w:jc w:val="center"/>
              <w:rPr>
                <w:rFonts w:asciiTheme="minorHAnsi" w:hAnsiTheme="minorHAnsi" w:eastAsiaTheme="minorEastAsia" w:cstheme="minorBidi"/>
                <w:sz w:val="21"/>
                <w:szCs w:val="21"/>
                <w:lang w:val="zh-CN"/>
              </w:rPr>
            </w:pPr>
          </w:p>
        </w:tc>
        <w:tc>
          <w:tcPr>
            <w:tcW w:w="1567"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孔隙度，%</w:t>
            </w:r>
          </w:p>
        </w:tc>
        <w:tc>
          <w:tcPr>
            <w:tcW w:w="1002"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5</w:t>
            </w:r>
            <w:r>
              <w:rPr>
                <w:rFonts w:asciiTheme="minorHAnsi" w:hAnsiTheme="minorHAnsi" w:eastAsiaTheme="minorEastAsia" w:cstheme="minorBidi"/>
              </w:rPr>
              <w:t>3.0</w:t>
            </w:r>
          </w:p>
        </w:tc>
        <w:tc>
          <w:tcPr>
            <w:tcW w:w="958"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4</w:t>
            </w:r>
            <w:r>
              <w:rPr>
                <w:rFonts w:asciiTheme="minorHAnsi" w:hAnsiTheme="minorHAnsi" w:eastAsiaTheme="minorEastAsia" w:cstheme="minorBidi"/>
              </w:rPr>
              <w:t>8.6</w:t>
            </w:r>
          </w:p>
        </w:tc>
        <w:tc>
          <w:tcPr>
            <w:tcW w:w="1063" w:type="pct"/>
            <w:vAlign w:val="center"/>
          </w:tcPr>
          <w:p>
            <w:pPr>
              <w:pStyle w:val="35"/>
              <w:rPr>
                <w:rFonts w:asciiTheme="minorHAnsi" w:hAnsiTheme="minorHAnsi" w:eastAsiaTheme="minorEastAsia" w:cstheme="minorBidi"/>
                <w:lang w:val="zh-CN"/>
              </w:rPr>
            </w:pPr>
            <w:r>
              <w:rPr>
                <w:rFonts w:hint="eastAsia" w:asciiTheme="minorHAnsi" w:hAnsiTheme="minorHAnsi" w:eastAsiaTheme="minorEastAsia" w:cstheme="minorBidi"/>
              </w:rPr>
              <w:t>5</w:t>
            </w:r>
            <w:r>
              <w:rPr>
                <w:rFonts w:asciiTheme="minorHAnsi" w:hAnsiTheme="minorHAnsi" w:eastAsiaTheme="minorEastAsia" w:cstheme="minorBidi"/>
              </w:rPr>
              <w:t>7.2</w:t>
            </w:r>
          </w:p>
        </w:tc>
      </w:tr>
    </w:tbl>
    <w:p>
      <w:pPr>
        <w:pStyle w:val="33"/>
      </w:pPr>
      <w:r>
        <w:t>5.5.4.3 土壤环境质量现状</w:t>
      </w:r>
    </w:p>
    <w:p>
      <w:pPr>
        <w:pStyle w:val="27"/>
        <w:ind w:firstLine="560"/>
      </w:pPr>
      <w:r>
        <w:t>根据本报告环境现状调查与评价章节结论可知，项目厂地土壤各监测因子均可以满足《土壤环境质量 建设用地土壤污染风险管控标准》（GB36600- 2018）限值要求；厂区周边张康呼村农用地各监测因子均满足《土壤环境质量 农用地土壤污染风险管控标准》（试行）限值要求。</w:t>
      </w:r>
    </w:p>
    <w:p>
      <w:pPr>
        <w:pStyle w:val="31"/>
        <w:rPr>
          <w:lang w:val="zh-CN"/>
        </w:rPr>
      </w:pPr>
      <w:r>
        <w:t>5.5.5</w:t>
      </w:r>
      <w:r>
        <w:rPr>
          <w:lang w:val="zh-CN"/>
        </w:rPr>
        <w:t xml:space="preserve"> </w:t>
      </w:r>
      <w:bookmarkStart w:id="236" w:name="_Toc17150"/>
      <w:r>
        <w:rPr>
          <w:lang w:val="zh-CN"/>
        </w:rPr>
        <w:t>土壤环境影响预测与评价</w:t>
      </w:r>
      <w:bookmarkEnd w:id="236"/>
    </w:p>
    <w:p>
      <w:pPr>
        <w:pStyle w:val="33"/>
      </w:pPr>
      <w:r>
        <w:t>5.5.5.1 预测模型及模型参数</w:t>
      </w:r>
    </w:p>
    <w:p>
      <w:pPr>
        <w:pStyle w:val="27"/>
        <w:ind w:firstLine="560"/>
        <w:rPr>
          <w:lang w:val="zh-CN"/>
        </w:rPr>
      </w:pPr>
      <w:r>
        <w:rPr>
          <w:lang w:val="zh-CN"/>
        </w:rPr>
        <w:t>HYDRUS-1D是美国农业部盐土实验室开发的一个可用来模拟地下滴灌土壤水流及溶质运动的有限元计算机模型，该软件能够较好地模拟水分、溶质与能量在土壤中的分布，能够解决实际工作中农田灌溉、田间施肥、环境污染等问题。本次评价使用 Hydus-1D 软件构建模型进行计算，运用了软件中的水流及溶质运移模块，模拟 COD、氯化物随渗漏废水进入包气带后的迁移转化过程，分析污染物在土壤不同深度下运移分布情况。</w:t>
      </w:r>
    </w:p>
    <w:p>
      <w:pPr>
        <w:pStyle w:val="27"/>
        <w:ind w:firstLine="560"/>
        <w:rPr>
          <w:lang w:val="zh-CN"/>
        </w:rPr>
      </w:pPr>
      <w:r>
        <w:rPr>
          <w:lang w:val="zh-CN"/>
        </w:rPr>
        <w:t>①非饱和带水分运移模型</w:t>
      </w:r>
    </w:p>
    <w:p>
      <w:pPr>
        <w:pStyle w:val="27"/>
        <w:ind w:firstLine="560"/>
        <w:rPr>
          <w:lang w:val="zh-CN"/>
        </w:rPr>
      </w:pPr>
      <w:r>
        <w:rPr>
          <w:lang w:val="zh-CN"/>
        </w:rPr>
        <w:t>非饱和带水分运移采用 Richards 方程的修改形式表示。由于污染物在弥散过程中垂向迁移距离往往大于侧向迁移距离，所以本次模拟可认为污染物在包气带中呈一维垂直迁移。因此只考虑上下两个边界，上边界为定流量边界，下边界为潜水面(含水率为饱和含水率)。土壤水分运动的数学模型如下</w:t>
      </w:r>
    </w:p>
    <w:p>
      <w:pPr>
        <w:pStyle w:val="27"/>
        <w:spacing w:line="240" w:lineRule="atLeast"/>
        <w:ind w:firstLine="0" w:firstLineChars="0"/>
        <w:jc w:val="center"/>
        <w:rPr>
          <w:lang w:val="zh-CN"/>
        </w:rPr>
      </w:pPr>
      <w:r>
        <w:drawing>
          <wp:inline distT="0" distB="0" distL="114300" distR="114300">
            <wp:extent cx="3547745" cy="888365"/>
            <wp:effectExtent l="0" t="0" r="14605" b="698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17"/>
                    <a:stretch>
                      <a:fillRect/>
                    </a:stretch>
                  </pic:blipFill>
                  <pic:spPr>
                    <a:xfrm>
                      <a:off x="0" y="0"/>
                      <a:ext cx="3547745" cy="888365"/>
                    </a:xfrm>
                    <a:prstGeom prst="rect">
                      <a:avLst/>
                    </a:prstGeom>
                    <a:noFill/>
                    <a:ln>
                      <a:noFill/>
                    </a:ln>
                  </pic:spPr>
                </pic:pic>
              </a:graphicData>
            </a:graphic>
          </wp:inline>
        </w:drawing>
      </w:r>
    </w:p>
    <w:p>
      <w:pPr>
        <w:pStyle w:val="27"/>
        <w:ind w:firstLine="560"/>
      </w:pPr>
      <w:r>
        <w:t>式中：θ ——土壤体积含水率，L</w:t>
      </w:r>
      <w:r>
        <w:rPr>
          <w:vertAlign w:val="superscript"/>
        </w:rPr>
        <w:t>3</w:t>
      </w:r>
      <w:r>
        <w:t>L</w:t>
      </w:r>
      <w:r>
        <w:rPr>
          <w:vertAlign w:val="superscript"/>
        </w:rPr>
        <w:t>-3</w:t>
      </w:r>
      <w:r>
        <w:t>；</w:t>
      </w:r>
    </w:p>
    <w:p>
      <w:pPr>
        <w:pStyle w:val="27"/>
        <w:ind w:firstLine="1400" w:firstLineChars="500"/>
      </w:pPr>
      <w:r>
        <w:t>t ——为水分运移时间，T；</w:t>
      </w:r>
    </w:p>
    <w:p>
      <w:pPr>
        <w:pStyle w:val="27"/>
        <w:ind w:firstLine="1400" w:firstLineChars="500"/>
      </w:pPr>
      <w:r>
        <w:t>h ——非饱和带压力水头，L；</w:t>
      </w:r>
    </w:p>
    <w:p>
      <w:pPr>
        <w:pStyle w:val="27"/>
        <w:ind w:firstLine="1400" w:firstLineChars="500"/>
      </w:pPr>
      <w:r>
        <w:t>K ——土壤水的非饱和水力传导率，LT</w:t>
      </w:r>
      <w:r>
        <w:rPr>
          <w:vertAlign w:val="superscript"/>
        </w:rPr>
        <w:t>-1</w:t>
      </w:r>
      <w:r>
        <w:t>；</w:t>
      </w:r>
    </w:p>
    <w:p>
      <w:pPr>
        <w:pStyle w:val="27"/>
        <w:ind w:firstLine="1400" w:firstLineChars="500"/>
      </w:pPr>
      <w:r>
        <w:t>θ</w:t>
      </w:r>
      <w:r>
        <w:rPr>
          <w:vertAlign w:val="subscript"/>
        </w:rPr>
        <w:t>s</w:t>
      </w:r>
      <w:r>
        <w:t xml:space="preserve"> ——为饱和含水率；</w:t>
      </w:r>
    </w:p>
    <w:p>
      <w:pPr>
        <w:pStyle w:val="27"/>
        <w:ind w:firstLine="1400" w:firstLineChars="500"/>
      </w:pPr>
      <w:r>
        <w:t>θ</w:t>
      </w:r>
      <w:r>
        <w:rPr>
          <w:vertAlign w:val="subscript"/>
        </w:rPr>
        <w:t>0</w:t>
      </w:r>
      <w:r>
        <w:t xml:space="preserve"> ——为初始含水率；</w:t>
      </w:r>
    </w:p>
    <w:p>
      <w:pPr>
        <w:pStyle w:val="27"/>
        <w:ind w:firstLine="1400" w:firstLineChars="500"/>
      </w:pPr>
      <w:r>
        <w:t>V ——渗透通量LT</w:t>
      </w:r>
      <w:r>
        <w:rPr>
          <w:vertAlign w:val="superscript"/>
        </w:rPr>
        <w:t>-1</w:t>
      </w:r>
      <w:r>
        <w:t>；</w:t>
      </w:r>
    </w:p>
    <w:p>
      <w:pPr>
        <w:pStyle w:val="27"/>
        <w:ind w:firstLine="1400" w:firstLineChars="500"/>
      </w:pPr>
      <w:r>
        <w:t>H ——非饱和带深度。</w:t>
      </w:r>
    </w:p>
    <w:p>
      <w:pPr>
        <w:pStyle w:val="27"/>
        <w:ind w:firstLine="560"/>
        <w:rPr>
          <w:lang w:val="zh-CN"/>
        </w:rPr>
      </w:pPr>
      <w:r>
        <w:rPr>
          <w:lang w:val="zh-CN"/>
        </w:rPr>
        <w:t xml:space="preserve">②非饱和带溶质运移模型 </w:t>
      </w:r>
    </w:p>
    <w:p>
      <w:pPr>
        <w:pStyle w:val="27"/>
        <w:ind w:firstLine="560"/>
        <w:rPr>
          <w:lang w:val="zh-CN"/>
        </w:rPr>
      </w:pPr>
      <w:r>
        <w:rPr>
          <w:lang w:val="zh-CN"/>
        </w:rPr>
        <w:t>本次应用 hydrus-1d 模拟污染物一维垂直迁移，只考虑溶质在固液相间的线性平衡等温吸附作用，忽略污染物的吸附和微生物降解。将污染物渗漏位置看作连续注入的点源，并没有大面积渗漏，所以设定土壤剖面污染物初始浓度为0，上边界为持续释放污染物的定浓度边界，下边界为零浓度梯度边界。溶质运移数学模型如下：</w:t>
      </w:r>
    </w:p>
    <w:p>
      <w:pPr>
        <w:pStyle w:val="27"/>
        <w:spacing w:line="240" w:lineRule="atLeast"/>
        <w:ind w:firstLine="0" w:firstLineChars="0"/>
        <w:jc w:val="center"/>
        <w:rPr>
          <w:lang w:val="zh-CN"/>
        </w:rPr>
      </w:pPr>
      <w:r>
        <w:drawing>
          <wp:inline distT="0" distB="0" distL="114300" distR="114300">
            <wp:extent cx="3188970" cy="1376680"/>
            <wp:effectExtent l="0" t="0" r="11430" b="1397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118"/>
                    <a:stretch>
                      <a:fillRect/>
                    </a:stretch>
                  </pic:blipFill>
                  <pic:spPr>
                    <a:xfrm>
                      <a:off x="0" y="0"/>
                      <a:ext cx="3188970" cy="1376680"/>
                    </a:xfrm>
                    <a:prstGeom prst="rect">
                      <a:avLst/>
                    </a:prstGeom>
                    <a:noFill/>
                    <a:ln>
                      <a:noFill/>
                    </a:ln>
                  </pic:spPr>
                </pic:pic>
              </a:graphicData>
            </a:graphic>
          </wp:inline>
        </w:drawing>
      </w:r>
    </w:p>
    <w:p>
      <w:pPr>
        <w:pStyle w:val="27"/>
        <w:ind w:firstLine="560"/>
      </w:pPr>
      <w:r>
        <w:t>式中：θ ——土壤体积含水率；</w:t>
      </w:r>
    </w:p>
    <w:p>
      <w:pPr>
        <w:pStyle w:val="27"/>
        <w:ind w:firstLine="1400" w:firstLineChars="500"/>
      </w:pPr>
      <w:r>
        <w:t>t ——水分运移时间；</w:t>
      </w:r>
    </w:p>
    <w:p>
      <w:pPr>
        <w:pStyle w:val="27"/>
        <w:ind w:firstLine="1400" w:firstLineChars="500"/>
      </w:pPr>
      <w:r>
        <w:t>z ——空间坐标，向上为正；</w:t>
      </w:r>
    </w:p>
    <w:p>
      <w:pPr>
        <w:pStyle w:val="27"/>
        <w:ind w:firstLine="1400" w:firstLineChars="500"/>
        <w:rPr>
          <w:vertAlign w:val="superscript"/>
        </w:rPr>
      </w:pPr>
      <w:r>
        <w:t>D</w:t>
      </w:r>
      <w:r>
        <w:rPr>
          <w:vertAlign w:val="superscript"/>
        </w:rPr>
        <w:t>w</w:t>
      </w:r>
      <w:r>
        <w:t>为水动力弥散系数，L</w:t>
      </w:r>
      <w:r>
        <w:rPr>
          <w:vertAlign w:val="superscript"/>
        </w:rPr>
        <w:t>2</w:t>
      </w:r>
      <w:r>
        <w:t>T</w:t>
      </w:r>
      <w:r>
        <w:rPr>
          <w:vertAlign w:val="superscript"/>
        </w:rPr>
        <w:t>-1；</w:t>
      </w:r>
    </w:p>
    <w:p>
      <w:pPr>
        <w:pStyle w:val="27"/>
        <w:ind w:firstLine="1400" w:firstLineChars="500"/>
      </w:pPr>
      <w:r>
        <w:t>V ——入渗通量；</w:t>
      </w:r>
    </w:p>
    <w:p>
      <w:pPr>
        <w:pStyle w:val="27"/>
        <w:ind w:firstLine="1400" w:firstLineChars="500"/>
      </w:pPr>
      <w:r>
        <w:t>H ——非饱和带深度；</w:t>
      </w:r>
    </w:p>
    <w:p>
      <w:pPr>
        <w:pStyle w:val="27"/>
        <w:ind w:firstLine="1400" w:firstLineChars="500"/>
      </w:pPr>
      <w:r>
        <w:t>K</w:t>
      </w:r>
      <w:r>
        <w:rPr>
          <w:vertAlign w:val="subscript"/>
        </w:rPr>
        <w:t>d</w:t>
      </w:r>
      <w:r>
        <w:t xml:space="preserve"> ——分配系数，L</w:t>
      </w:r>
      <w:r>
        <w:rPr>
          <w:vertAlign w:val="superscript"/>
        </w:rPr>
        <w:t>3</w:t>
      </w:r>
      <w:r>
        <w:t>M</w:t>
      </w:r>
      <w:r>
        <w:rPr>
          <w:vertAlign w:val="superscript"/>
        </w:rPr>
        <w:t>-1</w:t>
      </w:r>
      <w:r>
        <w:t>；</w:t>
      </w:r>
    </w:p>
    <w:p>
      <w:pPr>
        <w:pStyle w:val="27"/>
        <w:ind w:firstLine="1400" w:firstLineChars="500"/>
      </w:pPr>
      <w:r>
        <w:t>M ——源汇项。</w:t>
      </w:r>
    </w:p>
    <w:p>
      <w:pPr>
        <w:pStyle w:val="27"/>
        <w:ind w:firstLine="560"/>
      </w:pPr>
      <w:r>
        <w:t>拟建场址按包气带浅表层岩性分布状况，岩性结构可分为粉砂、细沙双层结构，上部为粉砂，下部为细沙，渗透性</w:t>
      </w:r>
      <w:r>
        <w:rPr>
          <w:rFonts w:hint="eastAsia"/>
        </w:rPr>
        <w:t>较好</w:t>
      </w:r>
      <w:r>
        <w:t>。水分迁移模型需要确定的水文地质参数</w:t>
      </w:r>
      <w:r>
        <w:rPr>
          <w:rFonts w:hint="eastAsia"/>
        </w:rPr>
        <w:t>有</w:t>
      </w:r>
      <w:r>
        <w:t>θ</w:t>
      </w:r>
      <w:r>
        <w:rPr>
          <w:vertAlign w:val="subscript"/>
        </w:rPr>
        <w:t>r</w:t>
      </w:r>
      <w:r>
        <w:rPr>
          <w:rFonts w:hint="eastAsia"/>
        </w:rPr>
        <w:t>、</w:t>
      </w:r>
      <w:r>
        <w:t>θ</w:t>
      </w:r>
      <w:r>
        <w:rPr>
          <w:vertAlign w:val="subscript"/>
        </w:rPr>
        <w:t>s</w:t>
      </w:r>
      <w:r>
        <w:rPr>
          <w:rFonts w:hint="eastAsia"/>
        </w:rPr>
        <w:t>、</w:t>
      </w:r>
      <w:r>
        <w:t>K</w:t>
      </w:r>
      <w:r>
        <w:rPr>
          <w:rFonts w:hint="eastAsia"/>
          <w:vertAlign w:val="subscript"/>
        </w:rPr>
        <w:t>s</w:t>
      </w:r>
      <w:r>
        <w:rPr>
          <w:rFonts w:hint="eastAsia"/>
        </w:rPr>
        <w:t>、</w:t>
      </w:r>
      <w:r>
        <w:t>α、n</w:t>
      </w:r>
      <w:r>
        <w:rPr>
          <w:rFonts w:hint="eastAsia"/>
        </w:rPr>
        <w:t>、l。土壤剩余含水率</w:t>
      </w:r>
      <w:r>
        <w:t>θ</w:t>
      </w:r>
      <w:r>
        <w:rPr>
          <w:vertAlign w:val="subscript"/>
        </w:rPr>
        <w:t>r</w:t>
      </w:r>
      <w:r>
        <w:rPr>
          <w:rFonts w:hint="eastAsia"/>
        </w:rPr>
        <w:t>、饱和含水率</w:t>
      </w:r>
      <w:r>
        <w:t>θ</w:t>
      </w:r>
      <w:r>
        <w:rPr>
          <w:vertAlign w:val="subscript"/>
        </w:rPr>
        <w:t>s</w:t>
      </w:r>
      <w:r>
        <w:rPr>
          <w:rFonts w:hint="eastAsia"/>
        </w:rPr>
        <w:t>、饱和导水率</w:t>
      </w:r>
      <w:r>
        <w:t>K</w:t>
      </w:r>
      <w:r>
        <w:rPr>
          <w:rFonts w:hint="eastAsia"/>
          <w:vertAlign w:val="subscript"/>
        </w:rPr>
        <w:t>s</w:t>
      </w:r>
      <w:r>
        <w:rPr>
          <w:rFonts w:hint="eastAsia"/>
        </w:rPr>
        <w:t>根据土壤类型选取</w:t>
      </w:r>
      <w:r>
        <w:t>，曲线形状参数α、n采用 Hydrus-1d 软件提供的土壤经验数值</w:t>
      </w:r>
      <w:r>
        <w:rPr>
          <w:rFonts w:hint="eastAsia"/>
        </w:rPr>
        <w:t>，l一般取0.5</w:t>
      </w:r>
      <w:r>
        <w:t>。土壤模型</w:t>
      </w:r>
      <w:r>
        <w:rPr>
          <w:rFonts w:hint="eastAsia"/>
        </w:rPr>
        <w:t>参数</w:t>
      </w:r>
      <w:r>
        <w:t>详见</w:t>
      </w:r>
      <w:r>
        <w:rPr>
          <w:rFonts w:hint="eastAsia"/>
        </w:rPr>
        <w:t>下表</w:t>
      </w:r>
      <w:r>
        <w:t>。</w:t>
      </w:r>
    </w:p>
    <w:p>
      <w:pPr>
        <w:pStyle w:val="32"/>
        <w:ind w:right="240"/>
      </w:pPr>
      <w:r>
        <w:rPr>
          <w:rFonts w:hint="eastAsia"/>
        </w:rPr>
        <w:t>表5</w:t>
      </w:r>
      <w:r>
        <w:t>.5-</w:t>
      </w:r>
      <w:r>
        <w:rPr>
          <w:rFonts w:hint="eastAsia"/>
        </w:rPr>
        <w:t>6                  土壤模型参数一览表</w:t>
      </w:r>
    </w:p>
    <w:tbl>
      <w:tblPr>
        <w:tblStyle w:val="22"/>
        <w:tblW w:w="0" w:type="auto"/>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10"/>
        <w:gridCol w:w="1310"/>
        <w:gridCol w:w="1311"/>
        <w:gridCol w:w="1311"/>
        <w:gridCol w:w="1311"/>
        <w:gridCol w:w="131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10" w:type="dxa"/>
            <w:vAlign w:val="center"/>
          </w:tcPr>
          <w:p>
            <w:pPr>
              <w:pStyle w:val="35"/>
              <w:rPr>
                <w:b/>
                <w:bCs/>
              </w:rPr>
            </w:pPr>
            <w:r>
              <w:rPr>
                <w:rFonts w:hint="eastAsia"/>
                <w:b/>
                <w:bCs/>
              </w:rPr>
              <w:t>土壤类型</w:t>
            </w:r>
          </w:p>
        </w:tc>
        <w:tc>
          <w:tcPr>
            <w:tcW w:w="1310" w:type="dxa"/>
            <w:vAlign w:val="center"/>
          </w:tcPr>
          <w:p>
            <w:pPr>
              <w:pStyle w:val="35"/>
              <w:rPr>
                <w:b/>
                <w:bCs/>
              </w:rPr>
            </w:pPr>
            <w:r>
              <w:rPr>
                <w:b/>
                <w:bCs/>
              </w:rPr>
              <w:t>θ</w:t>
            </w:r>
            <w:r>
              <w:rPr>
                <w:b/>
                <w:bCs/>
                <w:vertAlign w:val="subscript"/>
              </w:rPr>
              <w:t>r</w:t>
            </w:r>
            <w:r>
              <w:rPr>
                <w:rFonts w:hint="eastAsia"/>
                <w:b/>
                <w:bCs/>
              </w:rPr>
              <w:t>[-]</w:t>
            </w:r>
          </w:p>
        </w:tc>
        <w:tc>
          <w:tcPr>
            <w:tcW w:w="1310" w:type="dxa"/>
            <w:vAlign w:val="center"/>
          </w:tcPr>
          <w:p>
            <w:pPr>
              <w:pStyle w:val="35"/>
              <w:rPr>
                <w:b/>
                <w:bCs/>
              </w:rPr>
            </w:pPr>
            <w:r>
              <w:rPr>
                <w:b/>
                <w:bCs/>
              </w:rPr>
              <w:t>θ</w:t>
            </w:r>
            <w:r>
              <w:rPr>
                <w:b/>
                <w:bCs/>
                <w:vertAlign w:val="subscript"/>
              </w:rPr>
              <w:t>s</w:t>
            </w:r>
            <w:r>
              <w:rPr>
                <w:rFonts w:hint="eastAsia"/>
                <w:b/>
                <w:bCs/>
              </w:rPr>
              <w:t>[-]</w:t>
            </w:r>
          </w:p>
        </w:tc>
        <w:tc>
          <w:tcPr>
            <w:tcW w:w="1311" w:type="dxa"/>
            <w:vAlign w:val="center"/>
          </w:tcPr>
          <w:p>
            <w:pPr>
              <w:pStyle w:val="35"/>
              <w:rPr>
                <w:b/>
                <w:bCs/>
              </w:rPr>
            </w:pPr>
            <w:r>
              <w:rPr>
                <w:b/>
                <w:bCs/>
              </w:rPr>
              <w:t>α</w:t>
            </w:r>
            <w:r>
              <w:rPr>
                <w:rFonts w:hint="eastAsia"/>
                <w:b/>
                <w:bCs/>
              </w:rPr>
              <w:t>[1/cm]</w:t>
            </w:r>
          </w:p>
        </w:tc>
        <w:tc>
          <w:tcPr>
            <w:tcW w:w="1311" w:type="dxa"/>
            <w:vAlign w:val="center"/>
          </w:tcPr>
          <w:p>
            <w:pPr>
              <w:pStyle w:val="35"/>
              <w:rPr>
                <w:b/>
                <w:bCs/>
              </w:rPr>
            </w:pPr>
            <w:r>
              <w:rPr>
                <w:rFonts w:hint="eastAsia"/>
                <w:b/>
                <w:bCs/>
              </w:rPr>
              <w:t>n[-]</w:t>
            </w:r>
          </w:p>
        </w:tc>
        <w:tc>
          <w:tcPr>
            <w:tcW w:w="1311" w:type="dxa"/>
            <w:vAlign w:val="center"/>
          </w:tcPr>
          <w:p>
            <w:pPr>
              <w:pStyle w:val="35"/>
              <w:rPr>
                <w:b/>
                <w:bCs/>
              </w:rPr>
            </w:pPr>
            <w:r>
              <w:rPr>
                <w:b/>
                <w:bCs/>
              </w:rPr>
              <w:t>K</w:t>
            </w:r>
            <w:r>
              <w:rPr>
                <w:rFonts w:hint="eastAsia"/>
                <w:b/>
                <w:bCs/>
                <w:vertAlign w:val="subscript"/>
              </w:rPr>
              <w:t>s</w:t>
            </w:r>
            <w:r>
              <w:rPr>
                <w:rFonts w:hint="eastAsia"/>
                <w:b/>
                <w:bCs/>
              </w:rPr>
              <w:t>[cm/days]</w:t>
            </w:r>
          </w:p>
        </w:tc>
        <w:tc>
          <w:tcPr>
            <w:tcW w:w="1311" w:type="dxa"/>
            <w:vAlign w:val="center"/>
          </w:tcPr>
          <w:p>
            <w:pPr>
              <w:pStyle w:val="35"/>
              <w:rPr>
                <w:b/>
                <w:bCs/>
              </w:rPr>
            </w:pPr>
            <w:r>
              <w:rPr>
                <w:rFonts w:hint="eastAsia"/>
                <w:b/>
                <w:bCs/>
              </w:rPr>
              <w:t>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310" w:type="dxa"/>
            <w:vAlign w:val="center"/>
          </w:tcPr>
          <w:p>
            <w:pPr>
              <w:pStyle w:val="35"/>
            </w:pPr>
            <w:r>
              <w:rPr>
                <w:rFonts w:hint="eastAsia"/>
              </w:rPr>
              <w:t>粉砂</w:t>
            </w:r>
          </w:p>
        </w:tc>
        <w:tc>
          <w:tcPr>
            <w:tcW w:w="1310" w:type="dxa"/>
            <w:vAlign w:val="center"/>
          </w:tcPr>
          <w:p>
            <w:pPr>
              <w:pStyle w:val="35"/>
            </w:pPr>
            <w:r>
              <w:rPr>
                <w:rFonts w:hint="eastAsia"/>
              </w:rPr>
              <w:t>0.034</w:t>
            </w:r>
          </w:p>
        </w:tc>
        <w:tc>
          <w:tcPr>
            <w:tcW w:w="1310" w:type="dxa"/>
            <w:vAlign w:val="center"/>
          </w:tcPr>
          <w:p>
            <w:pPr>
              <w:pStyle w:val="35"/>
            </w:pPr>
            <w:r>
              <w:rPr>
                <w:rFonts w:hint="eastAsia"/>
              </w:rPr>
              <w:t>0.46</w:t>
            </w:r>
          </w:p>
        </w:tc>
        <w:tc>
          <w:tcPr>
            <w:tcW w:w="1311" w:type="dxa"/>
            <w:vAlign w:val="center"/>
          </w:tcPr>
          <w:p>
            <w:pPr>
              <w:pStyle w:val="35"/>
            </w:pPr>
            <w:r>
              <w:rPr>
                <w:rFonts w:hint="eastAsia"/>
              </w:rPr>
              <w:t>0.016</w:t>
            </w:r>
          </w:p>
        </w:tc>
        <w:tc>
          <w:tcPr>
            <w:tcW w:w="1311" w:type="dxa"/>
            <w:vAlign w:val="center"/>
          </w:tcPr>
          <w:p>
            <w:pPr>
              <w:pStyle w:val="35"/>
            </w:pPr>
            <w:r>
              <w:rPr>
                <w:rFonts w:hint="eastAsia"/>
              </w:rPr>
              <w:t>1.37</w:t>
            </w:r>
          </w:p>
        </w:tc>
        <w:tc>
          <w:tcPr>
            <w:tcW w:w="1311" w:type="dxa"/>
            <w:vAlign w:val="center"/>
          </w:tcPr>
          <w:p>
            <w:pPr>
              <w:pStyle w:val="35"/>
            </w:pPr>
            <w:r>
              <w:rPr>
                <w:rFonts w:hint="eastAsia"/>
              </w:rPr>
              <w:t>6</w:t>
            </w:r>
          </w:p>
        </w:tc>
        <w:tc>
          <w:tcPr>
            <w:tcW w:w="1311" w:type="dxa"/>
            <w:vAlign w:val="center"/>
          </w:tcPr>
          <w:p>
            <w:pPr>
              <w:pStyle w:val="35"/>
            </w:pPr>
            <w:r>
              <w:rPr>
                <w:rFonts w:hint="eastAsia"/>
              </w:rPr>
              <w:t>0.5</w:t>
            </w:r>
          </w:p>
        </w:tc>
      </w:tr>
    </w:tbl>
    <w:p>
      <w:pPr>
        <w:pStyle w:val="33"/>
      </w:pPr>
      <w:r>
        <w:t>5.5.5.1 预测情景设置</w:t>
      </w:r>
    </w:p>
    <w:p>
      <w:pPr>
        <w:pStyle w:val="27"/>
        <w:ind w:firstLine="560"/>
      </w:pPr>
      <w:r>
        <w:t>结合前文对土壤污染影响途径的论述，本次土壤污染物运移预测对象为尾气洗涤塔循环水池垂直入渗影响</w:t>
      </w:r>
      <w:r>
        <w:rPr>
          <w:rFonts w:hint="eastAsia"/>
        </w:rPr>
        <w:t>。</w:t>
      </w:r>
      <w:r>
        <w:t>尾气洗涤塔循环水池在非正常工况下发生渗漏，污染物随污水不断地渗入土壤，污染物在尾气洗涤塔循环水池破裂处浓度最高。</w:t>
      </w:r>
    </w:p>
    <w:p>
      <w:pPr>
        <w:pStyle w:val="27"/>
        <w:ind w:firstLine="560"/>
      </w:pPr>
      <w:r>
        <w:t>本次土壤评价只考虑污染物在非饱和带的一维垂直迁移，因此模型上边界为尾气洗涤塔循环水池场地的入渗点，下边界为土壤预测边界处（土壤预测深度为5.0m），土壤质地为粉砂。土壤构型从垂向上按1cm进行网格剖分，将研究土壤深度划分为</w:t>
      </w:r>
      <w:r>
        <w:rPr>
          <w:rFonts w:hint="eastAsia"/>
        </w:rPr>
        <w:t>5</w:t>
      </w:r>
      <w:r>
        <w:t>00层，土壤岩性概化为粉砂层（0～</w:t>
      </w:r>
      <w:r>
        <w:rPr>
          <w:rFonts w:hint="eastAsia"/>
        </w:rPr>
        <w:t>5</w:t>
      </w:r>
      <w:r>
        <w:t>.0m），每隔一米设一个观测点</w:t>
      </w:r>
      <w:r>
        <w:rPr>
          <w:rFonts w:hint="eastAsia"/>
        </w:rPr>
        <w:t>。</w:t>
      </w:r>
    </w:p>
    <w:p>
      <w:pPr>
        <w:pStyle w:val="33"/>
      </w:pPr>
      <w:r>
        <w:t>5.5.5.2 预测评价因子</w:t>
      </w:r>
    </w:p>
    <w:p>
      <w:pPr>
        <w:pStyle w:val="27"/>
        <w:ind w:firstLine="560"/>
      </w:pPr>
      <w:r>
        <w:t>根据工程分析及环境影响识别结果，确定本项目土壤环境影响评价的预测因子为COD。</w:t>
      </w:r>
    </w:p>
    <w:p>
      <w:pPr>
        <w:pStyle w:val="33"/>
      </w:pPr>
      <w:r>
        <w:t>5.5.5.3 预测结果与评价</w:t>
      </w:r>
    </w:p>
    <w:p>
      <w:pPr>
        <w:pStyle w:val="27"/>
        <w:ind w:firstLine="560"/>
      </w:pPr>
      <w:r>
        <w:rPr>
          <w:rFonts w:hint="eastAsia"/>
        </w:rPr>
        <w:t>垂直入渗预测结果见下图。</w:t>
      </w:r>
    </w:p>
    <w:p>
      <w:pPr>
        <w:pStyle w:val="27"/>
        <w:spacing w:line="240" w:lineRule="atLeast"/>
        <w:ind w:firstLine="0" w:firstLineChars="0"/>
        <w:jc w:val="center"/>
      </w:pPr>
      <w:r>
        <w:drawing>
          <wp:inline distT="0" distB="0" distL="114300" distR="114300">
            <wp:extent cx="4283710" cy="3012440"/>
            <wp:effectExtent l="0" t="0" r="2540" b="16510"/>
            <wp:docPr id="60" name="图片 60" descr="lALPD2eDPU3toaTNAQfNAXY_374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lALPD2eDPU3toaTNAQfNAXY_374_263"/>
                    <pic:cNvPicPr>
                      <a:picLocks noChangeAspect="1"/>
                    </pic:cNvPicPr>
                  </pic:nvPicPr>
                  <pic:blipFill>
                    <a:blip r:embed="rId119"/>
                    <a:stretch>
                      <a:fillRect/>
                    </a:stretch>
                  </pic:blipFill>
                  <pic:spPr>
                    <a:xfrm>
                      <a:off x="0" y="0"/>
                      <a:ext cx="4283710" cy="3012440"/>
                    </a:xfrm>
                    <a:prstGeom prst="rect">
                      <a:avLst/>
                    </a:prstGeom>
                  </pic:spPr>
                </pic:pic>
              </a:graphicData>
            </a:graphic>
          </wp:inline>
        </w:drawing>
      </w:r>
    </w:p>
    <w:p>
      <w:pPr>
        <w:pStyle w:val="58"/>
      </w:pPr>
      <w:r>
        <w:rPr>
          <w:rFonts w:hint="eastAsia"/>
        </w:rPr>
        <w:t>图5.5-1  土壤垂直入渗预测结果</w:t>
      </w:r>
    </w:p>
    <w:p>
      <w:pPr>
        <w:pStyle w:val="27"/>
        <w:ind w:firstLine="560"/>
      </w:pPr>
      <w:r>
        <w:rPr>
          <w:rFonts w:hint="eastAsia"/>
        </w:rPr>
        <w:t>由上图可知：对任意一个观测点，当污染物垂直运移到该点后，200天内土壤中COD浓度快速升高；250天后土壤中COD浓度基本达到最大值，最大值为12mg/cm</w:t>
      </w:r>
      <w:r>
        <w:rPr>
          <w:rFonts w:hint="eastAsia"/>
          <w:vertAlign w:val="superscript"/>
        </w:rPr>
        <w:t>3</w:t>
      </w:r>
      <w:r>
        <w:rPr>
          <w:rFonts w:hint="eastAsia"/>
        </w:rPr>
        <w:t>，之后不再升高；COD垂直入渗至5m深度大约需要250天，750天时5m深度的土壤中COD浓度达到最大值，污染物垂直入渗速率较大。土壤对污染物的运移有一定的阻滞作用，但污染防护性能较差，污染物垂直运移速率较快。评价建议建设单位应加强污水处理设施的运维，利用设备检修期对包括尾气吸收塔在内的各种污水管线、水池的防渗层进行检查，减少非正常工况下的</w:t>
      </w:r>
      <w:r>
        <w:t>“</w:t>
      </w:r>
      <w:r>
        <w:rPr>
          <w:rFonts w:hint="eastAsia"/>
        </w:rPr>
        <w:t>跑冒滴漏</w:t>
      </w:r>
      <w:r>
        <w:t>”</w:t>
      </w:r>
      <w:r>
        <w:rPr>
          <w:rFonts w:hint="eastAsia"/>
        </w:rPr>
        <w:t>，从源头控制土壤污染。</w:t>
      </w:r>
    </w:p>
    <w:p>
      <w:pPr>
        <w:pStyle w:val="31"/>
        <w:rPr>
          <w:lang w:val="zh-CN"/>
        </w:rPr>
      </w:pPr>
      <w:r>
        <w:t>5.5.</w:t>
      </w:r>
      <w:r>
        <w:rPr>
          <w:rFonts w:hint="eastAsia"/>
        </w:rPr>
        <w:t>6</w:t>
      </w:r>
      <w:r>
        <w:rPr>
          <w:lang w:val="zh-CN"/>
        </w:rPr>
        <w:t xml:space="preserve"> </w:t>
      </w:r>
      <w:bookmarkStart w:id="237" w:name="_Toc32624"/>
      <w:r>
        <w:rPr>
          <w:lang w:val="zh-CN"/>
        </w:rPr>
        <w:t>小结</w:t>
      </w:r>
      <w:bookmarkEnd w:id="237"/>
    </w:p>
    <w:p>
      <w:pPr>
        <w:pStyle w:val="27"/>
        <w:ind w:firstLine="560"/>
      </w:pPr>
      <w:r>
        <w:rPr>
          <w:rFonts w:hint="eastAsia"/>
        </w:rPr>
        <w:t>（1）本项目属于污染影响型建设项目，根据土壤环境影响评价项目类别、占地规模与敏感程度划分评价工作等级为一级评价。</w:t>
      </w:r>
    </w:p>
    <w:p>
      <w:pPr>
        <w:pStyle w:val="27"/>
        <w:ind w:firstLine="560"/>
      </w:pPr>
      <w:r>
        <w:rPr>
          <w:rFonts w:hint="eastAsia"/>
        </w:rPr>
        <w:t>（2）本项目拟建场址位于濮阳市濮阳经济技术产业集聚区，土壤环境敏感，根据导则要求，土壤现状调查范围为占地范围及</w:t>
      </w:r>
      <w:r>
        <w:rPr>
          <w:lang w:val="zh-CN"/>
        </w:rPr>
        <w:t>厂界外扩1km</w:t>
      </w:r>
      <w:r>
        <w:rPr>
          <w:rFonts w:hint="eastAsia"/>
        </w:rPr>
        <w:t>。</w:t>
      </w:r>
    </w:p>
    <w:p>
      <w:pPr>
        <w:pStyle w:val="27"/>
        <w:ind w:firstLine="560"/>
      </w:pPr>
      <w:r>
        <w:rPr>
          <w:rFonts w:hint="eastAsia"/>
        </w:rPr>
        <w:t>（3）经过对拟建场址及周边土壤环境现状监测，建设项目占地范围内及厂区周边调查地块土壤中各污染物项目均能满足《土壤环境质量</w:t>
      </w:r>
      <w:r>
        <w:t>-</w:t>
      </w:r>
      <w:r>
        <w:rPr>
          <w:rFonts w:hint="eastAsia"/>
        </w:rPr>
        <w:t>建设用地土壤污染风险管控标准（试行）》</w:t>
      </w:r>
      <w:r>
        <w:t>(GB36600-2018)</w:t>
      </w:r>
      <w:r>
        <w:rPr>
          <w:rFonts w:hint="eastAsia"/>
        </w:rPr>
        <w:t>筛选值第二类用地标准限值</w:t>
      </w:r>
      <w:r>
        <w:t>,</w:t>
      </w:r>
      <w:r>
        <w:rPr>
          <w:rFonts w:hint="eastAsia"/>
        </w:rPr>
        <w:t>以及《土壤环境质量</w:t>
      </w:r>
      <w:r>
        <w:t>-</w:t>
      </w:r>
      <w:r>
        <w:rPr>
          <w:rFonts w:hint="eastAsia"/>
        </w:rPr>
        <w:t>农用地土壤污染风险管控标准》（</w:t>
      </w:r>
      <w:r>
        <w:t>GB15618-2018</w:t>
      </w:r>
      <w:r>
        <w:rPr>
          <w:rFonts w:hint="eastAsia"/>
        </w:rPr>
        <w:t xml:space="preserve">）表 </w:t>
      </w:r>
      <w:r>
        <w:t xml:space="preserve">1 </w:t>
      </w:r>
      <w:r>
        <w:rPr>
          <w:rFonts w:hint="eastAsia"/>
        </w:rPr>
        <w:t>农用地土壤污染风险筛选值相应标准要求。</w:t>
      </w:r>
    </w:p>
    <w:p>
      <w:pPr>
        <w:pStyle w:val="27"/>
        <w:ind w:firstLine="560"/>
      </w:pPr>
      <w:r>
        <w:rPr>
          <w:rFonts w:hint="eastAsia"/>
        </w:rPr>
        <w:t>（4）本项目运营期内土壤环境影响识别为垂直入渗，本次评价模拟时间段内污染物</w:t>
      </w:r>
      <w:r>
        <w:t>COD</w:t>
      </w:r>
      <w:r>
        <w:rPr>
          <w:rFonts w:hint="eastAsia"/>
        </w:rPr>
        <w:t>运移变化趋势说明土壤对污染物的运移有一定的阻滞作用，但险滞性能较差，评价建议运营期内加强尾气洗涤塔与相关污水管线、水池的日常检查和维护。</w:t>
      </w:r>
    </w:p>
    <w:p>
      <w:pPr>
        <w:pStyle w:val="27"/>
        <w:ind w:firstLine="560"/>
      </w:pPr>
      <w:r>
        <w:rPr>
          <w:rFonts w:hint="eastAsia"/>
        </w:rPr>
        <w:t>（5）建设项目各不同阶段，土壤环境敏感目标处且占地范围内各评价因子均满足相关标准要求。评价认为，本项目拟建场址建设对土壤环境的影响可以接受。</w:t>
      </w:r>
    </w:p>
    <w:p>
      <w:pPr>
        <w:pStyle w:val="4"/>
        <w:spacing w:before="0" w:after="0" w:line="520" w:lineRule="exact"/>
        <w:rPr>
          <w:rFonts w:ascii="Times New Roman" w:hAnsi="Times New Roman"/>
          <w:bCs/>
          <w:szCs w:val="28"/>
        </w:rPr>
      </w:pPr>
      <w:r>
        <w:rPr>
          <w:rFonts w:ascii="Times New Roman" w:hAnsi="Times New Roman"/>
          <w:bCs/>
          <w:szCs w:val="28"/>
        </w:rPr>
        <w:t>5.6  项目施工期环境影响分析</w:t>
      </w:r>
    </w:p>
    <w:p>
      <w:pPr>
        <w:spacing w:line="520" w:lineRule="exact"/>
        <w:ind w:firstLine="560" w:firstLineChars="200"/>
        <w:rPr>
          <w:sz w:val="28"/>
          <w:szCs w:val="28"/>
        </w:rPr>
      </w:pPr>
      <w:r>
        <w:rPr>
          <w:sz w:val="28"/>
          <w:szCs w:val="28"/>
        </w:rPr>
        <w:t>本项目为中试项目，建设周期较短、占地面积较小，建设基本内容包括挖方、填方、厂区土地平整、厂房建设及设备安装等。项目施工期对周围环境的主要影响内容包括施工及运输扬尘，施工中的冲洗废水、洗涤废水和施工人员的生活污水，生产及生活固体废物以及机械设备噪声、运输过程产生的噪声、安装生产设备噪声。</w:t>
      </w:r>
    </w:p>
    <w:p>
      <w:pPr>
        <w:pStyle w:val="66"/>
        <w:rPr>
          <w:rFonts w:cs="Times New Roman"/>
        </w:rPr>
      </w:pPr>
      <w:r>
        <w:rPr>
          <w:rFonts w:cs="Times New Roman"/>
        </w:rPr>
        <w:t>5.5.1  施工扬尘的影响分析及对策</w:t>
      </w:r>
    </w:p>
    <w:p>
      <w:pPr>
        <w:spacing w:line="520" w:lineRule="exact"/>
        <w:ind w:firstLine="560" w:firstLineChars="200"/>
        <w:rPr>
          <w:sz w:val="28"/>
          <w:szCs w:val="28"/>
        </w:rPr>
      </w:pPr>
      <w:r>
        <w:rPr>
          <w:sz w:val="28"/>
          <w:szCs w:val="28"/>
        </w:rPr>
        <w:t>工程施工期中对大气环境的影响主要为：建筑材料运输、卸载时产生的扬尘，临时物料堆场扬尘等。将对近距离的环境空气造成污染影响。</w:t>
      </w:r>
    </w:p>
    <w:p>
      <w:pPr>
        <w:spacing w:line="520" w:lineRule="exact"/>
        <w:ind w:firstLine="560" w:firstLineChars="200"/>
        <w:rPr>
          <w:sz w:val="28"/>
          <w:szCs w:val="28"/>
        </w:rPr>
      </w:pPr>
      <w:r>
        <w:rPr>
          <w:sz w:val="28"/>
          <w:szCs w:val="28"/>
        </w:rPr>
        <w:t>为减轻施工期对大气环境的影响，项目建设过程应严格执行《印发濮阳市污染防治攻坚战三年行动计划实施方案》（2018</w:t>
      </w:r>
      <w:r>
        <w:rPr>
          <w:rFonts w:hint="eastAsia"/>
          <w:sz w:val="28"/>
          <w:szCs w:val="28"/>
        </w:rPr>
        <w:t>-</w:t>
      </w:r>
      <w:r>
        <w:rPr>
          <w:sz w:val="28"/>
          <w:szCs w:val="28"/>
        </w:rPr>
        <w:t>2020年）及《濮阳市2020年住房城乡建设系统环境污染防治攻坚战工作方案》等文件要求，施工工地应严格落实“八个百分之百”、“两个禁止”、“三员”管理、开复工验收、在线监测监控等制度，并及时更新管理台账。</w:t>
      </w:r>
    </w:p>
    <w:p>
      <w:pPr>
        <w:pStyle w:val="66"/>
        <w:spacing w:line="480" w:lineRule="exact"/>
        <w:rPr>
          <w:rFonts w:cs="Times New Roman"/>
        </w:rPr>
      </w:pPr>
      <w:r>
        <w:rPr>
          <w:rFonts w:cs="Times New Roman"/>
        </w:rPr>
        <w:t>5.5.2  施工污水的影响分析及对策</w:t>
      </w:r>
    </w:p>
    <w:p>
      <w:pPr>
        <w:spacing w:line="520" w:lineRule="exact"/>
        <w:ind w:firstLine="560" w:firstLineChars="200"/>
        <w:rPr>
          <w:sz w:val="28"/>
          <w:szCs w:val="28"/>
        </w:rPr>
      </w:pPr>
      <w:r>
        <w:rPr>
          <w:sz w:val="28"/>
          <w:szCs w:val="28"/>
        </w:rPr>
        <w:t>施工期排放的废水主要为施工中的冲洗废水和洗涤废水，以及施工人员的生活污水。施工人员生活污水产生量按10～20L/日</w:t>
      </w:r>
      <w:r>
        <w:rPr>
          <w:sz w:val="21"/>
          <w:szCs w:val="21"/>
        </w:rPr>
        <w:t>·</w:t>
      </w:r>
      <w:r>
        <w:rPr>
          <w:sz w:val="28"/>
          <w:szCs w:val="28"/>
        </w:rPr>
        <w:t>人计，施工现场居住人员按50人计，其日产污水量0.5～1m</w:t>
      </w:r>
      <w:r>
        <w:rPr>
          <w:sz w:val="28"/>
          <w:szCs w:val="28"/>
          <w:vertAlign w:val="superscript"/>
        </w:rPr>
        <w:t>3</w:t>
      </w:r>
      <w:r>
        <w:rPr>
          <w:sz w:val="28"/>
          <w:szCs w:val="28"/>
        </w:rPr>
        <w:t>，施工期生活污水依托厂区现有生活设施及污水收集处理系统，不会对地面水环境造成污染影响。</w:t>
      </w:r>
    </w:p>
    <w:p>
      <w:pPr>
        <w:spacing w:line="520" w:lineRule="exact"/>
        <w:ind w:firstLine="560" w:firstLineChars="200"/>
        <w:rPr>
          <w:sz w:val="28"/>
          <w:szCs w:val="28"/>
        </w:rPr>
      </w:pPr>
      <w:r>
        <w:rPr>
          <w:sz w:val="28"/>
          <w:szCs w:val="28"/>
        </w:rPr>
        <w:t>施工冲洗废水中主要污染物为SS、石油类，其产生量及水质状况是随机的，变化较大，经类比调查表明多数施工现场这部分废水均随意排放。因此评价建议：工程施工中要尽量减少用水量，避免施工废水排放，工地应设一个临时沉淀池，收集施工中产生的各类冲洗废水，经沉淀处理后复用，作为混凝用水和场地洒水。节约用水，减轻对地面水环境的污染影响。</w:t>
      </w:r>
    </w:p>
    <w:p>
      <w:pPr>
        <w:pStyle w:val="66"/>
        <w:rPr>
          <w:rFonts w:cs="Times New Roman"/>
        </w:rPr>
      </w:pPr>
      <w:r>
        <w:rPr>
          <w:rFonts w:cs="Times New Roman"/>
        </w:rPr>
        <w:t>5.5.3  施工固废的环境影响分析及对策</w:t>
      </w:r>
    </w:p>
    <w:p>
      <w:pPr>
        <w:spacing w:line="520" w:lineRule="exact"/>
        <w:ind w:firstLine="560" w:firstLineChars="200"/>
        <w:rPr>
          <w:sz w:val="28"/>
          <w:szCs w:val="28"/>
        </w:rPr>
      </w:pPr>
      <w:r>
        <w:rPr>
          <w:sz w:val="28"/>
          <w:szCs w:val="28"/>
        </w:rPr>
        <w:t>工程产生的固废主要是建筑垃圾、施工人员生活垃圾等。建筑垃圾如钢筋、钢板、木材等下脚料可分类回收、送废物收购站处理；混凝土废料、废砖、石、砂等废弃渣土集中堆放，可用于回填或定时清运至环境卫生主管部门指定地点处理。施工人员生活垃圾经收集后由开发区环卫部门定期清运。</w:t>
      </w:r>
    </w:p>
    <w:p>
      <w:pPr>
        <w:pStyle w:val="66"/>
        <w:rPr>
          <w:rFonts w:cs="Times New Roman"/>
        </w:rPr>
      </w:pPr>
      <w:r>
        <w:rPr>
          <w:rFonts w:cs="Times New Roman"/>
        </w:rPr>
        <w:t>5.5.4  施工噪声的环境影响分析及对策</w:t>
      </w:r>
    </w:p>
    <w:p>
      <w:pPr>
        <w:spacing w:line="520" w:lineRule="exact"/>
        <w:ind w:firstLine="560" w:firstLineChars="200"/>
        <w:rPr>
          <w:sz w:val="28"/>
          <w:szCs w:val="28"/>
        </w:rPr>
      </w:pPr>
      <w:r>
        <w:rPr>
          <w:sz w:val="28"/>
          <w:szCs w:val="28"/>
        </w:rPr>
        <w:t>为防止噪声对附近居民区造成污染，建设阶段的施工作业应参照建筑施工场界环境噪声排放标准</w:t>
      </w:r>
      <w:r>
        <w:rPr>
          <w:rFonts w:hint="eastAsia"/>
          <w:sz w:val="28"/>
          <w:szCs w:val="28"/>
        </w:rPr>
        <w:t>（</w:t>
      </w:r>
      <w:r>
        <w:rPr>
          <w:sz w:val="28"/>
          <w:szCs w:val="28"/>
        </w:rPr>
        <w:t>GB 12523-2011</w:t>
      </w:r>
      <w:r>
        <w:rPr>
          <w:rFonts w:hint="eastAsia"/>
          <w:sz w:val="28"/>
          <w:szCs w:val="28"/>
        </w:rPr>
        <w:t>）</w:t>
      </w:r>
      <w:r>
        <w:rPr>
          <w:sz w:val="28"/>
          <w:szCs w:val="28"/>
        </w:rPr>
        <w:t>执行，对产生噪声和振动较大的作业，</w:t>
      </w:r>
      <w:r>
        <w:rPr>
          <w:rFonts w:hint="eastAsia"/>
          <w:sz w:val="28"/>
          <w:szCs w:val="28"/>
        </w:rPr>
        <w:t>建议</w:t>
      </w:r>
      <w:r>
        <w:rPr>
          <w:sz w:val="28"/>
          <w:szCs w:val="28"/>
        </w:rPr>
        <w:t>安排在白天（6～22时）进行，如需夜间作业时，要保证施工场地边界处噪声不超过</w:t>
      </w:r>
      <w:r>
        <w:rPr>
          <w:rFonts w:hint="eastAsia"/>
          <w:sz w:val="28"/>
          <w:szCs w:val="28"/>
        </w:rPr>
        <w:t>55</w:t>
      </w:r>
      <w:r>
        <w:rPr>
          <w:sz w:val="28"/>
          <w:szCs w:val="28"/>
        </w:rPr>
        <w:t>dB(A)。运输车辆尽可能在昼间作业，避免或减少夜间作业量。</w:t>
      </w:r>
    </w:p>
    <w:p>
      <w:pPr>
        <w:spacing w:line="520" w:lineRule="exact"/>
        <w:ind w:firstLine="560" w:firstLineChars="200"/>
        <w:rPr>
          <w:sz w:val="28"/>
          <w:szCs w:val="28"/>
        </w:rPr>
      </w:pPr>
      <w:r>
        <w:rPr>
          <w:sz w:val="28"/>
          <w:szCs w:val="28"/>
        </w:rPr>
        <w:t>施工阶段的影响是短期的，因此应加强对施工现场的管理，并采取有效的防护措施以最大限度地减少施工阶段对周围环境的影响。</w:t>
      </w:r>
    </w:p>
    <w:p>
      <w:pPr>
        <w:pStyle w:val="66"/>
        <w:rPr>
          <w:rFonts w:cs="Times New Roman"/>
        </w:rPr>
      </w:pPr>
      <w:r>
        <w:rPr>
          <w:rFonts w:cs="Times New Roman"/>
        </w:rPr>
        <w:t>5.5.5  施工期生态环境影响分析及对策</w:t>
      </w:r>
    </w:p>
    <w:p>
      <w:pPr>
        <w:pStyle w:val="27"/>
        <w:ind w:firstLine="560"/>
      </w:pPr>
      <w:r>
        <w:rPr>
          <w:szCs w:val="28"/>
        </w:rPr>
        <w:t>根据现场调查，项目所在区域内无受国家和省级保护的一、二级动植</w:t>
      </w:r>
      <w:r>
        <w:t>物及其生境，无珍稀、濒危动植物及其生境。</w:t>
      </w:r>
    </w:p>
    <w:p>
      <w:pPr>
        <w:pStyle w:val="27"/>
        <w:ind w:firstLine="560"/>
      </w:pPr>
      <w:r>
        <w:t>综上，根据本项目区域施工方式、施工内容和生态环境现状，其建设和营运对区域生态系统的影响主要为植被破坏和水土流失。评价建议厂方在项目建设和营运时采取的生态防护措施为：</w:t>
      </w:r>
    </w:p>
    <w:p>
      <w:pPr>
        <w:pStyle w:val="27"/>
        <w:ind w:firstLine="560"/>
      </w:pPr>
      <w:r>
        <w:t>（1）在废水收集池等设施施工时对边坡进行随填随加固，边坡坡面利用粒径较大的废石进行坡面平整，以减少水土流失量；</w:t>
      </w:r>
    </w:p>
    <w:p>
      <w:pPr>
        <w:pStyle w:val="27"/>
        <w:ind w:firstLine="560"/>
      </w:pPr>
      <w:r>
        <w:t>（2）施工单位要规范施工，施工过程中边开挖、边回填、边碾压；</w:t>
      </w:r>
    </w:p>
    <w:p>
      <w:pPr>
        <w:pStyle w:val="27"/>
        <w:ind w:firstLine="560"/>
      </w:pPr>
      <w:r>
        <w:t>（3）在保障施工质量基础上，尽量缩短施工期，合理安排施工时间，尽量避开雨季和汛期；</w:t>
      </w:r>
    </w:p>
    <w:p>
      <w:pPr>
        <w:pStyle w:val="27"/>
        <w:ind w:firstLine="560"/>
      </w:pPr>
      <w:r>
        <w:t>（4）为尽量减少因降雨而引起的水土流失，施工期间，要结合地形条件要求各开挖面及临时堆存土料采取临时排水措施；</w:t>
      </w:r>
    </w:p>
    <w:p>
      <w:pPr>
        <w:pStyle w:val="27"/>
        <w:ind w:firstLine="560"/>
      </w:pPr>
      <w:r>
        <w:t>（5）施工结束后，首先对污染物质进行清除或掩埋处理，然后对临时占地采取植被恢复。</w:t>
      </w:r>
    </w:p>
    <w:p>
      <w:pPr>
        <w:pStyle w:val="27"/>
        <w:ind w:firstLine="560"/>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60"/>
        <w:gridCol w:w="2693"/>
        <w:gridCol w:w="1843"/>
        <w:gridCol w:w="240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675" w:type="dxa"/>
            <w:noWrap w:val="0"/>
            <w:vAlign w:val="center"/>
          </w:tcPr>
          <w:p>
            <w:pPr>
              <w:snapToGrid w:val="0"/>
              <w:rPr>
                <w:rFonts w:ascii="Times New Roman" w:hAnsi="Times New Roman"/>
                <w:b/>
                <w:bCs/>
                <w:szCs w:val="21"/>
              </w:rPr>
            </w:pPr>
            <w:r>
              <w:rPr>
                <w:rFonts w:ascii="Times New Roman" w:hAnsi="Times New Roman"/>
                <w:b/>
                <w:bCs/>
                <w:szCs w:val="21"/>
              </w:rPr>
              <w:t>类别</w:t>
            </w:r>
          </w:p>
        </w:tc>
        <w:tc>
          <w:tcPr>
            <w:tcW w:w="1560" w:type="dxa"/>
            <w:noWrap w:val="0"/>
            <w:vAlign w:val="center"/>
          </w:tcPr>
          <w:p>
            <w:pPr>
              <w:snapToGrid w:val="0"/>
              <w:jc w:val="center"/>
              <w:rPr>
                <w:rFonts w:ascii="Times New Roman" w:hAnsi="Times New Roman"/>
                <w:b/>
                <w:bCs/>
                <w:szCs w:val="21"/>
              </w:rPr>
            </w:pPr>
            <w:r>
              <w:rPr>
                <w:rFonts w:ascii="Times New Roman" w:hAnsi="Times New Roman"/>
                <w:b/>
                <w:bCs/>
                <w:szCs w:val="21"/>
              </w:rPr>
              <w:t>项目</w:t>
            </w:r>
          </w:p>
        </w:tc>
        <w:tc>
          <w:tcPr>
            <w:tcW w:w="2693" w:type="dxa"/>
            <w:noWrap w:val="0"/>
            <w:vAlign w:val="center"/>
          </w:tcPr>
          <w:p>
            <w:pPr>
              <w:snapToGrid w:val="0"/>
              <w:jc w:val="center"/>
              <w:rPr>
                <w:rFonts w:ascii="Times New Roman" w:hAnsi="Times New Roman"/>
                <w:b/>
                <w:bCs/>
                <w:szCs w:val="21"/>
              </w:rPr>
            </w:pPr>
            <w:r>
              <w:rPr>
                <w:rFonts w:ascii="Times New Roman" w:hAnsi="Times New Roman"/>
                <w:b/>
                <w:bCs/>
                <w:szCs w:val="21"/>
              </w:rPr>
              <w:t>产污环节</w:t>
            </w:r>
          </w:p>
        </w:tc>
        <w:tc>
          <w:tcPr>
            <w:tcW w:w="1843" w:type="dxa"/>
            <w:noWrap w:val="0"/>
            <w:vAlign w:val="center"/>
          </w:tcPr>
          <w:p>
            <w:pPr>
              <w:snapToGrid w:val="0"/>
              <w:jc w:val="center"/>
              <w:rPr>
                <w:rFonts w:ascii="Times New Roman" w:hAnsi="Times New Roman"/>
                <w:b/>
                <w:bCs/>
                <w:szCs w:val="21"/>
              </w:rPr>
            </w:pPr>
            <w:r>
              <w:rPr>
                <w:rFonts w:ascii="Times New Roman" w:hAnsi="Times New Roman"/>
                <w:b/>
                <w:bCs/>
                <w:szCs w:val="21"/>
              </w:rPr>
              <w:t>主要污染因子</w:t>
            </w:r>
          </w:p>
        </w:tc>
        <w:tc>
          <w:tcPr>
            <w:tcW w:w="2403" w:type="dxa"/>
            <w:noWrap w:val="0"/>
            <w:vAlign w:val="center"/>
          </w:tcPr>
          <w:p>
            <w:pPr>
              <w:snapToGrid w:val="0"/>
              <w:jc w:val="center"/>
              <w:rPr>
                <w:rFonts w:ascii="Times New Roman" w:hAnsi="Times New Roman"/>
                <w:b/>
                <w:bCs/>
                <w:szCs w:val="21"/>
              </w:rPr>
            </w:pPr>
            <w:r>
              <w:rPr>
                <w:rFonts w:ascii="Times New Roman" w:hAnsi="Times New Roman"/>
                <w:b/>
                <w:bCs/>
                <w:szCs w:val="21"/>
              </w:rPr>
              <w:t>处理措施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restart"/>
            <w:noWrap w:val="0"/>
            <w:vAlign w:val="center"/>
          </w:tcPr>
          <w:p>
            <w:pPr>
              <w:snapToGrid w:val="0"/>
              <w:rPr>
                <w:rFonts w:ascii="Times New Roman" w:hAnsi="Times New Roman"/>
                <w:szCs w:val="21"/>
              </w:rPr>
            </w:pPr>
            <w:r>
              <w:rPr>
                <w:rFonts w:ascii="Times New Roman" w:hAnsi="Times New Roman"/>
                <w:szCs w:val="21"/>
              </w:rPr>
              <w:t>废气</w:t>
            </w:r>
          </w:p>
        </w:tc>
        <w:tc>
          <w:tcPr>
            <w:tcW w:w="1560" w:type="dxa"/>
            <w:vMerge w:val="restart"/>
            <w:noWrap w:val="0"/>
            <w:vAlign w:val="center"/>
          </w:tcPr>
          <w:p>
            <w:pPr>
              <w:tabs>
                <w:tab w:val="left" w:pos="750"/>
              </w:tabs>
              <w:snapToGrid w:val="0"/>
              <w:rPr>
                <w:rFonts w:ascii="Times New Roman" w:hAnsi="Times New Roman"/>
                <w:szCs w:val="21"/>
              </w:rPr>
            </w:pPr>
            <w:r>
              <w:rPr>
                <w:rFonts w:ascii="Times New Roman" w:hAnsi="Times New Roman"/>
                <w:szCs w:val="21"/>
              </w:rPr>
              <w:t>30万吨甲醇项目</w:t>
            </w:r>
          </w:p>
        </w:tc>
        <w:tc>
          <w:tcPr>
            <w:tcW w:w="2693" w:type="dxa"/>
            <w:noWrap w:val="0"/>
            <w:vAlign w:val="center"/>
          </w:tcPr>
          <w:p>
            <w:pPr>
              <w:jc w:val="center"/>
              <w:rPr>
                <w:rFonts w:hint="eastAsia" w:ascii="Times New Roman" w:hAnsi="Times New Roman"/>
                <w:snapToGrid w:val="0"/>
                <w:szCs w:val="21"/>
              </w:rPr>
            </w:pPr>
            <w:r>
              <w:rPr>
                <w:rFonts w:hint="eastAsia" w:ascii="Times New Roman" w:hAnsi="Times New Roman"/>
                <w:snapToGrid w:val="0"/>
                <w:szCs w:val="21"/>
              </w:rPr>
              <w:t>备煤系统破碎、筛分废气、磨前煤仓、输煤系统转运站废气、粉煤仓泄压排放气、磨煤干燥废气等</w:t>
            </w:r>
          </w:p>
        </w:tc>
        <w:tc>
          <w:tcPr>
            <w:tcW w:w="1843" w:type="dxa"/>
            <w:noWrap w:val="0"/>
            <w:vAlign w:val="center"/>
          </w:tcPr>
          <w:p>
            <w:pPr>
              <w:adjustRightInd w:val="0"/>
              <w:snapToGrid w:val="0"/>
              <w:jc w:val="center"/>
              <w:rPr>
                <w:rFonts w:ascii="Times New Roman" w:hAnsi="Times New Roman"/>
                <w:szCs w:val="21"/>
              </w:rPr>
            </w:pPr>
            <w:r>
              <w:rPr>
                <w:rFonts w:ascii="Times New Roman" w:hAnsi="Times New Roman"/>
                <w:szCs w:val="21"/>
              </w:rPr>
              <w:t>粉尘</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8套袋式除尘器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vAlign w:val="center"/>
          </w:tcPr>
          <w:p>
            <w:pPr>
              <w:jc w:val="center"/>
              <w:rPr>
                <w:rFonts w:ascii="Times New Roman" w:hAnsi="Times New Roman"/>
                <w:snapToGrid w:val="0"/>
                <w:szCs w:val="21"/>
              </w:rPr>
            </w:pPr>
            <w:r>
              <w:rPr>
                <w:rFonts w:ascii="Times New Roman" w:hAnsi="Times New Roman"/>
                <w:snapToGrid w:val="0"/>
                <w:szCs w:val="21"/>
              </w:rPr>
              <w:t>煤气化装置酸性废气</w:t>
            </w:r>
          </w:p>
          <w:p>
            <w:pPr>
              <w:jc w:val="center"/>
              <w:rPr>
                <w:rFonts w:ascii="Times New Roman" w:hAnsi="Times New Roman"/>
                <w:snapToGrid w:val="0"/>
                <w:szCs w:val="21"/>
              </w:rPr>
            </w:pPr>
            <w:r>
              <w:rPr>
                <w:rFonts w:ascii="Times New Roman" w:hAnsi="Times New Roman"/>
                <w:snapToGrid w:val="0"/>
                <w:szCs w:val="21"/>
              </w:rPr>
              <w:t>低温甲醇洗酸性气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S、HCN</w:t>
            </w:r>
          </w:p>
        </w:tc>
        <w:tc>
          <w:tcPr>
            <w:tcW w:w="2403" w:type="dxa"/>
            <w:noWrap w:val="0"/>
            <w:vAlign w:val="center"/>
          </w:tcPr>
          <w:p>
            <w:pPr>
              <w:jc w:val="center"/>
              <w:rPr>
                <w:rFonts w:hint="eastAsia" w:ascii="Times New Roman" w:hAnsi="Times New Roman"/>
                <w:snapToGrid w:val="0"/>
                <w:szCs w:val="21"/>
              </w:rPr>
            </w:pPr>
            <w:r>
              <w:rPr>
                <w:rFonts w:ascii="Times New Roman" w:hAnsi="Times New Roman"/>
                <w:snapToGrid w:val="0"/>
                <w:szCs w:val="21"/>
              </w:rPr>
              <w:t>送硫回收装置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vAlign w:val="center"/>
          </w:tcPr>
          <w:p>
            <w:pPr>
              <w:jc w:val="center"/>
              <w:rPr>
                <w:rFonts w:ascii="Times New Roman" w:hAnsi="Times New Roman"/>
                <w:snapToGrid w:val="0"/>
                <w:szCs w:val="21"/>
              </w:rPr>
            </w:pPr>
            <w:r>
              <w:rPr>
                <w:rFonts w:ascii="Times New Roman" w:hAnsi="Times New Roman"/>
                <w:snapToGrid w:val="0"/>
                <w:szCs w:val="21"/>
              </w:rPr>
              <w:t>火炬燃烧烟气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高空排放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vAlign w:val="center"/>
          </w:tcPr>
          <w:p>
            <w:pPr>
              <w:jc w:val="center"/>
              <w:rPr>
                <w:rFonts w:ascii="Times New Roman" w:hAnsi="Times New Roman"/>
                <w:snapToGrid w:val="0"/>
                <w:szCs w:val="21"/>
              </w:rPr>
            </w:pPr>
            <w:r>
              <w:rPr>
                <w:rFonts w:ascii="Times New Roman" w:hAnsi="Times New Roman"/>
                <w:snapToGrid w:val="0"/>
                <w:szCs w:val="21"/>
              </w:rPr>
              <w:t>低温甲醇洗放空气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S、甲醇、非甲烷总烃</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脱盐水吸收后排放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tcMar>
              <w:left w:w="28" w:type="dxa"/>
              <w:right w:w="28" w:type="dxa"/>
            </w:tcMar>
            <w:vAlign w:val="center"/>
          </w:tcPr>
          <w:p>
            <w:pPr>
              <w:jc w:val="center"/>
              <w:rPr>
                <w:rFonts w:ascii="Times New Roman" w:hAnsi="Times New Roman"/>
                <w:snapToGrid w:val="0"/>
                <w:szCs w:val="21"/>
              </w:rPr>
            </w:pPr>
            <w:r>
              <w:rPr>
                <w:rFonts w:ascii="Times New Roman" w:hAnsi="Times New Roman"/>
                <w:snapToGrid w:val="0"/>
                <w:szCs w:val="21"/>
              </w:rPr>
              <w:t>甲醇合成闪蒸气、合成弛放气、精馏不凝气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甲醇</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送燃料管网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tcMar>
              <w:left w:w="28" w:type="dxa"/>
              <w:right w:w="28" w:type="dxa"/>
            </w:tcMar>
            <w:vAlign w:val="center"/>
          </w:tcPr>
          <w:p>
            <w:pPr>
              <w:jc w:val="center"/>
              <w:rPr>
                <w:rFonts w:ascii="Times New Roman" w:hAnsi="Times New Roman"/>
                <w:snapToGrid w:val="0"/>
                <w:szCs w:val="21"/>
              </w:rPr>
            </w:pPr>
            <w:r>
              <w:rPr>
                <w:rFonts w:ascii="Times New Roman" w:hAnsi="Times New Roman"/>
                <w:snapToGrid w:val="0"/>
                <w:szCs w:val="21"/>
              </w:rPr>
              <w:t>CLAUS硫回收酸性气体</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、H</w:t>
            </w:r>
            <w:r>
              <w:rPr>
                <w:rFonts w:ascii="Times New Roman" w:hAnsi="Times New Roman"/>
                <w:szCs w:val="21"/>
                <w:vertAlign w:val="subscript"/>
              </w:rPr>
              <w:t>2</w:t>
            </w:r>
            <w:r>
              <w:rPr>
                <w:rFonts w:ascii="Times New Roman" w:hAnsi="Times New Roman"/>
                <w:szCs w:val="21"/>
              </w:rPr>
              <w:t>S</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tabs>
                <w:tab w:val="left" w:pos="750"/>
              </w:tabs>
              <w:snapToGrid w:val="0"/>
              <w:rPr>
                <w:rFonts w:ascii="Times New Roman" w:hAnsi="Times New Roman"/>
                <w:szCs w:val="21"/>
              </w:rPr>
            </w:pPr>
          </w:p>
        </w:tc>
        <w:tc>
          <w:tcPr>
            <w:tcW w:w="2693" w:type="dxa"/>
            <w:noWrap w:val="0"/>
            <w:vAlign w:val="center"/>
          </w:tcPr>
          <w:p>
            <w:pPr>
              <w:jc w:val="center"/>
              <w:rPr>
                <w:rFonts w:ascii="Times New Roman" w:hAnsi="Times New Roman"/>
                <w:snapToGrid w:val="0"/>
                <w:szCs w:val="21"/>
              </w:rPr>
            </w:pPr>
            <w:r>
              <w:rPr>
                <w:rFonts w:ascii="Times New Roman" w:hAnsi="Times New Roman"/>
                <w:snapToGrid w:val="0"/>
                <w:szCs w:val="21"/>
              </w:rPr>
              <w:t>流化床锅炉烟气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烟尘、SO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p>
        </w:tc>
        <w:tc>
          <w:tcPr>
            <w:tcW w:w="2403" w:type="dxa"/>
            <w:noWrap w:val="0"/>
            <w:vAlign w:val="center"/>
          </w:tcPr>
          <w:p>
            <w:pPr>
              <w:jc w:val="left"/>
              <w:rPr>
                <w:rFonts w:ascii="Times New Roman" w:hAnsi="Times New Roman"/>
                <w:snapToGrid w:val="0"/>
                <w:szCs w:val="21"/>
              </w:rPr>
            </w:pPr>
            <w:r>
              <w:rPr>
                <w:rFonts w:ascii="Times New Roman" w:hAnsi="Times New Roman"/>
                <w:szCs w:val="21"/>
              </w:rPr>
              <w:t>低氮燃烧+SNCR脱硝</w:t>
            </w:r>
            <w:r>
              <w:rPr>
                <w:rFonts w:ascii="Times New Roman" w:hAnsi="Times New Roman"/>
                <w:snapToGrid w:val="0"/>
                <w:szCs w:val="21"/>
              </w:rPr>
              <w:t>+</w:t>
            </w:r>
            <w:r>
              <w:rPr>
                <w:rFonts w:ascii="Times New Roman" w:hAnsi="Times New Roman"/>
                <w:szCs w:val="21"/>
              </w:rPr>
              <w:t>电袋复合除尘系统+脱硫除尘一体化系统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noWrap w:val="0"/>
            <w:vAlign w:val="center"/>
          </w:tcPr>
          <w:p>
            <w:pPr>
              <w:tabs>
                <w:tab w:val="left" w:pos="750"/>
              </w:tabs>
              <w:snapToGrid w:val="0"/>
              <w:rPr>
                <w:rFonts w:ascii="Times New Roman" w:hAnsi="Times New Roman"/>
                <w:szCs w:val="21"/>
              </w:rPr>
            </w:pPr>
            <w:r>
              <w:rPr>
                <w:rFonts w:ascii="Times New Roman" w:hAnsi="Times New Roman"/>
                <w:szCs w:val="21"/>
              </w:rPr>
              <w:t>1000吨MMA中试项目</w:t>
            </w:r>
          </w:p>
        </w:tc>
        <w:tc>
          <w:tcPr>
            <w:tcW w:w="2693" w:type="dxa"/>
            <w:noWrap w:val="0"/>
            <w:vAlign w:val="center"/>
          </w:tcPr>
          <w:p>
            <w:pPr>
              <w:jc w:val="center"/>
              <w:rPr>
                <w:rFonts w:ascii="Times New Roman" w:hAnsi="Times New Roman"/>
                <w:snapToGrid w:val="0"/>
                <w:szCs w:val="21"/>
              </w:rPr>
            </w:pPr>
            <w:r>
              <w:rPr>
                <w:rFonts w:ascii="Times New Roman" w:hAnsi="Times New Roman"/>
                <w:szCs w:val="21"/>
              </w:rPr>
              <w:t>塔顶不凝气及真空泵尾气</w:t>
            </w:r>
          </w:p>
        </w:tc>
        <w:tc>
          <w:tcPr>
            <w:tcW w:w="1843" w:type="dxa"/>
            <w:noWrap w:val="0"/>
            <w:vAlign w:val="center"/>
          </w:tcPr>
          <w:p>
            <w:pPr>
              <w:snapToGrid w:val="0"/>
              <w:jc w:val="center"/>
              <w:rPr>
                <w:rFonts w:ascii="Times New Roman" w:hAnsi="Times New Roman"/>
                <w:szCs w:val="21"/>
              </w:rPr>
            </w:pPr>
            <w:r>
              <w:rPr>
                <w:rFonts w:ascii="Times New Roman" w:hAnsi="Times New Roman"/>
                <w:szCs w:val="21"/>
              </w:rPr>
              <w:t>甲醇、甲醛、甲基丙烯醛、甲基丙烯酸等有机物</w:t>
            </w:r>
          </w:p>
        </w:tc>
        <w:tc>
          <w:tcPr>
            <w:tcW w:w="2403" w:type="dxa"/>
            <w:noWrap w:val="0"/>
            <w:vAlign w:val="center"/>
          </w:tcPr>
          <w:p>
            <w:pPr>
              <w:jc w:val="center"/>
              <w:rPr>
                <w:rFonts w:ascii="Times New Roman" w:hAnsi="Times New Roman"/>
                <w:snapToGrid w:val="0"/>
                <w:szCs w:val="21"/>
              </w:rPr>
            </w:pPr>
            <w:r>
              <w:rPr>
                <w:rFonts w:ascii="Times New Roman" w:hAnsi="Times New Roman"/>
                <w:szCs w:val="21"/>
              </w:rPr>
              <w:t>送到甲醇项目火炬系统焚烧处理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noWrap w:val="0"/>
            <w:vAlign w:val="center"/>
          </w:tcPr>
          <w:p>
            <w:pPr>
              <w:tabs>
                <w:tab w:val="left" w:pos="750"/>
              </w:tabs>
              <w:snapToGrid w:val="0"/>
              <w:rPr>
                <w:rFonts w:ascii="Times New Roman" w:hAnsi="Times New Roman"/>
                <w:szCs w:val="21"/>
              </w:rPr>
            </w:pPr>
            <w:r>
              <w:rPr>
                <w:rFonts w:ascii="Times New Roman" w:hAnsi="Times New Roman"/>
                <w:szCs w:val="21"/>
              </w:rPr>
              <w:t>30万吨/年液体二氧化碳回收利用项目</w:t>
            </w:r>
          </w:p>
        </w:tc>
        <w:tc>
          <w:tcPr>
            <w:tcW w:w="2693" w:type="dxa"/>
            <w:noWrap w:val="0"/>
            <w:vAlign w:val="center"/>
          </w:tcPr>
          <w:p>
            <w:pPr>
              <w:jc w:val="center"/>
              <w:rPr>
                <w:rFonts w:ascii="Times New Roman" w:hAnsi="Times New Roman"/>
                <w:snapToGrid w:val="0"/>
                <w:szCs w:val="21"/>
              </w:rPr>
            </w:pPr>
            <w:r>
              <w:rPr>
                <w:rFonts w:ascii="Times New Roman" w:hAnsi="Times New Roman"/>
                <w:bCs/>
                <w:iCs/>
                <w:szCs w:val="21"/>
                <w:lang w:eastAsia="zh-TW"/>
              </w:rPr>
              <w:t>不凝气</w:t>
            </w:r>
          </w:p>
        </w:tc>
        <w:tc>
          <w:tcPr>
            <w:tcW w:w="1843" w:type="dxa"/>
            <w:noWrap w:val="0"/>
            <w:vAlign w:val="center"/>
          </w:tcPr>
          <w:p>
            <w:pPr>
              <w:snapToGrid w:val="0"/>
              <w:jc w:val="center"/>
              <w:rPr>
                <w:rFonts w:ascii="Times New Roman" w:hAnsi="Times New Roman"/>
                <w:szCs w:val="21"/>
              </w:rPr>
            </w:pPr>
            <w:r>
              <w:rPr>
                <w:rFonts w:ascii="Times New Roman" w:hAnsi="Times New Roman"/>
                <w:bCs/>
                <w:szCs w:val="21"/>
                <w:lang w:eastAsia="zh-TW"/>
              </w:rPr>
              <w:t>CO、N</w:t>
            </w:r>
            <w:r>
              <w:rPr>
                <w:rFonts w:ascii="Times New Roman" w:hAnsi="Times New Roman"/>
                <w:bCs/>
                <w:szCs w:val="21"/>
                <w:vertAlign w:val="subscript"/>
                <w:lang w:eastAsia="zh-TW"/>
              </w:rPr>
              <w:t>2</w:t>
            </w:r>
            <w:r>
              <w:rPr>
                <w:rFonts w:ascii="Times New Roman" w:hAnsi="Times New Roman"/>
                <w:bCs/>
                <w:szCs w:val="21"/>
                <w:lang w:eastAsia="zh-TW"/>
              </w:rPr>
              <w:t>、O</w:t>
            </w:r>
            <w:r>
              <w:rPr>
                <w:rFonts w:ascii="Times New Roman" w:hAnsi="Times New Roman"/>
                <w:bCs/>
                <w:szCs w:val="21"/>
                <w:vertAlign w:val="subscript"/>
                <w:lang w:eastAsia="zh-TW"/>
              </w:rPr>
              <w:t>2</w:t>
            </w:r>
            <w:r>
              <w:rPr>
                <w:rFonts w:ascii="Times New Roman" w:hAnsi="Times New Roman"/>
                <w:bCs/>
                <w:szCs w:val="21"/>
                <w:lang w:eastAsia="zh-TW"/>
              </w:rPr>
              <w:t>等</w:t>
            </w:r>
          </w:p>
        </w:tc>
        <w:tc>
          <w:tcPr>
            <w:tcW w:w="2403" w:type="dxa"/>
            <w:noWrap w:val="0"/>
            <w:vAlign w:val="center"/>
          </w:tcPr>
          <w:p>
            <w:pPr>
              <w:jc w:val="center"/>
              <w:rPr>
                <w:rFonts w:ascii="Times New Roman" w:hAnsi="Times New Roman"/>
                <w:snapToGrid w:val="0"/>
                <w:szCs w:val="21"/>
              </w:rPr>
            </w:pPr>
            <w:r>
              <w:rPr>
                <w:rFonts w:ascii="Times New Roman" w:hAnsi="Times New Roman"/>
                <w:snapToGrid w:val="0"/>
                <w:szCs w:val="21"/>
              </w:rPr>
              <w:t>86.3m排气筒排放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restart"/>
            <w:noWrap w:val="0"/>
            <w:vAlign w:val="center"/>
          </w:tcPr>
          <w:p>
            <w:pPr>
              <w:snapToGrid w:val="0"/>
              <w:rPr>
                <w:rFonts w:ascii="Times New Roman" w:hAnsi="Times New Roman"/>
                <w:szCs w:val="21"/>
              </w:rPr>
            </w:pPr>
            <w:r>
              <w:rPr>
                <w:rFonts w:ascii="Times New Roman" w:hAnsi="Times New Roman"/>
                <w:szCs w:val="21"/>
              </w:rPr>
              <w:t>固废</w:t>
            </w:r>
          </w:p>
        </w:tc>
        <w:tc>
          <w:tcPr>
            <w:tcW w:w="1560" w:type="dxa"/>
            <w:vMerge w:val="restart"/>
            <w:noWrap w:val="0"/>
            <w:vAlign w:val="center"/>
          </w:tcPr>
          <w:p>
            <w:pPr>
              <w:snapToGrid w:val="0"/>
              <w:rPr>
                <w:rFonts w:ascii="Times New Roman" w:hAnsi="Times New Roman"/>
                <w:szCs w:val="21"/>
              </w:rPr>
            </w:pPr>
            <w:r>
              <w:rPr>
                <w:rFonts w:ascii="Times New Roman" w:hAnsi="Times New Roman"/>
                <w:szCs w:val="21"/>
              </w:rPr>
              <w:t>30万吨甲醇项目</w:t>
            </w:r>
          </w:p>
        </w:tc>
        <w:tc>
          <w:tcPr>
            <w:tcW w:w="2693" w:type="dxa"/>
            <w:noWrap w:val="0"/>
            <w:vAlign w:val="center"/>
          </w:tcPr>
          <w:p>
            <w:pPr>
              <w:jc w:val="center"/>
              <w:rPr>
                <w:rFonts w:ascii="Times New Roman" w:hAnsi="Times New Roman"/>
                <w:szCs w:val="21"/>
              </w:rPr>
            </w:pPr>
            <w:r>
              <w:rPr>
                <w:rFonts w:ascii="Times New Roman" w:hAnsi="Times New Roman"/>
                <w:szCs w:val="21"/>
              </w:rPr>
              <w:t>煤制粉废渣</w:t>
            </w:r>
          </w:p>
          <w:p>
            <w:pPr>
              <w:jc w:val="center"/>
              <w:rPr>
                <w:rFonts w:ascii="Times New Roman" w:hAnsi="Times New Roman"/>
                <w:szCs w:val="21"/>
              </w:rPr>
            </w:pPr>
            <w:r>
              <w:rPr>
                <w:rFonts w:ascii="Times New Roman" w:hAnsi="Times New Roman"/>
                <w:szCs w:val="21"/>
              </w:rPr>
              <w:t>煤气化飞灰</w:t>
            </w:r>
          </w:p>
          <w:p>
            <w:pPr>
              <w:jc w:val="center"/>
              <w:rPr>
                <w:rFonts w:hint="eastAsia" w:ascii="Times New Roman" w:hAnsi="Times New Roman"/>
                <w:szCs w:val="21"/>
              </w:rPr>
            </w:pPr>
            <w:r>
              <w:rPr>
                <w:rFonts w:ascii="Times New Roman" w:hAnsi="Times New Roman"/>
                <w:szCs w:val="21"/>
              </w:rPr>
              <w:t>煤气化炉渣</w:t>
            </w:r>
          </w:p>
        </w:tc>
        <w:tc>
          <w:tcPr>
            <w:tcW w:w="1843" w:type="dxa"/>
            <w:noWrap w:val="0"/>
            <w:vAlign w:val="center"/>
          </w:tcPr>
          <w:p>
            <w:pPr>
              <w:jc w:val="center"/>
              <w:rPr>
                <w:rFonts w:ascii="Times New Roman" w:hAnsi="Times New Roman"/>
                <w:szCs w:val="21"/>
              </w:rPr>
            </w:pPr>
            <w:r>
              <w:rPr>
                <w:rFonts w:ascii="Times New Roman" w:hAnsi="Times New Roman"/>
                <w:szCs w:val="21"/>
              </w:rPr>
              <w:t>石子</w:t>
            </w:r>
            <w:r>
              <w:rPr>
                <w:rFonts w:hint="eastAsia" w:ascii="Times New Roman" w:hAnsi="Times New Roman"/>
                <w:szCs w:val="21"/>
              </w:rPr>
              <w:t>、</w:t>
            </w:r>
            <w:r>
              <w:rPr>
                <w:rFonts w:ascii="Times New Roman" w:hAnsi="Times New Roman"/>
                <w:szCs w:val="21"/>
                <w:lang w:val="pt-BR"/>
              </w:rPr>
              <w:t>SiO</w:t>
            </w:r>
            <w:r>
              <w:rPr>
                <w:rFonts w:ascii="Times New Roman" w:hAnsi="Times New Roman"/>
                <w:szCs w:val="21"/>
                <w:vertAlign w:val="subscript"/>
                <w:lang w:val="pt-BR"/>
              </w:rPr>
              <w:t>2</w:t>
            </w:r>
            <w:r>
              <w:rPr>
                <w:rFonts w:ascii="Times New Roman" w:hAnsi="Times New Roman"/>
                <w:szCs w:val="21"/>
              </w:rPr>
              <w:t>、</w:t>
            </w:r>
            <w:r>
              <w:rPr>
                <w:rFonts w:ascii="Times New Roman" w:hAnsi="Times New Roman"/>
                <w:szCs w:val="21"/>
                <w:lang w:val="pt-BR"/>
              </w:rPr>
              <w:t>CaO、</w:t>
            </w:r>
            <w:r>
              <w:rPr>
                <w:rFonts w:ascii="Times New Roman" w:hAnsi="Times New Roman"/>
                <w:szCs w:val="21"/>
              </w:rPr>
              <w:t>CSiO</w:t>
            </w:r>
            <w:r>
              <w:rPr>
                <w:rFonts w:ascii="Times New Roman" w:hAnsi="Times New Roman"/>
                <w:szCs w:val="21"/>
                <w:vertAlign w:val="subscript"/>
              </w:rPr>
              <w:t>2</w:t>
            </w:r>
            <w:r>
              <w:rPr>
                <w:rFonts w:ascii="Times New Roman" w:hAnsi="Times New Roman"/>
                <w:szCs w:val="21"/>
              </w:rPr>
              <w:t>等</w:t>
            </w:r>
            <w:r>
              <w:rPr>
                <w:rFonts w:ascii="Times New Roman" w:hAnsi="Times New Roman"/>
                <w:szCs w:val="21"/>
                <w:lang w:val="pt-BR"/>
              </w:rPr>
              <w:t xml:space="preserve"> </w:t>
            </w:r>
          </w:p>
        </w:tc>
        <w:tc>
          <w:tcPr>
            <w:tcW w:w="2403" w:type="dxa"/>
            <w:noWrap w:val="0"/>
            <w:vAlign w:val="center"/>
          </w:tcPr>
          <w:p>
            <w:pPr>
              <w:adjustRightInd w:val="0"/>
              <w:snapToGrid w:val="0"/>
              <w:jc w:val="center"/>
              <w:rPr>
                <w:rFonts w:ascii="Times New Roman" w:hAnsi="Times New Roman"/>
                <w:szCs w:val="21"/>
              </w:rPr>
            </w:pPr>
            <w:r>
              <w:rPr>
                <w:rFonts w:ascii="Times New Roman" w:hAnsi="Times New Roman"/>
                <w:szCs w:val="21"/>
              </w:rPr>
              <w:t>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ascii="Times New Roman" w:hAnsi="Times New Roman"/>
                <w:szCs w:val="21"/>
              </w:rPr>
              <w:t>分子筛、铝胶、</w:t>
            </w:r>
            <w:r>
              <w:rPr>
                <w:rFonts w:ascii="Times New Roman" w:hAnsi="Times New Roman"/>
                <w:bCs/>
                <w:szCs w:val="21"/>
              </w:rPr>
              <w:t>光砂</w:t>
            </w:r>
          </w:p>
        </w:tc>
        <w:tc>
          <w:tcPr>
            <w:tcW w:w="1843" w:type="dxa"/>
            <w:noWrap w:val="0"/>
            <w:vAlign w:val="center"/>
          </w:tcPr>
          <w:p>
            <w:pPr>
              <w:jc w:val="center"/>
              <w:rPr>
                <w:rFonts w:ascii="Times New Roman" w:hAnsi="Times New Roman"/>
                <w:szCs w:val="21"/>
              </w:rPr>
            </w:pPr>
            <w:r>
              <w:rPr>
                <w:rFonts w:ascii="Times New Roman" w:hAnsi="Times New Roman"/>
                <w:szCs w:val="21"/>
              </w:rPr>
              <w:t>分子筛、Al</w:t>
            </w:r>
            <w:r>
              <w:rPr>
                <w:rFonts w:ascii="Times New Roman" w:hAnsi="Times New Roman"/>
                <w:szCs w:val="21"/>
                <w:vertAlign w:val="subscript"/>
              </w:rPr>
              <w:t>2</w:t>
            </w:r>
            <w:r>
              <w:rPr>
                <w:rFonts w:ascii="Times New Roman" w:hAnsi="Times New Roman"/>
                <w:szCs w:val="21"/>
              </w:rPr>
              <w:t>O</w:t>
            </w:r>
            <w:r>
              <w:rPr>
                <w:rFonts w:ascii="Times New Roman" w:hAnsi="Times New Roman"/>
                <w:szCs w:val="21"/>
                <w:vertAlign w:val="subscript"/>
              </w:rPr>
              <w:t>3</w:t>
            </w:r>
            <w:r>
              <w:rPr>
                <w:rFonts w:ascii="Times New Roman" w:hAnsi="Times New Roman"/>
                <w:szCs w:val="21"/>
              </w:rPr>
              <w:t>等</w:t>
            </w:r>
          </w:p>
        </w:tc>
        <w:tc>
          <w:tcPr>
            <w:tcW w:w="2403" w:type="dxa"/>
            <w:noWrap w:val="0"/>
            <w:vAlign w:val="center"/>
          </w:tcPr>
          <w:p>
            <w:pPr>
              <w:snapToGrid w:val="0"/>
              <w:jc w:val="center"/>
              <w:rPr>
                <w:rFonts w:ascii="Times New Roman" w:hAnsi="Times New Roman"/>
                <w:szCs w:val="21"/>
              </w:rPr>
            </w:pPr>
            <w:r>
              <w:rPr>
                <w:rFonts w:hint="eastAsia" w:ascii="Times New Roman" w:hAnsi="Times New Roman"/>
                <w:bCs/>
                <w:szCs w:val="21"/>
              </w:rPr>
              <w:t>一般固废，委托处置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ascii="Times New Roman" w:hAnsi="Times New Roman"/>
                <w:bCs/>
                <w:szCs w:val="21"/>
              </w:rPr>
              <w:t>CO变换</w:t>
            </w:r>
            <w:r>
              <w:rPr>
                <w:rFonts w:ascii="Times New Roman" w:hAnsi="Times New Roman"/>
                <w:szCs w:val="21"/>
              </w:rPr>
              <w:t>废催化剂</w:t>
            </w:r>
          </w:p>
          <w:p>
            <w:pPr>
              <w:jc w:val="center"/>
              <w:rPr>
                <w:rFonts w:ascii="Times New Roman" w:hAnsi="Times New Roman"/>
                <w:bCs/>
                <w:szCs w:val="21"/>
              </w:rPr>
            </w:pPr>
            <w:r>
              <w:rPr>
                <w:rFonts w:ascii="Times New Roman" w:hAnsi="Times New Roman"/>
                <w:bCs/>
                <w:szCs w:val="21"/>
              </w:rPr>
              <w:t>甲醇合成废催化剂</w:t>
            </w:r>
          </w:p>
          <w:p>
            <w:pPr>
              <w:jc w:val="center"/>
              <w:rPr>
                <w:rFonts w:hint="eastAsia" w:ascii="Times New Roman" w:hAnsi="Times New Roman"/>
                <w:szCs w:val="21"/>
              </w:rPr>
            </w:pPr>
            <w:r>
              <w:rPr>
                <w:rFonts w:ascii="Times New Roman" w:hAnsi="Times New Roman"/>
                <w:bCs/>
                <w:szCs w:val="21"/>
              </w:rPr>
              <w:t>硫回收废催化剂</w:t>
            </w:r>
          </w:p>
        </w:tc>
        <w:tc>
          <w:tcPr>
            <w:tcW w:w="1843" w:type="dxa"/>
            <w:noWrap w:val="0"/>
            <w:vAlign w:val="center"/>
          </w:tcPr>
          <w:p>
            <w:pPr>
              <w:jc w:val="center"/>
              <w:rPr>
                <w:rFonts w:ascii="Times New Roman" w:hAnsi="Times New Roman"/>
                <w:szCs w:val="21"/>
              </w:rPr>
            </w:pPr>
            <w:r>
              <w:rPr>
                <w:rFonts w:ascii="Times New Roman" w:hAnsi="Times New Roman"/>
                <w:szCs w:val="21"/>
              </w:rPr>
              <w:t>CoO、MoO、</w:t>
            </w:r>
          </w:p>
          <w:p>
            <w:pPr>
              <w:jc w:val="center"/>
              <w:rPr>
                <w:rFonts w:ascii="Times New Roman" w:hAnsi="Times New Roman"/>
                <w:szCs w:val="21"/>
              </w:rPr>
            </w:pPr>
            <w:r>
              <w:rPr>
                <w:rFonts w:ascii="Times New Roman" w:hAnsi="Times New Roman"/>
                <w:szCs w:val="21"/>
                <w:lang w:val="pt-BR"/>
              </w:rPr>
              <w:t>CuO</w:t>
            </w:r>
            <w:r>
              <w:rPr>
                <w:rFonts w:ascii="Times New Roman" w:hAnsi="Times New Roman"/>
                <w:szCs w:val="21"/>
              </w:rPr>
              <w:t>、</w:t>
            </w:r>
            <w:r>
              <w:rPr>
                <w:rFonts w:ascii="Times New Roman" w:hAnsi="Times New Roman"/>
                <w:szCs w:val="21"/>
                <w:lang w:val="pt-BR"/>
              </w:rPr>
              <w:t>ZnO</w:t>
            </w:r>
            <w:r>
              <w:rPr>
                <w:rFonts w:ascii="Times New Roman" w:hAnsi="Times New Roman"/>
                <w:szCs w:val="21"/>
              </w:rPr>
              <w:t>、</w:t>
            </w:r>
            <w:r>
              <w:rPr>
                <w:rFonts w:ascii="Times New Roman" w:hAnsi="Times New Roman"/>
                <w:szCs w:val="21"/>
                <w:lang w:val="pt-BR"/>
              </w:rPr>
              <w:t>Al</w:t>
            </w:r>
            <w:r>
              <w:rPr>
                <w:rFonts w:ascii="Times New Roman" w:hAnsi="Times New Roman"/>
                <w:szCs w:val="21"/>
                <w:vertAlign w:val="subscript"/>
                <w:lang w:val="pt-BR"/>
              </w:rPr>
              <w:t>2</w:t>
            </w:r>
            <w:r>
              <w:rPr>
                <w:rFonts w:ascii="Times New Roman" w:hAnsi="Times New Roman"/>
                <w:szCs w:val="21"/>
                <w:lang w:val="pt-BR"/>
              </w:rPr>
              <w:t>O</w:t>
            </w:r>
            <w:r>
              <w:rPr>
                <w:rFonts w:ascii="Times New Roman" w:hAnsi="Times New Roman"/>
                <w:szCs w:val="21"/>
                <w:vertAlign w:val="subscript"/>
                <w:lang w:val="pt-BR"/>
              </w:rPr>
              <w:t>3</w:t>
            </w:r>
            <w:r>
              <w:rPr>
                <w:rFonts w:ascii="Times New Roman" w:hAnsi="Times New Roman"/>
                <w:szCs w:val="21"/>
              </w:rPr>
              <w:t>、TiO</w:t>
            </w:r>
            <w:r>
              <w:rPr>
                <w:rFonts w:ascii="Times New Roman" w:hAnsi="Times New Roman"/>
                <w:szCs w:val="21"/>
                <w:vertAlign w:val="subscript"/>
              </w:rPr>
              <w:t>2</w:t>
            </w:r>
            <w:r>
              <w:rPr>
                <w:rFonts w:ascii="Times New Roman" w:hAnsi="Times New Roman"/>
                <w:szCs w:val="21"/>
              </w:rPr>
              <w:t>等</w:t>
            </w:r>
          </w:p>
        </w:tc>
        <w:tc>
          <w:tcPr>
            <w:tcW w:w="2403" w:type="dxa"/>
            <w:noWrap w:val="0"/>
            <w:vAlign w:val="center"/>
          </w:tcPr>
          <w:p>
            <w:pPr>
              <w:snapToGrid w:val="0"/>
              <w:jc w:val="center"/>
              <w:rPr>
                <w:rFonts w:ascii="Times New Roman" w:hAnsi="Times New Roman"/>
                <w:szCs w:val="21"/>
              </w:rPr>
            </w:pPr>
            <w:r>
              <w:rPr>
                <w:rFonts w:hint="eastAsia" w:ascii="Times New Roman" w:hAnsi="Times New Roman"/>
                <w:szCs w:val="21"/>
              </w:rPr>
              <w:t>危险固废，送有资质单位安全处置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ascii="Times New Roman" w:hAnsi="Times New Roman"/>
                <w:szCs w:val="21"/>
              </w:rPr>
              <w:t>杂醇油</w:t>
            </w:r>
          </w:p>
        </w:tc>
        <w:tc>
          <w:tcPr>
            <w:tcW w:w="1843" w:type="dxa"/>
            <w:noWrap w:val="0"/>
            <w:vAlign w:val="center"/>
          </w:tcPr>
          <w:p>
            <w:pPr>
              <w:jc w:val="center"/>
              <w:rPr>
                <w:rFonts w:ascii="Times New Roman" w:hAnsi="Times New Roman"/>
                <w:szCs w:val="21"/>
              </w:rPr>
            </w:pPr>
            <w:r>
              <w:rPr>
                <w:rFonts w:ascii="Times New Roman" w:hAnsi="Times New Roman"/>
                <w:szCs w:val="21"/>
              </w:rPr>
              <w:t>水、醇、酮、醛、酸等</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危险固废，送锅炉焚烧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ascii="Times New Roman" w:hAnsi="Times New Roman"/>
                <w:szCs w:val="21"/>
              </w:rPr>
              <w:t>含氰污泥</w:t>
            </w:r>
          </w:p>
        </w:tc>
        <w:tc>
          <w:tcPr>
            <w:tcW w:w="1843" w:type="dxa"/>
            <w:noWrap w:val="0"/>
            <w:vAlign w:val="center"/>
          </w:tcPr>
          <w:p>
            <w:pPr>
              <w:jc w:val="center"/>
              <w:rPr>
                <w:rFonts w:ascii="Times New Roman" w:hAnsi="Times New Roman"/>
                <w:szCs w:val="21"/>
              </w:rPr>
            </w:pPr>
            <w:r>
              <w:rPr>
                <w:rFonts w:ascii="Times New Roman" w:hAnsi="Times New Roman"/>
                <w:szCs w:val="21"/>
              </w:rPr>
              <w:t>含氰络合物及Cu</w:t>
            </w:r>
            <w:r>
              <w:rPr>
                <w:rFonts w:ascii="Times New Roman" w:hAnsi="Times New Roman"/>
                <w:szCs w:val="21"/>
                <w:vertAlign w:val="superscript"/>
              </w:rPr>
              <w:t>2+</w:t>
            </w:r>
            <w:r>
              <w:rPr>
                <w:rFonts w:ascii="Times New Roman" w:hAnsi="Times New Roman"/>
                <w:szCs w:val="21"/>
              </w:rPr>
              <w:t>等</w:t>
            </w:r>
          </w:p>
        </w:tc>
        <w:tc>
          <w:tcPr>
            <w:tcW w:w="2403" w:type="dxa"/>
            <w:noWrap w:val="0"/>
            <w:vAlign w:val="center"/>
          </w:tcPr>
          <w:p>
            <w:pPr>
              <w:snapToGrid w:val="0"/>
              <w:jc w:val="left"/>
              <w:rPr>
                <w:rFonts w:ascii="Times New Roman" w:hAnsi="Times New Roman"/>
                <w:szCs w:val="21"/>
              </w:rPr>
            </w:pPr>
            <w:r>
              <w:rPr>
                <w:rFonts w:ascii="Times New Roman" w:hAnsi="Times New Roman"/>
                <w:szCs w:val="21"/>
              </w:rPr>
              <w:t>设置危险废物临时贮存场所，最终送锅炉焚烧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ascii="Times New Roman" w:hAnsi="Times New Roman"/>
                <w:szCs w:val="21"/>
              </w:rPr>
              <w:t>污水处理污泥</w:t>
            </w:r>
          </w:p>
        </w:tc>
        <w:tc>
          <w:tcPr>
            <w:tcW w:w="1843" w:type="dxa"/>
            <w:noWrap w:val="0"/>
            <w:vAlign w:val="center"/>
          </w:tcPr>
          <w:p>
            <w:pPr>
              <w:jc w:val="center"/>
              <w:rPr>
                <w:rFonts w:ascii="Times New Roman" w:hAnsi="Times New Roman"/>
                <w:szCs w:val="21"/>
              </w:rPr>
            </w:pPr>
            <w:r>
              <w:rPr>
                <w:rFonts w:ascii="Times New Roman" w:hAnsi="Times New Roman"/>
                <w:szCs w:val="21"/>
              </w:rPr>
              <w:t>含水85%</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送锅炉焚烧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restart"/>
            <w:noWrap w:val="0"/>
            <w:vAlign w:val="center"/>
          </w:tcPr>
          <w:p>
            <w:pPr>
              <w:snapToGrid w:val="0"/>
              <w:rPr>
                <w:rFonts w:ascii="Times New Roman" w:hAnsi="Times New Roman"/>
                <w:szCs w:val="21"/>
              </w:rPr>
            </w:pPr>
            <w:r>
              <w:rPr>
                <w:rFonts w:ascii="Times New Roman" w:hAnsi="Times New Roman"/>
                <w:szCs w:val="21"/>
              </w:rPr>
              <w:t>1000吨MMA中试项目</w:t>
            </w:r>
          </w:p>
        </w:tc>
        <w:tc>
          <w:tcPr>
            <w:tcW w:w="2693" w:type="dxa"/>
            <w:noWrap w:val="0"/>
            <w:vAlign w:val="center"/>
          </w:tcPr>
          <w:p>
            <w:pPr>
              <w:jc w:val="center"/>
              <w:rPr>
                <w:rFonts w:ascii="Times New Roman" w:hAnsi="Times New Roman"/>
                <w:szCs w:val="21"/>
              </w:rPr>
            </w:pPr>
            <w:r>
              <w:rPr>
                <w:rFonts w:ascii="Times New Roman" w:hAnsi="Times New Roman"/>
                <w:szCs w:val="21"/>
              </w:rPr>
              <w:t>废催化剂</w:t>
            </w:r>
          </w:p>
        </w:tc>
        <w:tc>
          <w:tcPr>
            <w:tcW w:w="1843" w:type="dxa"/>
            <w:noWrap w:val="0"/>
            <w:vAlign w:val="center"/>
          </w:tcPr>
          <w:p>
            <w:pPr>
              <w:pStyle w:val="10"/>
              <w:ind w:firstLine="0" w:firstLineChars="0"/>
              <w:jc w:val="center"/>
              <w:rPr>
                <w:sz w:val="21"/>
                <w:szCs w:val="21"/>
              </w:rPr>
            </w:pPr>
            <w:r>
              <w:rPr>
                <w:sz w:val="21"/>
                <w:szCs w:val="21"/>
              </w:rPr>
              <w:t>危险固废</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由原催化剂厂家回收再生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vMerge w:val="continue"/>
            <w:noWrap w:val="0"/>
            <w:vAlign w:val="center"/>
          </w:tcPr>
          <w:p>
            <w:pPr>
              <w:snapToGrid w:val="0"/>
              <w:rPr>
                <w:rFonts w:ascii="Times New Roman" w:hAnsi="Times New Roman"/>
                <w:szCs w:val="21"/>
              </w:rPr>
            </w:pPr>
          </w:p>
        </w:tc>
        <w:tc>
          <w:tcPr>
            <w:tcW w:w="2693" w:type="dxa"/>
            <w:noWrap w:val="0"/>
            <w:vAlign w:val="center"/>
          </w:tcPr>
          <w:p>
            <w:pPr>
              <w:jc w:val="center"/>
              <w:rPr>
                <w:rFonts w:ascii="Times New Roman" w:hAnsi="Times New Roman"/>
                <w:szCs w:val="21"/>
              </w:rPr>
            </w:pPr>
            <w:r>
              <w:rPr>
                <w:rFonts w:hint="eastAsia" w:ascii="Times New Roman" w:hAnsi="Times New Roman"/>
                <w:szCs w:val="21"/>
              </w:rPr>
              <w:t>M</w:t>
            </w:r>
            <w:r>
              <w:rPr>
                <w:rFonts w:ascii="Times New Roman" w:hAnsi="Times New Roman"/>
                <w:szCs w:val="21"/>
              </w:rPr>
              <w:t>AL汽提塔重组分</w:t>
            </w:r>
          </w:p>
          <w:p>
            <w:pPr>
              <w:jc w:val="center"/>
              <w:rPr>
                <w:rFonts w:ascii="Times New Roman" w:hAnsi="Times New Roman"/>
                <w:szCs w:val="21"/>
              </w:rPr>
            </w:pPr>
            <w:r>
              <w:rPr>
                <w:rFonts w:hint="eastAsia" w:ascii="Times New Roman" w:hAnsi="Times New Roman"/>
                <w:szCs w:val="21"/>
              </w:rPr>
              <w:t>M</w:t>
            </w:r>
            <w:r>
              <w:rPr>
                <w:rFonts w:ascii="Times New Roman" w:hAnsi="Times New Roman"/>
                <w:szCs w:val="21"/>
              </w:rPr>
              <w:t>AA汽提塔重组分</w:t>
            </w:r>
          </w:p>
          <w:p>
            <w:pPr>
              <w:jc w:val="center"/>
              <w:rPr>
                <w:rFonts w:ascii="Times New Roman" w:hAnsi="Times New Roman"/>
                <w:szCs w:val="21"/>
              </w:rPr>
            </w:pPr>
            <w:r>
              <w:rPr>
                <w:rFonts w:hint="eastAsia" w:ascii="Times New Roman" w:hAnsi="Times New Roman"/>
                <w:szCs w:val="21"/>
              </w:rPr>
              <w:t>M</w:t>
            </w:r>
            <w:r>
              <w:rPr>
                <w:rFonts w:ascii="Times New Roman" w:hAnsi="Times New Roman"/>
                <w:szCs w:val="21"/>
              </w:rPr>
              <w:t>MA精馏重组分</w:t>
            </w:r>
          </w:p>
        </w:tc>
        <w:tc>
          <w:tcPr>
            <w:tcW w:w="1843" w:type="dxa"/>
            <w:noWrap w:val="0"/>
            <w:vAlign w:val="center"/>
          </w:tcPr>
          <w:p>
            <w:pPr>
              <w:jc w:val="center"/>
              <w:rPr>
                <w:rFonts w:ascii="Times New Roman" w:hAnsi="Times New Roman"/>
                <w:szCs w:val="21"/>
              </w:rPr>
            </w:pPr>
            <w:r>
              <w:rPr>
                <w:rFonts w:ascii="Times New Roman" w:hAnsi="Times New Roman"/>
                <w:szCs w:val="21"/>
              </w:rPr>
              <w:t>危险固废</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有处理资质的单位代为处置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1560" w:type="dxa"/>
            <w:noWrap w:val="0"/>
            <w:vAlign w:val="center"/>
          </w:tcPr>
          <w:p>
            <w:pPr>
              <w:snapToGrid w:val="0"/>
              <w:rPr>
                <w:rFonts w:ascii="Times New Roman" w:hAnsi="Times New Roman"/>
                <w:szCs w:val="21"/>
              </w:rPr>
            </w:pPr>
            <w:r>
              <w:rPr>
                <w:rFonts w:ascii="Times New Roman" w:hAnsi="Times New Roman"/>
                <w:szCs w:val="21"/>
              </w:rPr>
              <w:t>30万吨/年液体二氧化碳回收利用项目</w:t>
            </w:r>
          </w:p>
        </w:tc>
        <w:tc>
          <w:tcPr>
            <w:tcW w:w="2693" w:type="dxa"/>
            <w:noWrap w:val="0"/>
            <w:vAlign w:val="center"/>
          </w:tcPr>
          <w:p>
            <w:pPr>
              <w:jc w:val="center"/>
              <w:rPr>
                <w:rFonts w:ascii="Times New Roman" w:hAnsi="Times New Roman"/>
                <w:szCs w:val="21"/>
              </w:rPr>
            </w:pPr>
            <w:r>
              <w:rPr>
                <w:rFonts w:ascii="Times New Roman" w:hAnsi="Times New Roman"/>
                <w:bCs/>
                <w:szCs w:val="21"/>
              </w:rPr>
              <w:t>废分子筛</w:t>
            </w:r>
          </w:p>
        </w:tc>
        <w:tc>
          <w:tcPr>
            <w:tcW w:w="1843" w:type="dxa"/>
            <w:noWrap w:val="0"/>
            <w:vAlign w:val="center"/>
          </w:tcPr>
          <w:p>
            <w:pPr>
              <w:jc w:val="center"/>
              <w:rPr>
                <w:rFonts w:ascii="Times New Roman" w:hAnsi="Times New Roman"/>
                <w:szCs w:val="21"/>
              </w:rPr>
            </w:pPr>
            <w:r>
              <w:rPr>
                <w:rFonts w:hint="eastAsia" w:ascii="Times New Roman" w:hAnsi="Times New Roman"/>
                <w:szCs w:val="21"/>
              </w:rPr>
              <w:t>一般固废</w:t>
            </w:r>
          </w:p>
        </w:tc>
        <w:tc>
          <w:tcPr>
            <w:tcW w:w="2403" w:type="dxa"/>
            <w:noWrap w:val="0"/>
            <w:vAlign w:val="center"/>
          </w:tcPr>
          <w:p>
            <w:pPr>
              <w:snapToGrid w:val="0"/>
              <w:jc w:val="center"/>
              <w:rPr>
                <w:rFonts w:ascii="Times New Roman" w:hAnsi="Times New Roman"/>
                <w:szCs w:val="21"/>
              </w:rPr>
            </w:pPr>
            <w:r>
              <w:rPr>
                <w:rFonts w:ascii="Times New Roman" w:hAnsi="Times New Roman"/>
                <w:bCs/>
                <w:szCs w:val="21"/>
              </w:rPr>
              <w:t>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restart"/>
            <w:noWrap w:val="0"/>
            <w:vAlign w:val="center"/>
          </w:tcPr>
          <w:p>
            <w:pPr>
              <w:snapToGrid w:val="0"/>
              <w:rPr>
                <w:rFonts w:ascii="Times New Roman" w:hAnsi="Times New Roman"/>
                <w:szCs w:val="21"/>
              </w:rPr>
            </w:pPr>
            <w:r>
              <w:rPr>
                <w:rFonts w:ascii="Times New Roman" w:hAnsi="Times New Roman"/>
                <w:szCs w:val="21"/>
              </w:rPr>
              <w:t>废水</w:t>
            </w:r>
          </w:p>
        </w:tc>
        <w:tc>
          <w:tcPr>
            <w:tcW w:w="4253" w:type="dxa"/>
            <w:gridSpan w:val="2"/>
            <w:noWrap w:val="0"/>
            <w:vAlign w:val="center"/>
          </w:tcPr>
          <w:p>
            <w:pPr>
              <w:jc w:val="center"/>
              <w:rPr>
                <w:rFonts w:ascii="Times New Roman" w:hAnsi="Times New Roman"/>
                <w:szCs w:val="21"/>
              </w:rPr>
            </w:pPr>
            <w:r>
              <w:rPr>
                <w:rFonts w:ascii="Times New Roman" w:hAnsi="Times New Roman"/>
                <w:szCs w:val="21"/>
              </w:rPr>
              <w:t>生产废水、地坪冲洗及生活污水</w:t>
            </w:r>
          </w:p>
        </w:tc>
        <w:tc>
          <w:tcPr>
            <w:tcW w:w="1843" w:type="dxa"/>
            <w:noWrap w:val="0"/>
            <w:vAlign w:val="center"/>
          </w:tcPr>
          <w:p>
            <w:pPr>
              <w:jc w:val="center"/>
              <w:rPr>
                <w:rFonts w:ascii="Times New Roman" w:hAnsi="Times New Roman"/>
                <w:szCs w:val="21"/>
              </w:rPr>
            </w:pPr>
            <w:r>
              <w:rPr>
                <w:rFonts w:ascii="Times New Roman" w:hAnsi="Times New Roman"/>
                <w:szCs w:val="21"/>
              </w:rPr>
              <w:t>pH、COD、NH</w:t>
            </w:r>
            <w:r>
              <w:rPr>
                <w:rFonts w:ascii="Times New Roman" w:hAnsi="Times New Roman"/>
                <w:szCs w:val="21"/>
                <w:vertAlign w:val="subscript"/>
              </w:rPr>
              <w:t>3</w:t>
            </w:r>
            <w:r>
              <w:rPr>
                <w:rFonts w:ascii="Times New Roman" w:hAnsi="Times New Roman"/>
                <w:szCs w:val="21"/>
              </w:rPr>
              <w:t>-N</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IC+HBF+二级AO+砂滤+超滤+反渗透处理中水回用系统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75" w:type="dxa"/>
            <w:vMerge w:val="continue"/>
            <w:noWrap w:val="0"/>
            <w:vAlign w:val="center"/>
          </w:tcPr>
          <w:p>
            <w:pPr>
              <w:snapToGrid w:val="0"/>
              <w:rPr>
                <w:rFonts w:ascii="Times New Roman" w:hAnsi="Times New Roman"/>
                <w:szCs w:val="21"/>
              </w:rPr>
            </w:pPr>
          </w:p>
        </w:tc>
        <w:tc>
          <w:tcPr>
            <w:tcW w:w="4253" w:type="dxa"/>
            <w:gridSpan w:val="2"/>
            <w:noWrap w:val="0"/>
            <w:vAlign w:val="center"/>
          </w:tcPr>
          <w:p>
            <w:pPr>
              <w:jc w:val="center"/>
              <w:rPr>
                <w:rFonts w:ascii="Times New Roman" w:hAnsi="Times New Roman"/>
                <w:szCs w:val="21"/>
              </w:rPr>
            </w:pPr>
            <w:r>
              <w:rPr>
                <w:rFonts w:ascii="Times New Roman" w:hAnsi="Times New Roman"/>
                <w:szCs w:val="21"/>
              </w:rPr>
              <w:t>清净下水</w:t>
            </w:r>
          </w:p>
        </w:tc>
        <w:tc>
          <w:tcPr>
            <w:tcW w:w="1843" w:type="dxa"/>
            <w:noWrap w:val="0"/>
            <w:vAlign w:val="center"/>
          </w:tcPr>
          <w:p>
            <w:pPr>
              <w:jc w:val="center"/>
              <w:rPr>
                <w:rFonts w:ascii="Times New Roman" w:hAnsi="Times New Roman"/>
                <w:szCs w:val="21"/>
              </w:rPr>
            </w:pPr>
            <w:r>
              <w:rPr>
                <w:rFonts w:ascii="Times New Roman" w:hAnsi="Times New Roman"/>
                <w:szCs w:val="21"/>
              </w:rPr>
              <w:t>COD、NH</w:t>
            </w:r>
            <w:r>
              <w:rPr>
                <w:rFonts w:ascii="Times New Roman" w:hAnsi="Times New Roman"/>
                <w:szCs w:val="21"/>
                <w:vertAlign w:val="subscript"/>
              </w:rPr>
              <w:t>3</w:t>
            </w:r>
            <w:r>
              <w:rPr>
                <w:rFonts w:ascii="Times New Roman" w:hAnsi="Times New Roman"/>
                <w:szCs w:val="21"/>
              </w:rPr>
              <w:t>-N</w:t>
            </w:r>
          </w:p>
        </w:tc>
        <w:tc>
          <w:tcPr>
            <w:tcW w:w="2403" w:type="dxa"/>
            <w:noWrap w:val="0"/>
            <w:vAlign w:val="center"/>
          </w:tcPr>
          <w:p>
            <w:pPr>
              <w:snapToGrid w:val="0"/>
              <w:jc w:val="center"/>
              <w:rPr>
                <w:rFonts w:ascii="Times New Roman" w:hAnsi="Times New Roman"/>
                <w:szCs w:val="21"/>
              </w:rPr>
            </w:pPr>
            <w:r>
              <w:rPr>
                <w:rFonts w:ascii="Times New Roman" w:hAnsi="Times New Roman"/>
                <w:szCs w:val="21"/>
              </w:rPr>
              <w:t>直接排</w:t>
            </w:r>
            <w:r>
              <w:rPr>
                <w:rFonts w:hint="eastAsia" w:ascii="Times New Roman" w:hAnsi="Times New Roman"/>
                <w:szCs w:val="21"/>
              </w:rPr>
              <w:t>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235" w:type="dxa"/>
            <w:gridSpan w:val="2"/>
            <w:noWrap w:val="0"/>
            <w:vAlign w:val="center"/>
          </w:tcPr>
          <w:p>
            <w:pPr>
              <w:snapToGrid w:val="0"/>
              <w:rPr>
                <w:rFonts w:ascii="Times New Roman" w:hAnsi="Times New Roman"/>
                <w:szCs w:val="21"/>
              </w:rPr>
            </w:pPr>
            <w:r>
              <w:rPr>
                <w:rFonts w:ascii="Times New Roman" w:hAnsi="Times New Roman"/>
                <w:szCs w:val="21"/>
              </w:rPr>
              <w:t>噪声防治</w:t>
            </w:r>
          </w:p>
        </w:tc>
        <w:tc>
          <w:tcPr>
            <w:tcW w:w="6939" w:type="dxa"/>
            <w:gridSpan w:val="3"/>
            <w:noWrap w:val="0"/>
            <w:vAlign w:val="center"/>
          </w:tcPr>
          <w:p>
            <w:pPr>
              <w:snapToGrid w:val="0"/>
              <w:jc w:val="center"/>
              <w:rPr>
                <w:rFonts w:ascii="Times New Roman" w:hAnsi="Times New Roman"/>
                <w:szCs w:val="21"/>
              </w:rPr>
            </w:pPr>
            <w:r>
              <w:rPr>
                <w:rFonts w:ascii="Times New Roman" w:hAnsi="Times New Roman"/>
                <w:szCs w:val="21"/>
              </w:rPr>
              <w:t>安装消声器、隔声罩、减震垫、降噪隔音墙等</w:t>
            </w:r>
          </w:p>
        </w:tc>
      </w:tr>
    </w:tbl>
    <w:p>
      <w:pPr>
        <w:pStyle w:val="2"/>
      </w:pPr>
    </w:p>
    <w:p>
      <w:pPr>
        <w:pStyle w:val="3"/>
        <w:numPr>
          <w:ilvl w:val="0"/>
          <w:numId w:val="0"/>
        </w:numPr>
        <w:spacing w:before="240" w:after="240" w:line="240" w:lineRule="auto"/>
      </w:pPr>
      <w:bookmarkStart w:id="238" w:name="_Toc27341"/>
      <w:bookmarkStart w:id="239" w:name="_Toc16000"/>
      <w:r>
        <w:t>第7章  环境风险分析</w:t>
      </w:r>
      <w:bookmarkEnd w:id="238"/>
      <w:bookmarkEnd w:id="239"/>
    </w:p>
    <w:p>
      <w:pPr>
        <w:pStyle w:val="4"/>
        <w:numPr>
          <w:ilvl w:val="1"/>
          <w:numId w:val="0"/>
        </w:numPr>
        <w:spacing w:before="0" w:after="0" w:line="540" w:lineRule="exact"/>
        <w:jc w:val="left"/>
        <w:rPr>
          <w:rFonts w:eastAsia="楷体_GB2312"/>
        </w:rPr>
      </w:pPr>
      <w:bookmarkStart w:id="240" w:name="_Toc14826"/>
      <w:bookmarkStart w:id="241" w:name="_Toc19770"/>
      <w:bookmarkStart w:id="242" w:name="_Toc18897538"/>
      <w:r>
        <w:rPr>
          <w:rFonts w:eastAsia="楷体_GB2312"/>
          <w:szCs w:val="28"/>
        </w:rPr>
        <w:t xml:space="preserve">7.1  </w:t>
      </w:r>
      <w:r>
        <w:rPr>
          <w:szCs w:val="28"/>
        </w:rPr>
        <w:t>风险评价目的及重点</w:t>
      </w:r>
      <w:bookmarkEnd w:id="240"/>
      <w:bookmarkEnd w:id="241"/>
    </w:p>
    <w:p>
      <w:pPr>
        <w:pStyle w:val="5"/>
        <w:rPr>
          <w:szCs w:val="28"/>
        </w:rPr>
      </w:pPr>
      <w:r>
        <w:rPr>
          <w:szCs w:val="28"/>
        </w:rPr>
        <w:t>7.1.1  评价目的</w:t>
      </w:r>
    </w:p>
    <w:p>
      <w:pPr>
        <w:autoSpaceDE w:val="0"/>
        <w:autoSpaceDN w:val="0"/>
        <w:adjustRightInd w:val="0"/>
        <w:spacing w:line="520" w:lineRule="exact"/>
        <w:ind w:firstLine="560" w:firstLineChars="200"/>
        <w:rPr>
          <w:kern w:val="0"/>
          <w:sz w:val="28"/>
          <w:szCs w:val="28"/>
        </w:rPr>
      </w:pPr>
      <w:r>
        <w:rPr>
          <w:kern w:val="0"/>
          <w:sz w:val="28"/>
          <w:szCs w:val="28"/>
        </w:rPr>
        <w:t>环境风险评价的目的是分析和预测建设项目存在的潜在危险、有害因素，项目建设和运行期间发生的可预测突发事件或事故（一般不包括人为破坏及自然灾害），引起有毒有害、易燃易爆等物质泄漏，或突发事件产生的新的有毒有害物质，所造成的对人身安全与环境的影响和损害程度，提出合理可行的防范、应急与减缓措施，以使建设项目事故率、损失和环境影响达到可接受水平。</w:t>
      </w:r>
    </w:p>
    <w:p>
      <w:pPr>
        <w:pStyle w:val="5"/>
        <w:rPr>
          <w:szCs w:val="28"/>
        </w:rPr>
      </w:pPr>
      <w:r>
        <w:rPr>
          <w:szCs w:val="28"/>
        </w:rPr>
        <w:t>7</w:t>
      </w:r>
      <w:r>
        <w:rPr>
          <w:rFonts w:hint="eastAsia"/>
          <w:szCs w:val="28"/>
        </w:rPr>
        <w:t>.1.2</w:t>
      </w:r>
      <w:r>
        <w:rPr>
          <w:szCs w:val="28"/>
        </w:rPr>
        <w:t xml:space="preserve">  评价工作程序</w:t>
      </w:r>
    </w:p>
    <w:p>
      <w:pPr>
        <w:spacing w:line="520" w:lineRule="exact"/>
        <w:ind w:firstLine="560" w:firstLineChars="200"/>
        <w:rPr>
          <w:b/>
          <w:sz w:val="28"/>
          <w:szCs w:val="28"/>
        </w:rPr>
      </w:pPr>
      <w:r>
        <w:rPr>
          <w:sz w:val="28"/>
          <w:szCs w:val="28"/>
        </w:rPr>
        <w:t>根据《建设项目环境风险评价技术导则》（HJ 169-2018），项目环境风险评价工程程序见图7.1-1</w:t>
      </w:r>
      <w:r>
        <w:rPr>
          <w:b/>
          <w:sz w:val="28"/>
          <w:szCs w:val="28"/>
        </w:rPr>
        <w:t>。</w:t>
      </w:r>
    </w:p>
    <w:p>
      <w:pPr>
        <w:jc w:val="center"/>
        <w:rPr>
          <w:sz w:val="28"/>
          <w:szCs w:val="28"/>
        </w:rPr>
      </w:pPr>
      <w:r>
        <w:drawing>
          <wp:inline distT="0" distB="0" distL="114300" distR="114300">
            <wp:extent cx="4108450" cy="3958590"/>
            <wp:effectExtent l="0" t="0" r="0" b="3810"/>
            <wp:docPr id="1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0"/>
                    <pic:cNvPicPr>
                      <a:picLocks noChangeAspect="1"/>
                    </pic:cNvPicPr>
                  </pic:nvPicPr>
                  <pic:blipFill>
                    <a:blip r:embed="rId120"/>
                    <a:srcRect l="92537"/>
                    <a:stretch>
                      <a:fillRect/>
                    </a:stretch>
                  </pic:blipFill>
                  <pic:spPr>
                    <a:xfrm>
                      <a:off x="0" y="0"/>
                      <a:ext cx="4108450" cy="3958590"/>
                    </a:xfrm>
                    <a:prstGeom prst="rect">
                      <a:avLst/>
                    </a:prstGeom>
                    <a:noFill/>
                    <a:ln>
                      <a:noFill/>
                    </a:ln>
                  </pic:spPr>
                </pic:pic>
              </a:graphicData>
            </a:graphic>
          </wp:inline>
        </w:drawing>
      </w:r>
    </w:p>
    <w:p>
      <w:pPr>
        <w:spacing w:line="520" w:lineRule="exact"/>
        <w:ind w:firstLine="480" w:firstLineChars="200"/>
        <w:jc w:val="center"/>
        <w:rPr>
          <w:rFonts w:eastAsia="等线"/>
          <w:b/>
          <w:bCs/>
          <w:sz w:val="24"/>
        </w:rPr>
      </w:pPr>
      <w:r>
        <w:rPr>
          <w:rFonts w:eastAsia="等线"/>
          <w:b/>
          <w:bCs/>
          <w:sz w:val="24"/>
        </w:rPr>
        <w:t>图7.1-1   环境风险评价工作程序</w:t>
      </w:r>
    </w:p>
    <w:p>
      <w:pPr>
        <w:pStyle w:val="5"/>
        <w:rPr>
          <w:szCs w:val="28"/>
        </w:rPr>
      </w:pPr>
      <w:r>
        <w:rPr>
          <w:szCs w:val="28"/>
        </w:rPr>
        <w:t>7.1.</w:t>
      </w:r>
      <w:r>
        <w:rPr>
          <w:rFonts w:hint="eastAsia"/>
          <w:szCs w:val="28"/>
        </w:rPr>
        <w:t>3</w:t>
      </w:r>
      <w:r>
        <w:rPr>
          <w:szCs w:val="28"/>
        </w:rPr>
        <w:t xml:space="preserve">  评价内容和重点</w:t>
      </w:r>
    </w:p>
    <w:p>
      <w:pPr>
        <w:pStyle w:val="29"/>
        <w:outlineLvl w:val="3"/>
      </w:pPr>
      <w:bookmarkStart w:id="243" w:name="_Toc20260"/>
      <w:bookmarkStart w:id="244" w:name="_Toc30664"/>
      <w:r>
        <w:t>7.1.</w:t>
      </w:r>
      <w:r>
        <w:rPr>
          <w:rFonts w:hint="eastAsia"/>
        </w:rPr>
        <w:t>3</w:t>
      </w:r>
      <w:r>
        <w:t>.1  评价内容</w:t>
      </w:r>
      <w:bookmarkEnd w:id="243"/>
      <w:bookmarkEnd w:id="244"/>
    </w:p>
    <w:p>
      <w:pPr>
        <w:pStyle w:val="27"/>
        <w:spacing w:line="500" w:lineRule="exact"/>
        <w:ind w:firstLine="560"/>
        <w:rPr>
          <w:rFonts w:hint="eastAsia"/>
          <w:szCs w:val="28"/>
        </w:rPr>
      </w:pPr>
      <w:r>
        <w:rPr>
          <w:szCs w:val="28"/>
        </w:rPr>
        <w:t>（1）</w:t>
      </w:r>
      <w:r>
        <w:rPr>
          <w:rFonts w:hint="eastAsia"/>
          <w:szCs w:val="28"/>
        </w:rPr>
        <w:t>回顾现有工程风险防范措施落实情况；</w:t>
      </w:r>
    </w:p>
    <w:p>
      <w:pPr>
        <w:pStyle w:val="27"/>
        <w:ind w:firstLine="560"/>
        <w:rPr>
          <w:szCs w:val="28"/>
        </w:rPr>
      </w:pPr>
      <w:r>
        <w:rPr>
          <w:szCs w:val="28"/>
        </w:rPr>
        <w:t>（</w:t>
      </w:r>
      <w:r>
        <w:rPr>
          <w:rFonts w:hint="eastAsia"/>
          <w:szCs w:val="28"/>
        </w:rPr>
        <w:t>2</w:t>
      </w:r>
      <w:r>
        <w:rPr>
          <w:szCs w:val="28"/>
        </w:rPr>
        <w:t>）通过对项目进行风险调查，分析建设项目物质及工艺系统危险性和环境敏感性，进行风险潜势的判断，确定风险评价等级；</w:t>
      </w:r>
    </w:p>
    <w:p>
      <w:pPr>
        <w:pStyle w:val="27"/>
        <w:ind w:firstLine="560"/>
        <w:rPr>
          <w:szCs w:val="28"/>
        </w:rPr>
      </w:pPr>
      <w:r>
        <w:rPr>
          <w:szCs w:val="28"/>
        </w:rPr>
        <w:t>（</w:t>
      </w:r>
      <w:r>
        <w:rPr>
          <w:rFonts w:hint="eastAsia"/>
          <w:szCs w:val="28"/>
        </w:rPr>
        <w:t>3</w:t>
      </w:r>
      <w:r>
        <w:rPr>
          <w:szCs w:val="28"/>
        </w:rPr>
        <w:t>）调查危险物质在生产系统中的主要分布，筛选具有代表性的风险事故情形，合理设定事故源项；</w:t>
      </w:r>
    </w:p>
    <w:p>
      <w:pPr>
        <w:pStyle w:val="27"/>
        <w:ind w:firstLine="560"/>
        <w:rPr>
          <w:szCs w:val="28"/>
        </w:rPr>
      </w:pPr>
      <w:r>
        <w:rPr>
          <w:szCs w:val="28"/>
        </w:rPr>
        <w:t>（</w:t>
      </w:r>
      <w:r>
        <w:rPr>
          <w:rFonts w:hint="eastAsia"/>
          <w:szCs w:val="28"/>
        </w:rPr>
        <w:t>4</w:t>
      </w:r>
      <w:r>
        <w:rPr>
          <w:szCs w:val="28"/>
        </w:rPr>
        <w:t>）对各环境要素开展相应的预测评价，分析说明环境风险危害范围与程度，提出环境风险防范的基本要求；</w:t>
      </w:r>
    </w:p>
    <w:p>
      <w:pPr>
        <w:pStyle w:val="27"/>
        <w:ind w:firstLine="560"/>
        <w:rPr>
          <w:szCs w:val="28"/>
        </w:rPr>
      </w:pPr>
      <w:r>
        <w:rPr>
          <w:szCs w:val="28"/>
        </w:rPr>
        <w:t>（</w:t>
      </w:r>
      <w:r>
        <w:rPr>
          <w:rFonts w:hint="eastAsia"/>
          <w:szCs w:val="28"/>
        </w:rPr>
        <w:t>5</w:t>
      </w:r>
      <w:r>
        <w:rPr>
          <w:szCs w:val="28"/>
        </w:rPr>
        <w:t>）提出环境风险管理对策，明确环境风险防范措施及突发环境事件应急预案编制要求。</w:t>
      </w:r>
    </w:p>
    <w:p>
      <w:pPr>
        <w:pStyle w:val="29"/>
        <w:outlineLvl w:val="3"/>
      </w:pPr>
      <w:bookmarkStart w:id="245" w:name="_Toc32436"/>
      <w:bookmarkStart w:id="246" w:name="_Toc29595"/>
      <w:r>
        <w:t>7.1.</w:t>
      </w:r>
      <w:r>
        <w:rPr>
          <w:rFonts w:hint="eastAsia"/>
        </w:rPr>
        <w:t>3</w:t>
      </w:r>
      <w:r>
        <w:t>.2  评价重点</w:t>
      </w:r>
      <w:bookmarkEnd w:id="245"/>
      <w:bookmarkEnd w:id="246"/>
    </w:p>
    <w:p>
      <w:pPr>
        <w:spacing w:line="520" w:lineRule="exact"/>
        <w:ind w:firstLine="560" w:firstLineChars="200"/>
        <w:rPr>
          <w:sz w:val="28"/>
          <w:szCs w:val="28"/>
        </w:rPr>
      </w:pPr>
      <w:r>
        <w:rPr>
          <w:sz w:val="28"/>
          <w:szCs w:val="28"/>
        </w:rPr>
        <w:t>本次风险评价重点是通过对分析本项目发生风险事故时，对厂址周围和厂外环境的影响程度和影响范围，并与正常相比，说明环境影响的变化程度，提出可行的防护措施。</w:t>
      </w:r>
    </w:p>
    <w:p>
      <w:pPr>
        <w:pStyle w:val="4"/>
        <w:numPr>
          <w:ilvl w:val="1"/>
          <w:numId w:val="0"/>
        </w:numPr>
        <w:spacing w:before="0" w:after="0"/>
      </w:pPr>
      <w:r>
        <w:t>7.2  风险评价思路</w:t>
      </w:r>
    </w:p>
    <w:p>
      <w:pPr>
        <w:spacing w:line="520" w:lineRule="exact"/>
        <w:ind w:firstLine="560"/>
        <w:rPr>
          <w:sz w:val="28"/>
          <w:szCs w:val="28"/>
        </w:rPr>
      </w:pPr>
      <w:r>
        <w:rPr>
          <w:sz w:val="28"/>
          <w:szCs w:val="28"/>
        </w:rPr>
        <w:t>（1）</w:t>
      </w:r>
      <w:r>
        <w:rPr>
          <w:rFonts w:hint="eastAsia"/>
          <w:sz w:val="28"/>
          <w:szCs w:val="28"/>
        </w:rPr>
        <w:t>本</w:t>
      </w:r>
      <w:r>
        <w:rPr>
          <w:sz w:val="28"/>
          <w:szCs w:val="28"/>
        </w:rPr>
        <w:t>工程</w:t>
      </w:r>
      <w:r>
        <w:rPr>
          <w:rFonts w:hint="eastAsia"/>
          <w:sz w:val="28"/>
          <w:szCs w:val="28"/>
        </w:rPr>
        <w:t>主要是原料、供水系统、供热系统及污水处理和危废暂存设施均依托煤化工厂区现有设施，生产设施为此次新建，故对煤化工厂区现有风险防范措施主要进行回顾性分析，此次风险评价范围不包含煤化工厂区现有设施。</w:t>
      </w:r>
    </w:p>
    <w:p>
      <w:pPr>
        <w:spacing w:line="520" w:lineRule="exact"/>
        <w:ind w:firstLine="560" w:firstLineChars="200"/>
        <w:rPr>
          <w:sz w:val="28"/>
          <w:szCs w:val="28"/>
        </w:rPr>
      </w:pPr>
      <w:r>
        <w:rPr>
          <w:sz w:val="28"/>
          <w:szCs w:val="28"/>
        </w:rPr>
        <w:t>（</w:t>
      </w:r>
      <w:r>
        <w:rPr>
          <w:rFonts w:hint="eastAsia"/>
          <w:sz w:val="28"/>
          <w:szCs w:val="28"/>
        </w:rPr>
        <w:t>2</w:t>
      </w:r>
      <w:r>
        <w:rPr>
          <w:sz w:val="28"/>
          <w:szCs w:val="28"/>
        </w:rPr>
        <w:t>）根据厂区平面布置和功能区划，厂区分为</w:t>
      </w:r>
      <w:r>
        <w:rPr>
          <w:rFonts w:hint="eastAsia"/>
          <w:sz w:val="28"/>
          <w:szCs w:val="28"/>
        </w:rPr>
        <w:t>乙二醇合成</w:t>
      </w:r>
      <w:r>
        <w:rPr>
          <w:sz w:val="28"/>
          <w:szCs w:val="28"/>
        </w:rPr>
        <w:t>单元</w:t>
      </w:r>
      <w:r>
        <w:rPr>
          <w:rFonts w:hint="eastAsia"/>
          <w:sz w:val="28"/>
          <w:szCs w:val="28"/>
        </w:rPr>
        <w:t>、乙二醇精馏</w:t>
      </w:r>
      <w:r>
        <w:rPr>
          <w:sz w:val="28"/>
          <w:szCs w:val="28"/>
        </w:rPr>
        <w:t>单元考虑，同时关注废暂存间及</w:t>
      </w:r>
      <w:r>
        <w:rPr>
          <w:rFonts w:hint="eastAsia"/>
          <w:sz w:val="28"/>
          <w:szCs w:val="28"/>
        </w:rPr>
        <w:t>废水处理</w:t>
      </w:r>
      <w:r>
        <w:rPr>
          <w:sz w:val="28"/>
          <w:szCs w:val="28"/>
        </w:rPr>
        <w:t>环保设施存在的环境风险；</w:t>
      </w:r>
    </w:p>
    <w:p>
      <w:pPr>
        <w:spacing w:line="520" w:lineRule="exact"/>
        <w:ind w:firstLine="560" w:firstLineChars="200"/>
        <w:rPr>
          <w:sz w:val="28"/>
          <w:szCs w:val="28"/>
        </w:rPr>
      </w:pPr>
      <w:r>
        <w:rPr>
          <w:sz w:val="28"/>
          <w:szCs w:val="28"/>
        </w:rPr>
        <w:t>（</w:t>
      </w:r>
      <w:r>
        <w:rPr>
          <w:rFonts w:hint="eastAsia"/>
          <w:sz w:val="28"/>
          <w:szCs w:val="28"/>
        </w:rPr>
        <w:t>3</w:t>
      </w:r>
      <w:r>
        <w:rPr>
          <w:sz w:val="28"/>
          <w:szCs w:val="28"/>
        </w:rPr>
        <w:t>）通过对项目厂区环境风险源及其扩散途径和周围保护目标三个方面进行识别，分析项目潜在的环境风险；</w:t>
      </w:r>
    </w:p>
    <w:p>
      <w:pPr>
        <w:spacing w:line="520" w:lineRule="exact"/>
        <w:ind w:firstLine="560" w:firstLineChars="200"/>
        <w:rPr>
          <w:sz w:val="28"/>
          <w:szCs w:val="28"/>
        </w:rPr>
      </w:pPr>
      <w:r>
        <w:rPr>
          <w:sz w:val="28"/>
          <w:szCs w:val="28"/>
        </w:rPr>
        <w:t>（</w:t>
      </w:r>
      <w:r>
        <w:rPr>
          <w:rFonts w:hint="eastAsia"/>
          <w:sz w:val="28"/>
          <w:szCs w:val="28"/>
        </w:rPr>
        <w:t>4</w:t>
      </w:r>
      <w:r>
        <w:rPr>
          <w:sz w:val="28"/>
          <w:szCs w:val="28"/>
        </w:rPr>
        <w:t>）对项目涉及的危险物质的性质、生产设施及贮存方式等进行分析，识别项目运行过程中可能发生的风险事故，同时考虑伴生、次生事故的环境风险。筛选出对环境影响较大的风险事故作为环境风险评价的重点，进行风险预测和评价，给出项目环境风险的可接受性评价结论；</w:t>
      </w:r>
    </w:p>
    <w:p>
      <w:pPr>
        <w:spacing w:line="520" w:lineRule="exact"/>
        <w:ind w:firstLine="560" w:firstLineChars="200"/>
        <w:rPr>
          <w:sz w:val="28"/>
          <w:szCs w:val="28"/>
        </w:rPr>
      </w:pPr>
      <w:r>
        <w:rPr>
          <w:sz w:val="28"/>
          <w:szCs w:val="28"/>
        </w:rPr>
        <w:t>（</w:t>
      </w:r>
      <w:r>
        <w:rPr>
          <w:rFonts w:hint="eastAsia"/>
          <w:sz w:val="28"/>
          <w:szCs w:val="28"/>
        </w:rPr>
        <w:t>5</w:t>
      </w:r>
      <w:r>
        <w:rPr>
          <w:sz w:val="28"/>
          <w:szCs w:val="28"/>
        </w:rPr>
        <w:t>）对工程可能发生的环境风险事故提出具体防范措施和要求；</w:t>
      </w:r>
    </w:p>
    <w:p>
      <w:pPr>
        <w:spacing w:line="520" w:lineRule="exact"/>
        <w:ind w:firstLine="560" w:firstLineChars="200"/>
        <w:rPr>
          <w:sz w:val="28"/>
          <w:szCs w:val="28"/>
        </w:rPr>
      </w:pPr>
      <w:r>
        <w:rPr>
          <w:sz w:val="28"/>
          <w:szCs w:val="28"/>
        </w:rPr>
        <w:t>（</w:t>
      </w:r>
      <w:r>
        <w:rPr>
          <w:rFonts w:hint="eastAsia"/>
          <w:sz w:val="28"/>
          <w:szCs w:val="28"/>
        </w:rPr>
        <w:t>6</w:t>
      </w:r>
      <w:r>
        <w:rPr>
          <w:sz w:val="28"/>
          <w:szCs w:val="28"/>
        </w:rPr>
        <w:t>）对工程环境风险预案的编制提出原则要求和建议。</w:t>
      </w:r>
    </w:p>
    <w:p>
      <w:pPr>
        <w:pStyle w:val="4"/>
        <w:numPr>
          <w:ilvl w:val="1"/>
          <w:numId w:val="0"/>
        </w:numPr>
        <w:spacing w:before="0" w:after="0"/>
        <w:rPr>
          <w:rFonts w:hint="eastAsia"/>
        </w:rPr>
      </w:pPr>
      <w:r>
        <w:t>7</w:t>
      </w:r>
      <w:r>
        <w:rPr>
          <w:rFonts w:hint="eastAsia"/>
        </w:rPr>
        <w:t>.3  现有工程风险防范措施回顾</w:t>
      </w:r>
    </w:p>
    <w:p>
      <w:pPr>
        <w:pStyle w:val="5"/>
        <w:rPr>
          <w:szCs w:val="28"/>
        </w:rPr>
      </w:pPr>
      <w:r>
        <w:rPr>
          <w:szCs w:val="28"/>
        </w:rPr>
        <w:t xml:space="preserve">7.3.1  </w:t>
      </w:r>
      <w:r>
        <w:rPr>
          <w:rFonts w:hint="eastAsia"/>
          <w:szCs w:val="28"/>
        </w:rPr>
        <w:t>现有工程主要环境风险源及危险物质</w:t>
      </w:r>
    </w:p>
    <w:p>
      <w:pPr>
        <w:spacing w:line="520" w:lineRule="exact"/>
        <w:ind w:firstLine="560" w:firstLineChars="200"/>
        <w:rPr>
          <w:sz w:val="28"/>
          <w:szCs w:val="28"/>
        </w:rPr>
      </w:pPr>
      <w:r>
        <w:rPr>
          <w:sz w:val="28"/>
          <w:szCs w:val="28"/>
        </w:rPr>
        <w:t>中原大化现有工程环境风险主要体现在煤基合成气（</w:t>
      </w:r>
      <w:r>
        <w:rPr>
          <w:spacing w:val="-6"/>
          <w:sz w:val="28"/>
          <w:szCs w:val="28"/>
        </w:rPr>
        <w:t>CO、H</w:t>
      </w:r>
      <w:r>
        <w:rPr>
          <w:spacing w:val="-6"/>
          <w:sz w:val="28"/>
          <w:szCs w:val="28"/>
          <w:vertAlign w:val="subscript"/>
        </w:rPr>
        <w:t>2</w:t>
      </w:r>
      <w:r>
        <w:rPr>
          <w:sz w:val="28"/>
          <w:szCs w:val="28"/>
        </w:rPr>
        <w:t>）和产品甲醇</w:t>
      </w:r>
      <w:r>
        <w:rPr>
          <w:rFonts w:hint="eastAsia"/>
          <w:sz w:val="28"/>
          <w:szCs w:val="28"/>
        </w:rPr>
        <w:t>；</w:t>
      </w:r>
      <w:r>
        <w:rPr>
          <w:sz w:val="28"/>
          <w:szCs w:val="28"/>
        </w:rPr>
        <w:t>从生产工艺和生产过程分析，装置区潜在CO、H</w:t>
      </w:r>
      <w:r>
        <w:rPr>
          <w:sz w:val="28"/>
          <w:szCs w:val="28"/>
          <w:vertAlign w:val="subscript"/>
        </w:rPr>
        <w:t>2</w:t>
      </w:r>
      <w:r>
        <w:rPr>
          <w:sz w:val="28"/>
          <w:szCs w:val="28"/>
        </w:rPr>
        <w:t>、甲醇等危险物质发生重大泄漏、着火爆炸的可能性。</w:t>
      </w:r>
    </w:p>
    <w:p>
      <w:pPr>
        <w:pStyle w:val="5"/>
        <w:rPr>
          <w:szCs w:val="28"/>
        </w:rPr>
      </w:pPr>
      <w:r>
        <w:rPr>
          <w:szCs w:val="28"/>
        </w:rPr>
        <w:t>7.3.</w:t>
      </w:r>
      <w:r>
        <w:rPr>
          <w:rFonts w:hint="eastAsia"/>
          <w:szCs w:val="28"/>
        </w:rPr>
        <w:t>2</w:t>
      </w:r>
      <w:r>
        <w:rPr>
          <w:szCs w:val="28"/>
        </w:rPr>
        <w:t xml:space="preserve">  </w:t>
      </w:r>
      <w:r>
        <w:rPr>
          <w:rFonts w:hint="eastAsia"/>
          <w:szCs w:val="28"/>
        </w:rPr>
        <w:t>现有工程主要风险防范及应急措施</w:t>
      </w:r>
    </w:p>
    <w:p>
      <w:pPr>
        <w:widowControl/>
        <w:spacing w:line="520" w:lineRule="exact"/>
        <w:ind w:firstLine="560" w:firstLineChars="200"/>
        <w:rPr>
          <w:rFonts w:hint="eastAsia"/>
          <w:sz w:val="28"/>
        </w:rPr>
      </w:pPr>
      <w:r>
        <w:rPr>
          <w:rFonts w:hint="eastAsia"/>
          <w:sz w:val="28"/>
        </w:rPr>
        <w:t>根据现场调查及厂区风险应急预案，煤化工厂区采取了各类风险防范措施，主要包括事故池、火炬系统、各类消防设施、有毒气体检测报警装置、可燃气体监测报警装置、监控装置、各类警示牌等，见表</w:t>
      </w:r>
      <w:r>
        <w:rPr>
          <w:sz w:val="28"/>
        </w:rPr>
        <w:t>7</w:t>
      </w:r>
      <w:r>
        <w:rPr>
          <w:rFonts w:hint="eastAsia"/>
          <w:sz w:val="28"/>
        </w:rPr>
        <w:t>.3-</w:t>
      </w:r>
      <w:r>
        <w:rPr>
          <w:sz w:val="28"/>
        </w:rPr>
        <w:t>1</w:t>
      </w:r>
      <w:r>
        <w:rPr>
          <w:rFonts w:hint="eastAsia"/>
          <w:sz w:val="28"/>
        </w:rPr>
        <w:t>和图</w:t>
      </w:r>
      <w:r>
        <w:rPr>
          <w:sz w:val="28"/>
        </w:rPr>
        <w:t>7</w:t>
      </w:r>
      <w:r>
        <w:rPr>
          <w:rFonts w:hint="eastAsia"/>
          <w:sz w:val="28"/>
        </w:rPr>
        <w:t>.3-1。</w:t>
      </w:r>
    </w:p>
    <w:p>
      <w:pPr>
        <w:pStyle w:val="32"/>
        <w:tabs>
          <w:tab w:val="clear" w:pos="900"/>
        </w:tabs>
        <w:ind w:firstLine="679" w:firstLineChars="282"/>
        <w:rPr>
          <w:rFonts w:hint="eastAsia"/>
        </w:rPr>
      </w:pPr>
      <w:r>
        <w:rPr>
          <w:rFonts w:hint="eastAsia"/>
        </w:rPr>
        <w:t>表</w:t>
      </w:r>
      <w:r>
        <w:t>7.</w:t>
      </w:r>
      <w:r>
        <w:rPr>
          <w:rFonts w:hint="eastAsia"/>
        </w:rPr>
        <w:t>3-</w:t>
      </w:r>
      <w:r>
        <w:t>1</w:t>
      </w:r>
      <w:r>
        <w:rPr>
          <w:rFonts w:hint="eastAsia"/>
        </w:rPr>
        <w:t xml:space="preserve">            现有工程环境风险防范措施一览表</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844"/>
        <w:gridCol w:w="65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b/>
                <w:szCs w:val="21"/>
              </w:rPr>
            </w:pPr>
            <w:r>
              <w:rPr>
                <w:b/>
                <w:szCs w:val="21"/>
              </w:rPr>
              <w:t>序号</w:t>
            </w:r>
          </w:p>
        </w:tc>
        <w:tc>
          <w:tcPr>
            <w:tcW w:w="1844" w:type="dxa"/>
            <w:noWrap w:val="0"/>
            <w:vAlign w:val="center"/>
          </w:tcPr>
          <w:p>
            <w:pPr>
              <w:snapToGrid w:val="0"/>
              <w:jc w:val="center"/>
              <w:rPr>
                <w:b/>
                <w:szCs w:val="21"/>
              </w:rPr>
            </w:pPr>
            <w:r>
              <w:rPr>
                <w:b/>
                <w:szCs w:val="21"/>
              </w:rPr>
              <w:t>类型</w:t>
            </w:r>
          </w:p>
        </w:tc>
        <w:tc>
          <w:tcPr>
            <w:tcW w:w="6533" w:type="dxa"/>
            <w:noWrap w:val="0"/>
            <w:vAlign w:val="center"/>
          </w:tcPr>
          <w:p>
            <w:pPr>
              <w:snapToGrid w:val="0"/>
              <w:jc w:val="center"/>
              <w:rPr>
                <w:b/>
                <w:szCs w:val="21"/>
              </w:rPr>
            </w:pPr>
            <w:r>
              <w:rPr>
                <w:b/>
                <w:szCs w:val="21"/>
              </w:rPr>
              <w:t>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bCs/>
                <w:szCs w:val="21"/>
              </w:rPr>
            </w:pPr>
            <w:r>
              <w:rPr>
                <w:bCs/>
                <w:szCs w:val="21"/>
              </w:rPr>
              <w:t>1</w:t>
            </w:r>
          </w:p>
        </w:tc>
        <w:tc>
          <w:tcPr>
            <w:tcW w:w="1844" w:type="dxa"/>
            <w:noWrap w:val="0"/>
            <w:vAlign w:val="center"/>
          </w:tcPr>
          <w:p>
            <w:pPr>
              <w:snapToGrid w:val="0"/>
              <w:jc w:val="center"/>
              <w:rPr>
                <w:bCs/>
                <w:szCs w:val="21"/>
              </w:rPr>
            </w:pPr>
            <w:r>
              <w:rPr>
                <w:bCs/>
                <w:szCs w:val="21"/>
              </w:rPr>
              <w:t>事故池</w:t>
            </w:r>
          </w:p>
        </w:tc>
        <w:tc>
          <w:tcPr>
            <w:tcW w:w="6533" w:type="dxa"/>
            <w:noWrap w:val="0"/>
            <w:vAlign w:val="center"/>
          </w:tcPr>
          <w:p>
            <w:pPr>
              <w:snapToGrid w:val="0"/>
              <w:jc w:val="left"/>
              <w:rPr>
                <w:bCs/>
                <w:szCs w:val="21"/>
              </w:rPr>
            </w:pPr>
            <w:r>
              <w:rPr>
                <w:bCs/>
                <w:szCs w:val="21"/>
              </w:rPr>
              <w:t>8000m</w:t>
            </w:r>
            <w:r>
              <w:rPr>
                <w:bCs/>
                <w:szCs w:val="21"/>
                <w:vertAlign w:val="superscript"/>
              </w:rPr>
              <w:t>3</w:t>
            </w:r>
            <w:r>
              <w:rPr>
                <w:bCs/>
                <w:szCs w:val="21"/>
              </w:rPr>
              <w:t>污水调节池</w:t>
            </w:r>
            <w:r>
              <w:rPr>
                <w:rFonts w:hint="eastAsia"/>
                <w:bCs/>
                <w:szCs w:val="21"/>
              </w:rPr>
              <w:t>（兼做事故池）</w:t>
            </w:r>
            <w:r>
              <w:rPr>
                <w:bCs/>
                <w:szCs w:val="21"/>
              </w:rPr>
              <w:t>、5000m</w:t>
            </w:r>
            <w:r>
              <w:rPr>
                <w:bCs/>
                <w:szCs w:val="21"/>
                <w:vertAlign w:val="superscript"/>
              </w:rPr>
              <w:t>3</w:t>
            </w:r>
            <w:r>
              <w:rPr>
                <w:bCs/>
                <w:szCs w:val="21"/>
              </w:rPr>
              <w:t>事故池</w:t>
            </w:r>
            <w:r>
              <w:rPr>
                <w:rFonts w:hint="eastAsia"/>
                <w:bCs/>
                <w:szCs w:val="21"/>
              </w:rPr>
              <w:t>、250m</w:t>
            </w:r>
            <w:r>
              <w:rPr>
                <w:rFonts w:hint="eastAsia"/>
                <w:bCs/>
                <w:szCs w:val="21"/>
                <w:vertAlign w:val="superscript"/>
              </w:rPr>
              <w:t>3</w:t>
            </w:r>
            <w:r>
              <w:rPr>
                <w:bCs/>
                <w:szCs w:val="21"/>
              </w:rPr>
              <w:t>事故池</w:t>
            </w:r>
            <w:r>
              <w:rPr>
                <w:rFonts w:hint="eastAsia"/>
                <w:bCs/>
                <w:szCs w:val="21"/>
              </w:rPr>
              <w:t>（M</w:t>
            </w:r>
            <w:r>
              <w:rPr>
                <w:bCs/>
                <w:szCs w:val="21"/>
              </w:rPr>
              <w:t>MA</w:t>
            </w:r>
            <w:r>
              <w:rPr>
                <w:rFonts w:hint="eastAsia"/>
                <w:bCs/>
                <w:szCs w:val="21"/>
              </w:rPr>
              <w:t>中试装置</w:t>
            </w:r>
            <w:r>
              <w:rPr>
                <w:bCs/>
                <w:szCs w:val="21"/>
              </w:rPr>
              <w:t>西侧</w:t>
            </w: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bCs/>
                <w:szCs w:val="21"/>
              </w:rPr>
            </w:pPr>
            <w:r>
              <w:rPr>
                <w:bCs/>
                <w:szCs w:val="21"/>
              </w:rPr>
              <w:t>2</w:t>
            </w:r>
          </w:p>
        </w:tc>
        <w:tc>
          <w:tcPr>
            <w:tcW w:w="1844" w:type="dxa"/>
            <w:noWrap w:val="0"/>
            <w:vAlign w:val="center"/>
          </w:tcPr>
          <w:p>
            <w:pPr>
              <w:snapToGrid w:val="0"/>
              <w:jc w:val="center"/>
              <w:rPr>
                <w:bCs/>
                <w:szCs w:val="21"/>
              </w:rPr>
            </w:pPr>
            <w:r>
              <w:rPr>
                <w:bCs/>
                <w:szCs w:val="21"/>
              </w:rPr>
              <w:t>雨水收集池</w:t>
            </w:r>
          </w:p>
        </w:tc>
        <w:tc>
          <w:tcPr>
            <w:tcW w:w="6533" w:type="dxa"/>
            <w:noWrap w:val="0"/>
            <w:vAlign w:val="center"/>
          </w:tcPr>
          <w:p>
            <w:pPr>
              <w:snapToGrid w:val="0"/>
              <w:jc w:val="left"/>
              <w:rPr>
                <w:b/>
                <w:szCs w:val="21"/>
              </w:rPr>
            </w:pPr>
            <w:r>
              <w:rPr>
                <w:bCs/>
                <w:szCs w:val="21"/>
              </w:rPr>
              <w:t>2000m</w:t>
            </w:r>
            <w:r>
              <w:rPr>
                <w:bCs/>
                <w:szCs w:val="21"/>
                <w:vertAlign w:val="superscript"/>
              </w:rPr>
              <w:t>3</w:t>
            </w:r>
            <w:r>
              <w:rPr>
                <w:bCs/>
                <w:szCs w:val="21"/>
              </w:rPr>
              <w:t>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bCs/>
                <w:szCs w:val="21"/>
              </w:rPr>
            </w:pPr>
            <w:r>
              <w:rPr>
                <w:bCs/>
                <w:szCs w:val="21"/>
              </w:rPr>
              <w:t>3</w:t>
            </w:r>
          </w:p>
        </w:tc>
        <w:tc>
          <w:tcPr>
            <w:tcW w:w="1844" w:type="dxa"/>
            <w:noWrap w:val="0"/>
            <w:vAlign w:val="center"/>
          </w:tcPr>
          <w:p>
            <w:pPr>
              <w:snapToGrid w:val="0"/>
              <w:jc w:val="center"/>
              <w:rPr>
                <w:bCs/>
                <w:szCs w:val="21"/>
              </w:rPr>
            </w:pPr>
            <w:r>
              <w:rPr>
                <w:bCs/>
                <w:szCs w:val="21"/>
              </w:rPr>
              <w:t>火炬系统</w:t>
            </w:r>
          </w:p>
        </w:tc>
        <w:tc>
          <w:tcPr>
            <w:tcW w:w="6533" w:type="dxa"/>
            <w:noWrap w:val="0"/>
            <w:vAlign w:val="center"/>
          </w:tcPr>
          <w:p>
            <w:pPr>
              <w:snapToGrid w:val="0"/>
              <w:jc w:val="left"/>
              <w:rPr>
                <w:bCs/>
                <w:szCs w:val="21"/>
              </w:rPr>
            </w:pPr>
            <w:r>
              <w:rPr>
                <w:bCs/>
                <w:szCs w:val="21"/>
              </w:rPr>
              <w:t>事故状态废气废送火炬系统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vMerge w:val="restart"/>
            <w:noWrap w:val="0"/>
            <w:vAlign w:val="center"/>
          </w:tcPr>
          <w:p>
            <w:pPr>
              <w:snapToGrid w:val="0"/>
              <w:jc w:val="center"/>
              <w:rPr>
                <w:szCs w:val="21"/>
              </w:rPr>
            </w:pPr>
            <w:r>
              <w:rPr>
                <w:szCs w:val="21"/>
              </w:rPr>
              <w:t>4</w:t>
            </w:r>
          </w:p>
        </w:tc>
        <w:tc>
          <w:tcPr>
            <w:tcW w:w="1844" w:type="dxa"/>
            <w:vMerge w:val="restart"/>
            <w:noWrap w:val="0"/>
            <w:vAlign w:val="center"/>
          </w:tcPr>
          <w:p>
            <w:pPr>
              <w:snapToGrid w:val="0"/>
              <w:jc w:val="center"/>
              <w:rPr>
                <w:szCs w:val="21"/>
              </w:rPr>
            </w:pPr>
            <w:r>
              <w:rPr>
                <w:szCs w:val="21"/>
              </w:rPr>
              <w:t>消防</w:t>
            </w:r>
          </w:p>
        </w:tc>
        <w:tc>
          <w:tcPr>
            <w:tcW w:w="6533" w:type="dxa"/>
            <w:noWrap w:val="0"/>
            <w:vAlign w:val="center"/>
          </w:tcPr>
          <w:p>
            <w:pPr>
              <w:snapToGrid w:val="0"/>
              <w:jc w:val="left"/>
              <w:rPr>
                <w:szCs w:val="21"/>
              </w:rPr>
            </w:pPr>
            <w:r>
              <w:rPr>
                <w:szCs w:val="21"/>
              </w:rPr>
              <w:t>消防水池一座，有效容积为5000m</w:t>
            </w:r>
            <w:r>
              <w:rPr>
                <w:szCs w:val="21"/>
                <w:vertAlign w:val="superscript"/>
              </w:rPr>
              <w:t>3</w:t>
            </w:r>
            <w:r>
              <w:rPr>
                <w:szCs w:val="21"/>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vMerge w:val="continue"/>
            <w:noWrap w:val="0"/>
            <w:vAlign w:val="center"/>
          </w:tcPr>
          <w:p>
            <w:pPr>
              <w:snapToGrid w:val="0"/>
              <w:jc w:val="center"/>
              <w:rPr>
                <w:szCs w:val="21"/>
              </w:rPr>
            </w:pPr>
          </w:p>
        </w:tc>
        <w:tc>
          <w:tcPr>
            <w:tcW w:w="1844" w:type="dxa"/>
            <w:vMerge w:val="continue"/>
            <w:noWrap w:val="0"/>
            <w:vAlign w:val="center"/>
          </w:tcPr>
          <w:p>
            <w:pPr>
              <w:snapToGrid w:val="0"/>
              <w:jc w:val="center"/>
              <w:rPr>
                <w:szCs w:val="21"/>
              </w:rPr>
            </w:pPr>
          </w:p>
        </w:tc>
        <w:tc>
          <w:tcPr>
            <w:tcW w:w="6533" w:type="dxa"/>
            <w:noWrap w:val="0"/>
            <w:vAlign w:val="center"/>
          </w:tcPr>
          <w:p>
            <w:pPr>
              <w:snapToGrid w:val="0"/>
              <w:jc w:val="left"/>
              <w:rPr>
                <w:szCs w:val="21"/>
              </w:rPr>
            </w:pPr>
            <w:r>
              <w:rPr>
                <w:szCs w:val="21"/>
              </w:rPr>
              <w:t>厂区配备泡沫消防车和水罐消防车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vMerge w:val="continue"/>
            <w:noWrap w:val="0"/>
            <w:vAlign w:val="center"/>
          </w:tcPr>
          <w:p>
            <w:pPr>
              <w:snapToGrid w:val="0"/>
              <w:jc w:val="center"/>
              <w:rPr>
                <w:szCs w:val="21"/>
              </w:rPr>
            </w:pPr>
          </w:p>
        </w:tc>
        <w:tc>
          <w:tcPr>
            <w:tcW w:w="1844" w:type="dxa"/>
            <w:vMerge w:val="continue"/>
            <w:noWrap w:val="0"/>
            <w:vAlign w:val="center"/>
          </w:tcPr>
          <w:p>
            <w:pPr>
              <w:snapToGrid w:val="0"/>
              <w:jc w:val="center"/>
              <w:rPr>
                <w:szCs w:val="21"/>
              </w:rPr>
            </w:pPr>
          </w:p>
        </w:tc>
        <w:tc>
          <w:tcPr>
            <w:tcW w:w="6533" w:type="dxa"/>
            <w:noWrap w:val="0"/>
            <w:vAlign w:val="center"/>
          </w:tcPr>
          <w:p>
            <w:pPr>
              <w:snapToGrid w:val="0"/>
              <w:jc w:val="left"/>
              <w:rPr>
                <w:szCs w:val="21"/>
              </w:rPr>
            </w:pPr>
            <w:r>
              <w:rPr>
                <w:szCs w:val="21"/>
              </w:rPr>
              <w:t>在装置区和储罐区设置多个消防设施，满足事故状态消防需要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5</w:t>
            </w:r>
          </w:p>
        </w:tc>
        <w:tc>
          <w:tcPr>
            <w:tcW w:w="1844" w:type="dxa"/>
            <w:noWrap w:val="0"/>
            <w:vAlign w:val="center"/>
          </w:tcPr>
          <w:p>
            <w:pPr>
              <w:snapToGrid w:val="0"/>
              <w:jc w:val="center"/>
              <w:rPr>
                <w:szCs w:val="21"/>
              </w:rPr>
            </w:pPr>
            <w:r>
              <w:rPr>
                <w:szCs w:val="21"/>
              </w:rPr>
              <w:t>罐区</w:t>
            </w:r>
          </w:p>
        </w:tc>
        <w:tc>
          <w:tcPr>
            <w:tcW w:w="6533" w:type="dxa"/>
            <w:noWrap w:val="0"/>
            <w:vAlign w:val="center"/>
          </w:tcPr>
          <w:p>
            <w:pPr>
              <w:snapToGrid w:val="0"/>
              <w:jc w:val="left"/>
              <w:rPr>
                <w:szCs w:val="21"/>
              </w:rPr>
            </w:pPr>
            <w:r>
              <w:rPr>
                <w:szCs w:val="21"/>
              </w:rPr>
              <w:t>罐区设置围堰，地面已采取防渗漏及防流失措施；围堰外设有切换阀门，初期雨水或事故状态下进入污水处理系统，后期雨水切换至雨水系统。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6</w:t>
            </w:r>
          </w:p>
        </w:tc>
        <w:tc>
          <w:tcPr>
            <w:tcW w:w="1844" w:type="dxa"/>
            <w:noWrap w:val="0"/>
            <w:vAlign w:val="center"/>
          </w:tcPr>
          <w:p>
            <w:pPr>
              <w:snapToGrid w:val="0"/>
              <w:jc w:val="center"/>
              <w:rPr>
                <w:szCs w:val="21"/>
              </w:rPr>
            </w:pPr>
            <w:r>
              <w:rPr>
                <w:szCs w:val="21"/>
              </w:rPr>
              <w:t>可燃、有毒气体泄漏监测探头</w:t>
            </w:r>
          </w:p>
        </w:tc>
        <w:tc>
          <w:tcPr>
            <w:tcW w:w="6533" w:type="dxa"/>
            <w:noWrap w:val="0"/>
            <w:vAlign w:val="center"/>
          </w:tcPr>
          <w:p>
            <w:pPr>
              <w:snapToGrid w:val="0"/>
              <w:jc w:val="left"/>
              <w:rPr>
                <w:szCs w:val="21"/>
              </w:rPr>
            </w:pPr>
            <w:r>
              <w:rPr>
                <w:szCs w:val="21"/>
              </w:rPr>
              <w:t>生产区域布设有气体检测报警系统和监控系统，所有气体检测报警仪测量数据能够在中央控制室专用画面显示报警；生产装置区设置有可燃和有毒气体报警装置，现场采用声光报警；数量约246个。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7</w:t>
            </w:r>
          </w:p>
        </w:tc>
        <w:tc>
          <w:tcPr>
            <w:tcW w:w="1844" w:type="dxa"/>
            <w:noWrap w:val="0"/>
            <w:vAlign w:val="center"/>
          </w:tcPr>
          <w:p>
            <w:pPr>
              <w:snapToGrid w:val="0"/>
              <w:jc w:val="center"/>
              <w:rPr>
                <w:szCs w:val="21"/>
              </w:rPr>
            </w:pPr>
            <w:r>
              <w:rPr>
                <w:szCs w:val="21"/>
              </w:rPr>
              <w:t>便携式有毒气体报警仪</w:t>
            </w:r>
          </w:p>
        </w:tc>
        <w:tc>
          <w:tcPr>
            <w:tcW w:w="6533" w:type="dxa"/>
            <w:noWrap w:val="0"/>
            <w:vAlign w:val="center"/>
          </w:tcPr>
          <w:p>
            <w:pPr>
              <w:snapToGrid w:val="0"/>
              <w:jc w:val="left"/>
              <w:rPr>
                <w:szCs w:val="21"/>
              </w:rPr>
            </w:pPr>
            <w:r>
              <w:rPr>
                <w:szCs w:val="21"/>
              </w:rPr>
              <w:t>存在毒性气体的岗位操作工人配置有便携式可燃和有毒气体检测仪；数量约40个。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8</w:t>
            </w:r>
          </w:p>
        </w:tc>
        <w:tc>
          <w:tcPr>
            <w:tcW w:w="1844" w:type="dxa"/>
            <w:noWrap w:val="0"/>
            <w:vAlign w:val="center"/>
          </w:tcPr>
          <w:p>
            <w:pPr>
              <w:snapToGrid w:val="0"/>
              <w:jc w:val="center"/>
              <w:rPr>
                <w:szCs w:val="21"/>
              </w:rPr>
            </w:pPr>
            <w:r>
              <w:rPr>
                <w:szCs w:val="21"/>
              </w:rPr>
              <w:t>火灾报警器</w:t>
            </w:r>
          </w:p>
        </w:tc>
        <w:tc>
          <w:tcPr>
            <w:tcW w:w="6533" w:type="dxa"/>
            <w:noWrap w:val="0"/>
            <w:vAlign w:val="center"/>
          </w:tcPr>
          <w:p>
            <w:pPr>
              <w:snapToGrid w:val="0"/>
              <w:jc w:val="left"/>
              <w:rPr>
                <w:szCs w:val="21"/>
              </w:rPr>
            </w:pPr>
            <w:r>
              <w:rPr>
                <w:szCs w:val="21"/>
              </w:rPr>
              <w:t>温度、烟雾、可燃气体等监测点设置火灾报警器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9</w:t>
            </w:r>
          </w:p>
        </w:tc>
        <w:tc>
          <w:tcPr>
            <w:tcW w:w="1844" w:type="dxa"/>
            <w:noWrap w:val="0"/>
            <w:vAlign w:val="center"/>
          </w:tcPr>
          <w:p>
            <w:pPr>
              <w:snapToGrid w:val="0"/>
              <w:jc w:val="center"/>
              <w:rPr>
                <w:szCs w:val="21"/>
              </w:rPr>
            </w:pPr>
            <w:r>
              <w:rPr>
                <w:szCs w:val="21"/>
              </w:rPr>
              <w:t>防毒面具</w:t>
            </w:r>
          </w:p>
        </w:tc>
        <w:tc>
          <w:tcPr>
            <w:tcW w:w="6533" w:type="dxa"/>
            <w:noWrap w:val="0"/>
            <w:vAlign w:val="center"/>
          </w:tcPr>
          <w:p>
            <w:pPr>
              <w:snapToGrid w:val="0"/>
              <w:jc w:val="left"/>
              <w:rPr>
                <w:szCs w:val="21"/>
              </w:rPr>
            </w:pPr>
            <w:r>
              <w:rPr>
                <w:szCs w:val="21"/>
              </w:rPr>
              <w:t>防硫化氢、防甲醇气、防一氧化碳等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10</w:t>
            </w:r>
          </w:p>
        </w:tc>
        <w:tc>
          <w:tcPr>
            <w:tcW w:w="1844" w:type="dxa"/>
            <w:noWrap w:val="0"/>
            <w:vAlign w:val="center"/>
          </w:tcPr>
          <w:p>
            <w:pPr>
              <w:snapToGrid w:val="0"/>
              <w:jc w:val="center"/>
              <w:rPr>
                <w:szCs w:val="21"/>
              </w:rPr>
            </w:pPr>
            <w:r>
              <w:rPr>
                <w:szCs w:val="21"/>
              </w:rPr>
              <w:t>供电</w:t>
            </w:r>
          </w:p>
        </w:tc>
        <w:tc>
          <w:tcPr>
            <w:tcW w:w="6533" w:type="dxa"/>
            <w:noWrap w:val="0"/>
            <w:vAlign w:val="center"/>
          </w:tcPr>
          <w:p>
            <w:pPr>
              <w:snapToGrid w:val="0"/>
              <w:jc w:val="left"/>
              <w:rPr>
                <w:szCs w:val="21"/>
              </w:rPr>
            </w:pPr>
            <w:r>
              <w:rPr>
                <w:szCs w:val="21"/>
              </w:rPr>
              <w:t>双回路供电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11</w:t>
            </w:r>
          </w:p>
        </w:tc>
        <w:tc>
          <w:tcPr>
            <w:tcW w:w="1844" w:type="dxa"/>
            <w:noWrap w:val="0"/>
            <w:vAlign w:val="center"/>
          </w:tcPr>
          <w:p>
            <w:pPr>
              <w:snapToGrid w:val="0"/>
              <w:jc w:val="center"/>
              <w:rPr>
                <w:szCs w:val="21"/>
              </w:rPr>
            </w:pPr>
            <w:r>
              <w:rPr>
                <w:szCs w:val="21"/>
              </w:rPr>
              <w:t>安全标示</w:t>
            </w:r>
          </w:p>
        </w:tc>
        <w:tc>
          <w:tcPr>
            <w:tcW w:w="6533" w:type="dxa"/>
            <w:noWrap w:val="0"/>
            <w:vAlign w:val="center"/>
          </w:tcPr>
          <w:p>
            <w:pPr>
              <w:snapToGrid w:val="0"/>
              <w:jc w:val="left"/>
              <w:rPr>
                <w:szCs w:val="21"/>
              </w:rPr>
            </w:pPr>
            <w:r>
              <w:rPr>
                <w:szCs w:val="21"/>
              </w:rPr>
              <w:t>在存在风险的区域设置告知牌和警示牌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12</w:t>
            </w:r>
          </w:p>
        </w:tc>
        <w:tc>
          <w:tcPr>
            <w:tcW w:w="1844" w:type="dxa"/>
            <w:noWrap w:val="0"/>
            <w:vAlign w:val="center"/>
          </w:tcPr>
          <w:p>
            <w:pPr>
              <w:snapToGrid w:val="0"/>
              <w:jc w:val="center"/>
              <w:rPr>
                <w:szCs w:val="21"/>
              </w:rPr>
            </w:pPr>
            <w:r>
              <w:rPr>
                <w:szCs w:val="21"/>
              </w:rPr>
              <w:t>应急救援物资</w:t>
            </w:r>
          </w:p>
        </w:tc>
        <w:tc>
          <w:tcPr>
            <w:tcW w:w="6533" w:type="dxa"/>
            <w:noWrap w:val="0"/>
            <w:vAlign w:val="center"/>
          </w:tcPr>
          <w:p>
            <w:pPr>
              <w:snapToGrid w:val="0"/>
              <w:jc w:val="left"/>
              <w:rPr>
                <w:szCs w:val="21"/>
              </w:rPr>
            </w:pPr>
            <w:r>
              <w:rPr>
                <w:szCs w:val="21"/>
              </w:rPr>
              <w:t>各生产岗位及仓库配置有足够的应急救援物资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13</w:t>
            </w:r>
          </w:p>
        </w:tc>
        <w:tc>
          <w:tcPr>
            <w:tcW w:w="1844" w:type="dxa"/>
            <w:noWrap w:val="0"/>
            <w:vAlign w:val="center"/>
          </w:tcPr>
          <w:p>
            <w:pPr>
              <w:snapToGrid w:val="0"/>
              <w:jc w:val="center"/>
              <w:rPr>
                <w:szCs w:val="21"/>
              </w:rPr>
            </w:pPr>
            <w:r>
              <w:rPr>
                <w:szCs w:val="21"/>
              </w:rPr>
              <w:t>安全管理</w:t>
            </w:r>
          </w:p>
        </w:tc>
        <w:tc>
          <w:tcPr>
            <w:tcW w:w="6533" w:type="dxa"/>
            <w:noWrap w:val="0"/>
            <w:vAlign w:val="center"/>
          </w:tcPr>
          <w:p>
            <w:pPr>
              <w:snapToGrid w:val="0"/>
              <w:jc w:val="left"/>
              <w:rPr>
                <w:szCs w:val="21"/>
              </w:rPr>
            </w:pPr>
            <w:r>
              <w:rPr>
                <w:szCs w:val="21"/>
              </w:rPr>
              <w:t>成立安全部管理全厂的安全生产，环保部管理全厂环保问题，实行职工上岗培训制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14</w:t>
            </w:r>
          </w:p>
        </w:tc>
        <w:tc>
          <w:tcPr>
            <w:tcW w:w="1844" w:type="dxa"/>
            <w:noWrap w:val="0"/>
            <w:vAlign w:val="center"/>
          </w:tcPr>
          <w:p>
            <w:pPr>
              <w:snapToGrid w:val="0"/>
              <w:jc w:val="center"/>
              <w:rPr>
                <w:szCs w:val="21"/>
              </w:rPr>
            </w:pPr>
            <w:r>
              <w:rPr>
                <w:szCs w:val="21"/>
              </w:rPr>
              <w:t>应急</w:t>
            </w:r>
            <w:r>
              <w:rPr>
                <w:rFonts w:hint="eastAsia"/>
                <w:szCs w:val="21"/>
              </w:rPr>
              <w:t>管理及应急</w:t>
            </w:r>
            <w:r>
              <w:rPr>
                <w:szCs w:val="21"/>
              </w:rPr>
              <w:t>预案</w:t>
            </w:r>
          </w:p>
        </w:tc>
        <w:tc>
          <w:tcPr>
            <w:tcW w:w="6533" w:type="dxa"/>
            <w:noWrap w:val="0"/>
            <w:vAlign w:val="center"/>
          </w:tcPr>
          <w:p>
            <w:pPr>
              <w:snapToGrid w:val="0"/>
              <w:jc w:val="left"/>
              <w:rPr>
                <w:szCs w:val="21"/>
              </w:rPr>
            </w:pPr>
            <w:r>
              <w:rPr>
                <w:rFonts w:hint="eastAsia"/>
                <w:szCs w:val="21"/>
              </w:rPr>
              <w:t>设立了应急管理机构，编制有突发环境事件应急预案并定期进行演练，开展环境风险宣传教育。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trPr>
        <w:tc>
          <w:tcPr>
            <w:tcW w:w="797" w:type="dxa"/>
            <w:noWrap w:val="0"/>
            <w:vAlign w:val="center"/>
          </w:tcPr>
          <w:p>
            <w:pPr>
              <w:snapToGrid w:val="0"/>
              <w:jc w:val="center"/>
              <w:rPr>
                <w:szCs w:val="21"/>
              </w:rPr>
            </w:pPr>
            <w:r>
              <w:rPr>
                <w:szCs w:val="21"/>
              </w:rPr>
              <w:t>15</w:t>
            </w:r>
          </w:p>
        </w:tc>
        <w:tc>
          <w:tcPr>
            <w:tcW w:w="1844" w:type="dxa"/>
            <w:noWrap w:val="0"/>
            <w:vAlign w:val="center"/>
          </w:tcPr>
          <w:p>
            <w:pPr>
              <w:snapToGrid w:val="0"/>
              <w:jc w:val="center"/>
              <w:rPr>
                <w:szCs w:val="21"/>
              </w:rPr>
            </w:pPr>
            <w:r>
              <w:rPr>
                <w:szCs w:val="21"/>
              </w:rPr>
              <w:t>应急监测</w:t>
            </w:r>
          </w:p>
        </w:tc>
        <w:tc>
          <w:tcPr>
            <w:tcW w:w="6533" w:type="dxa"/>
            <w:noWrap w:val="0"/>
            <w:vAlign w:val="center"/>
          </w:tcPr>
          <w:p>
            <w:pPr>
              <w:snapToGrid w:val="0"/>
              <w:jc w:val="left"/>
              <w:rPr>
                <w:szCs w:val="21"/>
              </w:rPr>
            </w:pPr>
            <w:r>
              <w:rPr>
                <w:szCs w:val="21"/>
              </w:rPr>
              <w:t>设立中心化验室，应急监测由公司中心化验室负责。</w:t>
            </w:r>
          </w:p>
        </w:tc>
      </w:tr>
    </w:tbl>
    <w:p>
      <w:pPr>
        <w:widowControl/>
        <w:spacing w:line="520" w:lineRule="exact"/>
        <w:ind w:firstLine="560" w:firstLineChars="200"/>
        <w:rPr>
          <w:rFonts w:hint="eastAsia"/>
          <w:sz w:val="28"/>
        </w:rPr>
      </w:pPr>
      <w:r>
        <w:rPr>
          <w:rFonts w:hint="eastAsia"/>
          <w:sz w:val="28"/>
        </w:rPr>
        <w:t>厂区现有风险防范措施见图</w:t>
      </w:r>
      <w:r>
        <w:rPr>
          <w:sz w:val="28"/>
        </w:rPr>
        <w:t>7</w:t>
      </w:r>
      <w:r>
        <w:rPr>
          <w:rFonts w:hint="eastAsia"/>
          <w:sz w:val="28"/>
        </w:rPr>
        <w:t>.3-1。</w:t>
      </w:r>
    </w:p>
    <w:p>
      <w:pPr>
        <w:ind w:left="1050" w:leftChars="250" w:hanging="525" w:hangingChars="250"/>
        <w:rPr>
          <w:rFonts w:hint="eastAsia"/>
        </w:rPr>
      </w:pPr>
      <w:r>
        <w:drawing>
          <wp:inline distT="0" distB="0" distL="114300" distR="114300">
            <wp:extent cx="2400300" cy="1800225"/>
            <wp:effectExtent l="0" t="0" r="0" b="9525"/>
            <wp:docPr id="109" name="图片 21" descr="DSC0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1" descr="DSC08205"/>
                    <pic:cNvPicPr>
                      <a:picLocks noChangeAspect="1"/>
                    </pic:cNvPicPr>
                  </pic:nvPicPr>
                  <pic:blipFill>
                    <a:blip r:embed="rId121"/>
                    <a:stretch>
                      <a:fillRect/>
                    </a:stretch>
                  </pic:blipFill>
                  <pic:spPr>
                    <a:xfrm>
                      <a:off x="0" y="0"/>
                      <a:ext cx="2400300" cy="1800225"/>
                    </a:xfrm>
                    <a:prstGeom prst="rect">
                      <a:avLst/>
                    </a:prstGeom>
                    <a:noFill/>
                    <a:ln>
                      <a:noFill/>
                    </a:ln>
                  </pic:spPr>
                </pic:pic>
              </a:graphicData>
            </a:graphic>
          </wp:inline>
        </w:drawing>
      </w:r>
      <w:r>
        <w:rPr>
          <w:rFonts w:hint="eastAsia"/>
        </w:rPr>
        <w:t xml:space="preserve">      </w:t>
      </w:r>
      <w:r>
        <w:drawing>
          <wp:inline distT="0" distB="0" distL="114300" distR="114300">
            <wp:extent cx="2400300" cy="1800225"/>
            <wp:effectExtent l="0" t="0" r="0" b="9525"/>
            <wp:docPr id="108" name="图片 22" descr="DSC0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2" descr="DSC08207"/>
                    <pic:cNvPicPr>
                      <a:picLocks noChangeAspect="1"/>
                    </pic:cNvPicPr>
                  </pic:nvPicPr>
                  <pic:blipFill>
                    <a:blip r:embed="rId122"/>
                    <a:stretch>
                      <a:fillRect/>
                    </a:stretch>
                  </pic:blipFill>
                  <pic:spPr>
                    <a:xfrm>
                      <a:off x="0" y="0"/>
                      <a:ext cx="2400300" cy="1800225"/>
                    </a:xfrm>
                    <a:prstGeom prst="rect">
                      <a:avLst/>
                    </a:prstGeom>
                    <a:noFill/>
                    <a:ln>
                      <a:noFill/>
                    </a:ln>
                  </pic:spPr>
                </pic:pic>
              </a:graphicData>
            </a:graphic>
          </wp:inline>
        </w:drawing>
      </w:r>
    </w:p>
    <w:p>
      <w:pPr>
        <w:ind w:left="945" w:leftChars="450" w:firstLine="422" w:firstLineChars="200"/>
        <w:rPr>
          <w:b/>
          <w:szCs w:val="21"/>
        </w:rPr>
      </w:pPr>
      <w:r>
        <w:rPr>
          <w:rFonts w:hint="eastAsia"/>
          <w:b/>
          <w:szCs w:val="21"/>
        </w:rPr>
        <w:t xml:space="preserve">风险等级公示牌 </w:t>
      </w:r>
      <w:r>
        <w:rPr>
          <w:b/>
          <w:szCs w:val="21"/>
        </w:rPr>
        <w:t xml:space="preserve">                              </w:t>
      </w:r>
      <w:r>
        <w:rPr>
          <w:rFonts w:hint="eastAsia"/>
          <w:b/>
          <w:szCs w:val="21"/>
        </w:rPr>
        <w:t>罐区围堰及消防设施</w:t>
      </w:r>
    </w:p>
    <w:p>
      <w:pPr>
        <w:ind w:left="1052" w:leftChars="250" w:hanging="527" w:hangingChars="250"/>
      </w:pPr>
      <w:r>
        <w:rPr>
          <w:b/>
          <w:szCs w:val="21"/>
        </w:rPr>
        <w:drawing>
          <wp:inline distT="0" distB="0" distL="114300" distR="114300">
            <wp:extent cx="2400300" cy="1800225"/>
            <wp:effectExtent l="0" t="0" r="0" b="9525"/>
            <wp:docPr id="107" name="图片 23" descr="微信图片_2020051210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3" descr="微信图片_20200512101002"/>
                    <pic:cNvPicPr>
                      <a:picLocks noChangeAspect="1"/>
                    </pic:cNvPicPr>
                  </pic:nvPicPr>
                  <pic:blipFill>
                    <a:blip r:embed="rId123"/>
                    <a:stretch>
                      <a:fillRect/>
                    </a:stretch>
                  </pic:blipFill>
                  <pic:spPr>
                    <a:xfrm>
                      <a:off x="0" y="0"/>
                      <a:ext cx="2400300" cy="180022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400300" cy="1800225"/>
            <wp:effectExtent l="0" t="0" r="0" b="9525"/>
            <wp:docPr id="106" name="图片 24" descr="微信图片_2020051210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 descr="微信图片_20200512100802"/>
                    <pic:cNvPicPr>
                      <a:picLocks noChangeAspect="1"/>
                    </pic:cNvPicPr>
                  </pic:nvPicPr>
                  <pic:blipFill>
                    <a:blip r:embed="rId124"/>
                    <a:stretch>
                      <a:fillRect/>
                    </a:stretch>
                  </pic:blipFill>
                  <pic:spPr>
                    <a:xfrm>
                      <a:off x="0" y="0"/>
                      <a:ext cx="2400300" cy="1800225"/>
                    </a:xfrm>
                    <a:prstGeom prst="rect">
                      <a:avLst/>
                    </a:prstGeom>
                    <a:noFill/>
                    <a:ln>
                      <a:noFill/>
                    </a:ln>
                  </pic:spPr>
                </pic:pic>
              </a:graphicData>
            </a:graphic>
          </wp:inline>
        </w:drawing>
      </w:r>
    </w:p>
    <w:p>
      <w:pPr>
        <w:ind w:firstLine="1790" w:firstLineChars="849"/>
      </w:pPr>
      <w:r>
        <w:rPr>
          <w:rFonts w:hint="eastAsia"/>
          <w:b/>
          <w:szCs w:val="21"/>
        </w:rPr>
        <w:t xml:space="preserve">消防沙池 </w:t>
      </w:r>
      <w:r>
        <w:rPr>
          <w:b/>
          <w:szCs w:val="21"/>
        </w:rPr>
        <w:t xml:space="preserve">                               </w:t>
      </w:r>
      <w:r>
        <w:rPr>
          <w:rFonts w:hint="eastAsia"/>
          <w:b/>
          <w:szCs w:val="21"/>
        </w:rPr>
        <w:t>5000</w:t>
      </w:r>
      <w:r>
        <w:rPr>
          <w:b/>
          <w:szCs w:val="21"/>
        </w:rPr>
        <w:t>m</w:t>
      </w:r>
      <w:r>
        <w:rPr>
          <w:b/>
          <w:szCs w:val="21"/>
          <w:vertAlign w:val="superscript"/>
        </w:rPr>
        <w:t>3</w:t>
      </w:r>
      <w:r>
        <w:rPr>
          <w:rFonts w:hint="eastAsia"/>
          <w:b/>
          <w:szCs w:val="21"/>
        </w:rPr>
        <w:t>事故池（地下）</w:t>
      </w:r>
    </w:p>
    <w:p>
      <w:pPr>
        <w:ind w:firstLine="420" w:firstLineChars="200"/>
      </w:pPr>
      <w:r>
        <w:drawing>
          <wp:inline distT="0" distB="0" distL="114300" distR="114300">
            <wp:extent cx="2400300" cy="1800225"/>
            <wp:effectExtent l="0" t="0" r="0" b="9525"/>
            <wp:docPr id="101" name="图片 25" descr="微信图片_202005121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descr="微信图片_20200512100958"/>
                    <pic:cNvPicPr>
                      <a:picLocks noChangeAspect="1"/>
                    </pic:cNvPicPr>
                  </pic:nvPicPr>
                  <pic:blipFill>
                    <a:blip r:embed="rId125"/>
                    <a:stretch>
                      <a:fillRect/>
                    </a:stretch>
                  </pic:blipFill>
                  <pic:spPr>
                    <a:xfrm>
                      <a:off x="0" y="0"/>
                      <a:ext cx="2400300" cy="180022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400300" cy="1800225"/>
            <wp:effectExtent l="0" t="0" r="0" b="9525"/>
            <wp:docPr id="102" name="图片 26" descr="微信图片_2020051210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6" descr="微信图片_20200512100814"/>
                    <pic:cNvPicPr>
                      <a:picLocks noChangeAspect="1"/>
                    </pic:cNvPicPr>
                  </pic:nvPicPr>
                  <pic:blipFill>
                    <a:blip r:embed="rId126"/>
                    <a:stretch>
                      <a:fillRect/>
                    </a:stretch>
                  </pic:blipFill>
                  <pic:spPr>
                    <a:xfrm>
                      <a:off x="0" y="0"/>
                      <a:ext cx="2400300" cy="1800225"/>
                    </a:xfrm>
                    <a:prstGeom prst="rect">
                      <a:avLst/>
                    </a:prstGeom>
                    <a:noFill/>
                    <a:ln>
                      <a:noFill/>
                    </a:ln>
                  </pic:spPr>
                </pic:pic>
              </a:graphicData>
            </a:graphic>
          </wp:inline>
        </w:drawing>
      </w:r>
    </w:p>
    <w:p>
      <w:pPr>
        <w:ind w:firstLine="1054" w:firstLineChars="500"/>
        <w:rPr>
          <w:b/>
          <w:szCs w:val="21"/>
        </w:rPr>
      </w:pPr>
      <w:r>
        <w:rPr>
          <w:rFonts w:hint="eastAsia"/>
          <w:b/>
          <w:szCs w:val="21"/>
        </w:rPr>
        <w:t xml:space="preserve">可燃、有毒气体探头装置 </w:t>
      </w:r>
      <w:r>
        <w:rPr>
          <w:b/>
          <w:szCs w:val="21"/>
        </w:rPr>
        <w:t xml:space="preserve">                           </w:t>
      </w:r>
      <w:r>
        <w:rPr>
          <w:rFonts w:hint="eastAsia"/>
          <w:b/>
          <w:szCs w:val="21"/>
        </w:rPr>
        <w:t>2000</w:t>
      </w:r>
      <w:r>
        <w:rPr>
          <w:b/>
          <w:szCs w:val="21"/>
        </w:rPr>
        <w:t>m</w:t>
      </w:r>
      <w:r>
        <w:rPr>
          <w:b/>
          <w:szCs w:val="21"/>
          <w:vertAlign w:val="superscript"/>
        </w:rPr>
        <w:t>3</w:t>
      </w:r>
      <w:r>
        <w:rPr>
          <w:rFonts w:hint="eastAsia"/>
          <w:b/>
          <w:szCs w:val="21"/>
        </w:rPr>
        <w:t>雨水收集池</w:t>
      </w:r>
    </w:p>
    <w:p>
      <w:pPr>
        <w:spacing w:line="520" w:lineRule="exact"/>
        <w:ind w:firstLine="480" w:firstLineChars="200"/>
        <w:jc w:val="center"/>
        <w:rPr>
          <w:rFonts w:hint="eastAsia" w:eastAsia="等线"/>
          <w:b/>
          <w:bCs/>
          <w:sz w:val="24"/>
        </w:rPr>
      </w:pPr>
      <w:r>
        <w:rPr>
          <w:rFonts w:eastAsia="等线"/>
          <w:b/>
          <w:bCs/>
          <w:sz w:val="24"/>
        </w:rPr>
        <w:t>图7.</w:t>
      </w:r>
      <w:r>
        <w:rPr>
          <w:rFonts w:hint="eastAsia" w:eastAsia="等线"/>
          <w:b/>
          <w:bCs/>
          <w:sz w:val="24"/>
        </w:rPr>
        <w:t>3</w:t>
      </w:r>
      <w:r>
        <w:rPr>
          <w:rFonts w:eastAsia="等线"/>
          <w:b/>
          <w:bCs/>
          <w:sz w:val="24"/>
        </w:rPr>
        <w:t>-</w:t>
      </w:r>
      <w:r>
        <w:rPr>
          <w:rFonts w:hint="eastAsia" w:eastAsia="等线"/>
          <w:b/>
          <w:bCs/>
          <w:sz w:val="24"/>
        </w:rPr>
        <w:t>1</w:t>
      </w:r>
      <w:r>
        <w:rPr>
          <w:rFonts w:eastAsia="等线"/>
          <w:b/>
          <w:bCs/>
          <w:sz w:val="24"/>
        </w:rPr>
        <w:t xml:space="preserve">     </w:t>
      </w:r>
      <w:r>
        <w:rPr>
          <w:rFonts w:hint="eastAsia" w:eastAsia="等线"/>
          <w:b/>
          <w:bCs/>
          <w:sz w:val="24"/>
        </w:rPr>
        <w:t>煤化工厂区风险防范措施</w:t>
      </w:r>
    </w:p>
    <w:p>
      <w:pPr>
        <w:rPr>
          <w:rFonts w:hint="eastAsia"/>
        </w:rPr>
      </w:pPr>
    </w:p>
    <w:p>
      <w:pPr>
        <w:pStyle w:val="5"/>
        <w:rPr>
          <w:szCs w:val="28"/>
        </w:rPr>
      </w:pPr>
      <w:r>
        <w:rPr>
          <w:szCs w:val="28"/>
        </w:rPr>
        <w:t>7.3.</w:t>
      </w:r>
      <w:r>
        <w:rPr>
          <w:rFonts w:hint="eastAsia"/>
          <w:szCs w:val="28"/>
        </w:rPr>
        <w:t>3</w:t>
      </w:r>
      <w:r>
        <w:rPr>
          <w:szCs w:val="28"/>
        </w:rPr>
        <w:t xml:space="preserve">  现有工程环境风险应急预案情况</w:t>
      </w:r>
    </w:p>
    <w:p>
      <w:pPr>
        <w:spacing w:line="520" w:lineRule="exact"/>
        <w:ind w:firstLine="560" w:firstLineChars="200"/>
        <w:jc w:val="left"/>
        <w:rPr>
          <w:b/>
          <w:bCs/>
          <w:spacing w:val="20"/>
          <w:kern w:val="10"/>
          <w:sz w:val="28"/>
          <w:szCs w:val="28"/>
        </w:rPr>
      </w:pPr>
      <w:r>
        <w:rPr>
          <w:sz w:val="28"/>
          <w:szCs w:val="28"/>
        </w:rPr>
        <w:t>河南省中原大化集团已按照《河南省环境保护厅关于印发&lt;河南省环境应急预案编制评估现场监察指南和备案管理办法&gt;的通知》（豫环文[2013]75号）和《河南省环境风险源企业环境应急预案编制指南》（试行）要求，编制完成了《河南省中原大化集团有限责任公司突发环境事件应急预案》，组织了专家评审，并已在环境保护主管部门备案，在全厂范围内发布和实施。</w:t>
      </w:r>
    </w:p>
    <w:p>
      <w:pPr>
        <w:spacing w:line="520" w:lineRule="exact"/>
        <w:ind w:firstLine="560" w:firstLineChars="200"/>
        <w:jc w:val="left"/>
        <w:rPr>
          <w:b/>
          <w:bCs/>
          <w:spacing w:val="20"/>
          <w:kern w:val="10"/>
          <w:sz w:val="28"/>
          <w:szCs w:val="28"/>
        </w:rPr>
      </w:pPr>
      <w:r>
        <w:rPr>
          <w:sz w:val="28"/>
          <w:szCs w:val="28"/>
        </w:rPr>
        <w:t>预案在对公司基本情况进行环境风险分析的基础上，制定了应急组织机构及其职责、预防与预警措施、应急响应与措施、后期处置措施、应急培训与演练措施、奖惩措施、应急保障措施，防止重大风险事故的发生。</w:t>
      </w:r>
    </w:p>
    <w:p>
      <w:pPr>
        <w:pStyle w:val="5"/>
        <w:rPr>
          <w:szCs w:val="28"/>
        </w:rPr>
      </w:pPr>
      <w:r>
        <w:rPr>
          <w:szCs w:val="28"/>
        </w:rPr>
        <w:t>7.3.</w:t>
      </w:r>
      <w:r>
        <w:rPr>
          <w:rFonts w:hint="eastAsia"/>
          <w:szCs w:val="28"/>
        </w:rPr>
        <w:t>4</w:t>
      </w:r>
      <w:r>
        <w:rPr>
          <w:szCs w:val="28"/>
        </w:rPr>
        <w:t xml:space="preserve">  现有工程环境风险防范及应急措施存在的问题</w:t>
      </w:r>
    </w:p>
    <w:p>
      <w:pPr>
        <w:spacing w:line="520" w:lineRule="exact"/>
        <w:ind w:firstLine="560" w:firstLineChars="200"/>
        <w:jc w:val="left"/>
        <w:rPr>
          <w:rFonts w:hint="eastAsia"/>
          <w:sz w:val="28"/>
          <w:szCs w:val="28"/>
        </w:rPr>
      </w:pPr>
      <w:r>
        <w:rPr>
          <w:rFonts w:hint="eastAsia"/>
          <w:sz w:val="28"/>
          <w:szCs w:val="28"/>
        </w:rPr>
        <w:t>根据调查及分析，目前中原大化公司</w:t>
      </w:r>
      <w:r>
        <w:rPr>
          <w:sz w:val="28"/>
          <w:szCs w:val="28"/>
        </w:rPr>
        <w:t>现有工程环境风险防范及应急措施存在问题主要</w:t>
      </w:r>
      <w:r>
        <w:rPr>
          <w:rFonts w:hint="eastAsia"/>
          <w:sz w:val="28"/>
          <w:szCs w:val="28"/>
        </w:rPr>
        <w:t>是环境应急资源方面未签订应急救援协议或互救协议，建议企业与相关组织和周边企业签订相关协议，确保应急资源到位。</w:t>
      </w:r>
    </w:p>
    <w:p>
      <w:pPr>
        <w:pStyle w:val="4"/>
        <w:numPr>
          <w:ilvl w:val="1"/>
          <w:numId w:val="0"/>
        </w:numPr>
        <w:spacing w:before="0" w:after="0"/>
      </w:pPr>
      <w:bookmarkStart w:id="247" w:name="_Toc32125"/>
      <w:bookmarkStart w:id="248" w:name="_Toc20126"/>
      <w:r>
        <w:t>7.</w:t>
      </w:r>
      <w:r>
        <w:rPr>
          <w:rFonts w:hint="eastAsia"/>
        </w:rPr>
        <w:t>4</w:t>
      </w:r>
      <w:r>
        <w:t xml:space="preserve">  风险</w:t>
      </w:r>
      <w:bookmarkEnd w:id="247"/>
      <w:bookmarkEnd w:id="248"/>
      <w:r>
        <w:rPr>
          <w:rFonts w:hint="eastAsia"/>
        </w:rPr>
        <w:t>调查</w:t>
      </w:r>
    </w:p>
    <w:p>
      <w:pPr>
        <w:pStyle w:val="31"/>
      </w:pPr>
      <w:r>
        <w:t>7.</w:t>
      </w:r>
      <w:r>
        <w:rPr>
          <w:rFonts w:hint="eastAsia"/>
        </w:rPr>
        <w:t>4</w:t>
      </w:r>
      <w:r>
        <w:t>.1  风险源调查</w:t>
      </w:r>
    </w:p>
    <w:p>
      <w:pPr>
        <w:pStyle w:val="29"/>
        <w:outlineLvl w:val="3"/>
      </w:pPr>
      <w:r>
        <w:t>7.</w:t>
      </w:r>
      <w:r>
        <w:rPr>
          <w:rFonts w:hint="eastAsia"/>
        </w:rPr>
        <w:t>4</w:t>
      </w:r>
      <w:r>
        <w:t>.1.1  危险物质分布及数量</w:t>
      </w:r>
    </w:p>
    <w:p>
      <w:pPr>
        <w:pStyle w:val="27"/>
        <w:ind w:firstLine="560"/>
        <w:rPr>
          <w:szCs w:val="28"/>
        </w:rPr>
      </w:pPr>
      <w:r>
        <w:rPr>
          <w:szCs w:val="28"/>
        </w:rPr>
        <w:t>根据项目生产工艺流程和污染物产生等情况，厂区内危险物质主要分布于</w:t>
      </w:r>
      <w:r>
        <w:rPr>
          <w:rFonts w:hint="eastAsia"/>
          <w:szCs w:val="28"/>
        </w:rPr>
        <w:t>乙二醇合成装置区、乙二醇精馏装置区；项目含醇废水产生量较小，且依托3</w:t>
      </w:r>
      <w:r>
        <w:rPr>
          <w:szCs w:val="28"/>
        </w:rPr>
        <w:t>0</w:t>
      </w:r>
      <w:r>
        <w:rPr>
          <w:rFonts w:hint="eastAsia"/>
          <w:szCs w:val="28"/>
        </w:rPr>
        <w:t>万吨甲醇项目污水</w:t>
      </w:r>
      <w:r>
        <w:rPr>
          <w:szCs w:val="28"/>
        </w:rPr>
        <w:t>处理站</w:t>
      </w:r>
      <w:r>
        <w:rPr>
          <w:rFonts w:hint="eastAsia"/>
          <w:szCs w:val="28"/>
        </w:rPr>
        <w:t>处理，危险废物主要是废催化剂、废活性炭和废润滑油，依托现有3</w:t>
      </w:r>
      <w:r>
        <w:rPr>
          <w:szCs w:val="28"/>
        </w:rPr>
        <w:t>0</w:t>
      </w:r>
      <w:r>
        <w:rPr>
          <w:rFonts w:hint="eastAsia"/>
          <w:szCs w:val="28"/>
        </w:rPr>
        <w:t>万吨甲醇项目危废</w:t>
      </w:r>
      <w:r>
        <w:rPr>
          <w:szCs w:val="28"/>
        </w:rPr>
        <w:t>暂存间</w:t>
      </w:r>
      <w:r>
        <w:rPr>
          <w:rFonts w:hint="eastAsia"/>
          <w:szCs w:val="28"/>
        </w:rPr>
        <w:t>，废催化剂</w:t>
      </w:r>
      <w:r>
        <w:rPr>
          <w:szCs w:val="28"/>
        </w:rPr>
        <w:t>的更换由协议单位直接现场操作，更换的废催化剂直接装车运走，不在</w:t>
      </w:r>
      <w:r>
        <w:rPr>
          <w:rFonts w:hint="eastAsia"/>
          <w:szCs w:val="28"/>
        </w:rPr>
        <w:t>厂区</w:t>
      </w:r>
      <w:r>
        <w:rPr>
          <w:szCs w:val="28"/>
        </w:rPr>
        <w:t>内暂存；</w:t>
      </w:r>
      <w:r>
        <w:rPr>
          <w:rFonts w:hint="eastAsia"/>
          <w:szCs w:val="28"/>
        </w:rPr>
        <w:t>废活性炭和废润滑油</w:t>
      </w:r>
      <w:r>
        <w:rPr>
          <w:szCs w:val="28"/>
        </w:rPr>
        <w:t>产生量很少，</w:t>
      </w:r>
      <w:r>
        <w:rPr>
          <w:rFonts w:hint="eastAsia"/>
          <w:szCs w:val="28"/>
        </w:rPr>
        <w:t>暂存周期短，此次不再列为危险单元分析。</w:t>
      </w:r>
    </w:p>
    <w:p>
      <w:pPr>
        <w:pStyle w:val="27"/>
        <w:ind w:firstLine="560"/>
        <w:rPr>
          <w:rFonts w:hint="eastAsia"/>
          <w:szCs w:val="28"/>
        </w:rPr>
      </w:pPr>
      <w:r>
        <w:rPr>
          <w:szCs w:val="28"/>
        </w:rPr>
        <w:t>主要危险物质具体部分及储存情况见表7.</w:t>
      </w:r>
      <w:r>
        <w:rPr>
          <w:rFonts w:hint="eastAsia"/>
          <w:szCs w:val="28"/>
        </w:rPr>
        <w:t>4</w:t>
      </w:r>
      <w:r>
        <w:rPr>
          <w:szCs w:val="28"/>
        </w:rPr>
        <w:t>-1，项目生产过程中产生的危险废物情况见表7.</w:t>
      </w:r>
      <w:r>
        <w:rPr>
          <w:rFonts w:hint="eastAsia"/>
          <w:szCs w:val="28"/>
        </w:rPr>
        <w:t>4</w:t>
      </w:r>
      <w:r>
        <w:rPr>
          <w:szCs w:val="28"/>
        </w:rPr>
        <w:t>-2。</w:t>
      </w:r>
    </w:p>
    <w:p>
      <w:pPr>
        <w:pStyle w:val="32"/>
        <w:tabs>
          <w:tab w:val="clear" w:pos="900"/>
        </w:tabs>
        <w:ind w:firstLine="679" w:firstLineChars="282"/>
      </w:pPr>
      <w:r>
        <w:t>表7.</w:t>
      </w:r>
      <w:r>
        <w:rPr>
          <w:rFonts w:hint="eastAsia"/>
        </w:rPr>
        <w:t>4</w:t>
      </w:r>
      <w:r>
        <w:t>-1                  项目危险物质情况一览表</w:t>
      </w:r>
    </w:p>
    <w:p>
      <w:pPr>
        <w:pStyle w:val="32"/>
        <w:tabs>
          <w:tab w:val="clear" w:pos="900"/>
        </w:tabs>
        <w:ind w:firstLine="679" w:firstLineChars="282"/>
        <w:rPr>
          <w:rFonts w:hint="eastAsia" w:eastAsia="黑体"/>
          <w:lang w:eastAsia="zh-CN"/>
        </w:rPr>
      </w:pPr>
      <w:r>
        <w:rPr>
          <w:rFonts w:hint="eastAsia"/>
          <w:lang w:eastAsia="zh-CN"/>
        </w:rPr>
        <w:t>（涉及商业机密未列出）</w:t>
      </w:r>
    </w:p>
    <w:p>
      <w:pPr>
        <w:pStyle w:val="32"/>
        <w:tabs>
          <w:tab w:val="clear" w:pos="900"/>
        </w:tabs>
        <w:ind w:firstLine="679" w:firstLineChars="282"/>
      </w:pPr>
      <w:r>
        <w:t>表7.</w:t>
      </w:r>
      <w:r>
        <w:rPr>
          <w:rFonts w:hint="eastAsia"/>
        </w:rPr>
        <w:t>4</w:t>
      </w:r>
      <w:r>
        <w:t>-2                  项目危险废物情况一览表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374"/>
        <w:gridCol w:w="1283"/>
        <w:gridCol w:w="1560"/>
        <w:gridCol w:w="1844"/>
        <w:gridCol w:w="1560"/>
        <w:gridCol w:w="1553"/>
      </w:tblGrid>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tblHeader/>
        </w:trPr>
        <w:tc>
          <w:tcPr>
            <w:tcW w:w="749" w:type="pct"/>
            <w:noWrap w:val="0"/>
            <w:vAlign w:val="center"/>
          </w:tcPr>
          <w:p>
            <w:pPr>
              <w:widowControl/>
              <w:spacing w:line="260" w:lineRule="exact"/>
              <w:jc w:val="center"/>
              <w:rPr>
                <w:b/>
                <w:bCs/>
                <w:kern w:val="0"/>
                <w:szCs w:val="21"/>
              </w:rPr>
            </w:pPr>
            <w:r>
              <w:rPr>
                <w:b/>
                <w:bCs/>
                <w:kern w:val="0"/>
                <w:szCs w:val="21"/>
              </w:rPr>
              <w:t>固废名称</w:t>
            </w:r>
          </w:p>
        </w:tc>
        <w:tc>
          <w:tcPr>
            <w:tcW w:w="699" w:type="pct"/>
            <w:noWrap w:val="0"/>
            <w:vAlign w:val="center"/>
          </w:tcPr>
          <w:p>
            <w:pPr>
              <w:widowControl/>
              <w:spacing w:line="260" w:lineRule="exact"/>
              <w:jc w:val="center"/>
              <w:rPr>
                <w:b/>
                <w:bCs/>
                <w:kern w:val="0"/>
                <w:szCs w:val="21"/>
              </w:rPr>
            </w:pPr>
            <w:r>
              <w:rPr>
                <w:b/>
                <w:bCs/>
                <w:kern w:val="0"/>
                <w:szCs w:val="21"/>
              </w:rPr>
              <w:t>固废类别</w:t>
            </w:r>
          </w:p>
        </w:tc>
        <w:tc>
          <w:tcPr>
            <w:tcW w:w="850" w:type="pct"/>
            <w:noWrap w:val="0"/>
            <w:vAlign w:val="center"/>
          </w:tcPr>
          <w:p>
            <w:pPr>
              <w:widowControl/>
              <w:spacing w:line="260" w:lineRule="exact"/>
              <w:jc w:val="center"/>
              <w:rPr>
                <w:b/>
                <w:bCs/>
                <w:kern w:val="0"/>
                <w:szCs w:val="21"/>
              </w:rPr>
            </w:pPr>
            <w:r>
              <w:rPr>
                <w:b/>
                <w:bCs/>
                <w:kern w:val="0"/>
                <w:szCs w:val="21"/>
              </w:rPr>
              <w:t>危险废物代码</w:t>
            </w:r>
          </w:p>
        </w:tc>
        <w:tc>
          <w:tcPr>
            <w:tcW w:w="1005" w:type="pct"/>
            <w:noWrap w:val="0"/>
            <w:vAlign w:val="center"/>
          </w:tcPr>
          <w:p>
            <w:pPr>
              <w:widowControl/>
              <w:spacing w:line="260" w:lineRule="exact"/>
              <w:jc w:val="center"/>
              <w:rPr>
                <w:b/>
                <w:bCs/>
                <w:kern w:val="0"/>
                <w:szCs w:val="21"/>
              </w:rPr>
            </w:pPr>
            <w:r>
              <w:rPr>
                <w:b/>
                <w:bCs/>
                <w:kern w:val="0"/>
                <w:szCs w:val="21"/>
              </w:rPr>
              <w:t>暂存周期内</w:t>
            </w:r>
          </w:p>
          <w:p>
            <w:pPr>
              <w:widowControl/>
              <w:spacing w:line="260" w:lineRule="exact"/>
              <w:jc w:val="center"/>
              <w:rPr>
                <w:b/>
                <w:bCs/>
                <w:kern w:val="0"/>
                <w:szCs w:val="21"/>
              </w:rPr>
            </w:pPr>
            <w:r>
              <w:rPr>
                <w:b/>
                <w:bCs/>
                <w:kern w:val="0"/>
                <w:szCs w:val="21"/>
              </w:rPr>
              <w:t>暂存量 t</w:t>
            </w:r>
          </w:p>
        </w:tc>
        <w:tc>
          <w:tcPr>
            <w:tcW w:w="850" w:type="pct"/>
            <w:noWrap w:val="0"/>
            <w:vAlign w:val="center"/>
          </w:tcPr>
          <w:p>
            <w:pPr>
              <w:widowControl/>
              <w:spacing w:line="260" w:lineRule="exact"/>
              <w:jc w:val="center"/>
              <w:rPr>
                <w:rFonts w:hint="eastAsia"/>
                <w:b/>
                <w:bCs/>
                <w:kern w:val="0"/>
                <w:szCs w:val="21"/>
              </w:rPr>
            </w:pPr>
            <w:r>
              <w:rPr>
                <w:rFonts w:hint="eastAsia"/>
                <w:b/>
                <w:bCs/>
                <w:kern w:val="0"/>
                <w:szCs w:val="21"/>
              </w:rPr>
              <w:t>产生环节</w:t>
            </w:r>
          </w:p>
        </w:tc>
        <w:tc>
          <w:tcPr>
            <w:tcW w:w="846" w:type="pct"/>
            <w:noWrap w:val="0"/>
            <w:vAlign w:val="center"/>
          </w:tcPr>
          <w:p>
            <w:pPr>
              <w:widowControl/>
              <w:spacing w:line="260" w:lineRule="exact"/>
              <w:jc w:val="center"/>
              <w:rPr>
                <w:b/>
                <w:bCs/>
                <w:kern w:val="0"/>
                <w:szCs w:val="21"/>
              </w:rPr>
            </w:pPr>
            <w:r>
              <w:rPr>
                <w:b/>
                <w:bCs/>
                <w:kern w:val="0"/>
                <w:szCs w:val="21"/>
              </w:rPr>
              <w:t>污染治理措施</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749" w:type="pct"/>
            <w:noWrap w:val="0"/>
            <w:vAlign w:val="center"/>
          </w:tcPr>
          <w:p>
            <w:pPr>
              <w:widowControl/>
              <w:spacing w:line="260" w:lineRule="exact"/>
              <w:jc w:val="center"/>
              <w:rPr>
                <w:kern w:val="0"/>
                <w:szCs w:val="21"/>
              </w:rPr>
            </w:pPr>
            <w:r>
              <w:rPr>
                <w:kern w:val="0"/>
                <w:szCs w:val="21"/>
              </w:rPr>
              <w:t>废催化剂</w:t>
            </w:r>
          </w:p>
        </w:tc>
        <w:tc>
          <w:tcPr>
            <w:tcW w:w="699" w:type="pct"/>
            <w:noWrap w:val="0"/>
            <w:vAlign w:val="center"/>
          </w:tcPr>
          <w:p>
            <w:pPr>
              <w:widowControl/>
              <w:spacing w:line="260" w:lineRule="exact"/>
              <w:jc w:val="center"/>
              <w:rPr>
                <w:kern w:val="0"/>
                <w:szCs w:val="21"/>
              </w:rPr>
            </w:pPr>
            <w:r>
              <w:rPr>
                <w:rFonts w:hint="eastAsia"/>
                <w:kern w:val="0"/>
                <w:szCs w:val="21"/>
              </w:rPr>
              <w:t>危险固废</w:t>
            </w:r>
          </w:p>
        </w:tc>
        <w:tc>
          <w:tcPr>
            <w:tcW w:w="850" w:type="pct"/>
            <w:noWrap w:val="0"/>
            <w:vAlign w:val="center"/>
          </w:tcPr>
          <w:p>
            <w:pPr>
              <w:widowControl/>
              <w:jc w:val="center"/>
              <w:rPr>
                <w:kern w:val="0"/>
                <w:szCs w:val="21"/>
              </w:rPr>
            </w:pPr>
            <w:r>
              <w:rPr>
                <w:kern w:val="0"/>
                <w:szCs w:val="21"/>
              </w:rPr>
              <w:t>HW900-037-46</w:t>
            </w:r>
          </w:p>
        </w:tc>
        <w:tc>
          <w:tcPr>
            <w:tcW w:w="1005" w:type="pct"/>
            <w:noWrap w:val="0"/>
            <w:vAlign w:val="center"/>
          </w:tcPr>
          <w:p>
            <w:pPr>
              <w:jc w:val="center"/>
              <w:rPr>
                <w:szCs w:val="21"/>
              </w:rPr>
            </w:pPr>
            <w:r>
              <w:rPr>
                <w:rFonts w:hint="eastAsia"/>
                <w:szCs w:val="21"/>
              </w:rPr>
              <w:t>/</w:t>
            </w:r>
          </w:p>
          <w:p>
            <w:pPr>
              <w:jc w:val="center"/>
              <w:rPr>
                <w:szCs w:val="21"/>
              </w:rPr>
            </w:pPr>
            <w:r>
              <w:rPr>
                <w:rFonts w:hint="eastAsia"/>
                <w:szCs w:val="21"/>
              </w:rPr>
              <w:t>（场内不暂存）</w:t>
            </w:r>
          </w:p>
        </w:tc>
        <w:tc>
          <w:tcPr>
            <w:tcW w:w="850" w:type="pct"/>
            <w:noWrap w:val="0"/>
            <w:vAlign w:val="center"/>
          </w:tcPr>
          <w:p>
            <w:pPr>
              <w:widowControl/>
              <w:spacing w:line="260" w:lineRule="exact"/>
              <w:jc w:val="center"/>
              <w:rPr>
                <w:kern w:val="0"/>
                <w:szCs w:val="21"/>
              </w:rPr>
            </w:pPr>
            <w:r>
              <w:rPr>
                <w:rFonts w:hint="eastAsia"/>
                <w:kern w:val="0"/>
                <w:szCs w:val="21"/>
              </w:rPr>
              <w:t>合成反应釜</w:t>
            </w:r>
          </w:p>
        </w:tc>
        <w:tc>
          <w:tcPr>
            <w:tcW w:w="846" w:type="pct"/>
            <w:noWrap w:val="0"/>
            <w:vAlign w:val="center"/>
          </w:tcPr>
          <w:p>
            <w:pPr>
              <w:widowControl/>
              <w:spacing w:line="260" w:lineRule="exact"/>
              <w:jc w:val="center"/>
              <w:rPr>
                <w:rFonts w:hint="eastAsia"/>
                <w:kern w:val="0"/>
                <w:szCs w:val="21"/>
              </w:rPr>
            </w:pPr>
            <w:r>
              <w:rPr>
                <w:rFonts w:hint="eastAsia"/>
                <w:kern w:val="0"/>
                <w:szCs w:val="21"/>
              </w:rPr>
              <w:t>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749" w:type="pct"/>
            <w:noWrap w:val="0"/>
            <w:vAlign w:val="center"/>
          </w:tcPr>
          <w:p>
            <w:pPr>
              <w:widowControl/>
              <w:spacing w:line="260" w:lineRule="exact"/>
              <w:jc w:val="center"/>
              <w:rPr>
                <w:rFonts w:hint="eastAsia"/>
                <w:kern w:val="0"/>
                <w:szCs w:val="21"/>
              </w:rPr>
            </w:pPr>
            <w:r>
              <w:rPr>
                <w:rFonts w:hint="eastAsia"/>
                <w:kern w:val="0"/>
                <w:szCs w:val="21"/>
              </w:rPr>
              <w:t>废活性炭</w:t>
            </w:r>
          </w:p>
        </w:tc>
        <w:tc>
          <w:tcPr>
            <w:tcW w:w="699" w:type="pct"/>
            <w:noWrap w:val="0"/>
            <w:vAlign w:val="center"/>
          </w:tcPr>
          <w:p>
            <w:pPr>
              <w:widowControl/>
              <w:spacing w:line="260" w:lineRule="exact"/>
              <w:jc w:val="center"/>
              <w:rPr>
                <w:rFonts w:hint="eastAsia"/>
                <w:kern w:val="0"/>
                <w:szCs w:val="21"/>
              </w:rPr>
            </w:pPr>
            <w:r>
              <w:rPr>
                <w:rFonts w:hint="eastAsia"/>
                <w:kern w:val="0"/>
                <w:szCs w:val="21"/>
              </w:rPr>
              <w:t>危险固废</w:t>
            </w:r>
          </w:p>
        </w:tc>
        <w:tc>
          <w:tcPr>
            <w:tcW w:w="850" w:type="pct"/>
            <w:noWrap w:val="0"/>
            <w:vAlign w:val="center"/>
          </w:tcPr>
          <w:p>
            <w:pPr>
              <w:widowControl/>
              <w:jc w:val="center"/>
              <w:rPr>
                <w:kern w:val="0"/>
                <w:szCs w:val="21"/>
              </w:rPr>
            </w:pPr>
            <w:r>
              <w:rPr>
                <w:kern w:val="0"/>
                <w:szCs w:val="21"/>
              </w:rPr>
              <w:t>HW900-039-49</w:t>
            </w:r>
          </w:p>
        </w:tc>
        <w:tc>
          <w:tcPr>
            <w:tcW w:w="1005" w:type="pct"/>
            <w:noWrap w:val="0"/>
            <w:vAlign w:val="center"/>
          </w:tcPr>
          <w:p>
            <w:pPr>
              <w:jc w:val="center"/>
              <w:rPr>
                <w:szCs w:val="21"/>
              </w:rPr>
            </w:pPr>
            <w:r>
              <w:rPr>
                <w:szCs w:val="21"/>
              </w:rPr>
              <w:t>0.025t/</w:t>
            </w:r>
            <w:r>
              <w:rPr>
                <w:rFonts w:hint="eastAsia"/>
                <w:szCs w:val="21"/>
              </w:rPr>
              <w:t>月</w:t>
            </w:r>
          </w:p>
        </w:tc>
        <w:tc>
          <w:tcPr>
            <w:tcW w:w="850" w:type="pct"/>
            <w:noWrap w:val="0"/>
            <w:vAlign w:val="center"/>
          </w:tcPr>
          <w:p>
            <w:pPr>
              <w:widowControl/>
              <w:spacing w:line="260" w:lineRule="exact"/>
              <w:jc w:val="center"/>
              <w:rPr>
                <w:rFonts w:hint="eastAsia"/>
                <w:kern w:val="0"/>
                <w:szCs w:val="21"/>
              </w:rPr>
            </w:pPr>
            <w:r>
              <w:rPr>
                <w:rFonts w:hint="eastAsia"/>
                <w:kern w:val="0"/>
                <w:szCs w:val="21"/>
              </w:rPr>
              <w:t>活性炭吸附罐</w:t>
            </w:r>
          </w:p>
        </w:tc>
        <w:tc>
          <w:tcPr>
            <w:tcW w:w="846" w:type="pct"/>
            <w:noWrap w:val="0"/>
            <w:vAlign w:val="center"/>
          </w:tcPr>
          <w:p>
            <w:pPr>
              <w:widowControl/>
              <w:spacing w:line="260" w:lineRule="exact"/>
              <w:jc w:val="center"/>
              <w:rPr>
                <w:rFonts w:hint="eastAsia"/>
                <w:kern w:val="0"/>
                <w:szCs w:val="21"/>
              </w:rPr>
            </w:pPr>
            <w:r>
              <w:rPr>
                <w:rFonts w:hint="eastAsia"/>
                <w:kern w:val="0"/>
                <w:szCs w:val="21"/>
              </w:rPr>
              <w:t>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trPr>
        <w:tc>
          <w:tcPr>
            <w:tcW w:w="749" w:type="pct"/>
            <w:noWrap w:val="0"/>
            <w:vAlign w:val="center"/>
          </w:tcPr>
          <w:p>
            <w:pPr>
              <w:widowControl/>
              <w:spacing w:line="260" w:lineRule="exact"/>
              <w:jc w:val="center"/>
              <w:rPr>
                <w:rFonts w:hint="eastAsia"/>
                <w:kern w:val="0"/>
                <w:szCs w:val="21"/>
              </w:rPr>
            </w:pPr>
            <w:r>
              <w:rPr>
                <w:kern w:val="0"/>
                <w:szCs w:val="21"/>
              </w:rPr>
              <w:t>废</w:t>
            </w:r>
            <w:r>
              <w:rPr>
                <w:rFonts w:hint="eastAsia"/>
                <w:kern w:val="0"/>
                <w:szCs w:val="21"/>
              </w:rPr>
              <w:t>润滑油</w:t>
            </w:r>
          </w:p>
        </w:tc>
        <w:tc>
          <w:tcPr>
            <w:tcW w:w="699" w:type="pct"/>
            <w:noWrap w:val="0"/>
            <w:vAlign w:val="center"/>
          </w:tcPr>
          <w:p>
            <w:pPr>
              <w:widowControl/>
              <w:spacing w:line="260" w:lineRule="exact"/>
              <w:jc w:val="center"/>
              <w:rPr>
                <w:kern w:val="0"/>
                <w:szCs w:val="21"/>
              </w:rPr>
            </w:pPr>
            <w:r>
              <w:rPr>
                <w:rFonts w:hint="eastAsia"/>
                <w:kern w:val="0"/>
                <w:szCs w:val="21"/>
              </w:rPr>
              <w:t>危险固废</w:t>
            </w:r>
          </w:p>
        </w:tc>
        <w:tc>
          <w:tcPr>
            <w:tcW w:w="850" w:type="pct"/>
            <w:noWrap w:val="0"/>
            <w:vAlign w:val="center"/>
          </w:tcPr>
          <w:p>
            <w:pPr>
              <w:widowControl/>
              <w:jc w:val="center"/>
              <w:rPr>
                <w:bCs/>
                <w:szCs w:val="21"/>
              </w:rPr>
            </w:pPr>
            <w:r>
              <w:rPr>
                <w:bCs/>
                <w:szCs w:val="21"/>
              </w:rPr>
              <w:t>HW900-217-08</w:t>
            </w:r>
          </w:p>
        </w:tc>
        <w:tc>
          <w:tcPr>
            <w:tcW w:w="1005" w:type="pct"/>
            <w:noWrap w:val="0"/>
            <w:vAlign w:val="center"/>
          </w:tcPr>
          <w:p>
            <w:pPr>
              <w:jc w:val="center"/>
              <w:rPr>
                <w:rFonts w:hint="eastAsia"/>
                <w:szCs w:val="21"/>
              </w:rPr>
            </w:pPr>
            <w:r>
              <w:rPr>
                <w:szCs w:val="21"/>
              </w:rPr>
              <w:t>0.05</w:t>
            </w:r>
            <w:r>
              <w:rPr>
                <w:rFonts w:hint="eastAsia"/>
                <w:szCs w:val="21"/>
              </w:rPr>
              <w:t>t/月</w:t>
            </w:r>
          </w:p>
        </w:tc>
        <w:tc>
          <w:tcPr>
            <w:tcW w:w="850" w:type="pct"/>
            <w:noWrap w:val="0"/>
            <w:vAlign w:val="center"/>
          </w:tcPr>
          <w:p>
            <w:pPr>
              <w:widowControl/>
              <w:spacing w:line="260" w:lineRule="exact"/>
              <w:jc w:val="center"/>
              <w:rPr>
                <w:kern w:val="0"/>
                <w:szCs w:val="21"/>
              </w:rPr>
            </w:pPr>
            <w:r>
              <w:rPr>
                <w:rFonts w:hint="eastAsia"/>
                <w:kern w:val="0"/>
                <w:szCs w:val="21"/>
              </w:rPr>
              <w:t>设备润滑</w:t>
            </w:r>
          </w:p>
        </w:tc>
        <w:tc>
          <w:tcPr>
            <w:tcW w:w="846" w:type="pct"/>
            <w:noWrap w:val="0"/>
            <w:vAlign w:val="center"/>
          </w:tcPr>
          <w:p>
            <w:pPr>
              <w:widowControl/>
              <w:spacing w:line="260" w:lineRule="exact"/>
              <w:jc w:val="center"/>
              <w:rPr>
                <w:kern w:val="0"/>
                <w:szCs w:val="21"/>
              </w:rPr>
            </w:pPr>
            <w:r>
              <w:rPr>
                <w:rFonts w:hint="eastAsia"/>
                <w:kern w:val="0"/>
                <w:szCs w:val="21"/>
              </w:rPr>
              <w:t>有资质单位处理</w:t>
            </w:r>
          </w:p>
        </w:tc>
      </w:tr>
    </w:tbl>
    <w:p>
      <w:pPr>
        <w:pStyle w:val="29"/>
        <w:outlineLvl w:val="3"/>
      </w:pPr>
      <w:r>
        <w:t>7.</w:t>
      </w:r>
      <w:r>
        <w:rPr>
          <w:rFonts w:hint="eastAsia"/>
        </w:rPr>
        <w:t>4</w:t>
      </w:r>
      <w:r>
        <w:t>.1.2  危险物质资料</w:t>
      </w:r>
    </w:p>
    <w:p>
      <w:pPr>
        <w:spacing w:line="520" w:lineRule="exact"/>
        <w:ind w:firstLine="560" w:firstLineChars="200"/>
        <w:rPr>
          <w:rFonts w:hint="eastAsia"/>
          <w:sz w:val="28"/>
          <w:szCs w:val="28"/>
        </w:rPr>
      </w:pPr>
      <w:r>
        <w:rPr>
          <w:sz w:val="28"/>
          <w:szCs w:val="28"/>
        </w:rPr>
        <w:t>项目涉及的危险物质主要有</w:t>
      </w:r>
      <w:r>
        <w:rPr>
          <w:rFonts w:hint="eastAsia"/>
          <w:sz w:val="28"/>
          <w:szCs w:val="28"/>
        </w:rPr>
        <w:t>H</w:t>
      </w:r>
      <w:r>
        <w:rPr>
          <w:sz w:val="28"/>
          <w:szCs w:val="28"/>
          <w:vertAlign w:val="subscript"/>
        </w:rPr>
        <w:t>2</w:t>
      </w:r>
      <w:r>
        <w:rPr>
          <w:rFonts w:hint="eastAsia"/>
          <w:sz w:val="28"/>
          <w:szCs w:val="28"/>
        </w:rPr>
        <w:t>、乙二醇、1.2-丙二醇等，项目物质的</w:t>
      </w:r>
      <w:r>
        <w:rPr>
          <w:sz w:val="28"/>
          <w:szCs w:val="28"/>
        </w:rPr>
        <w:t>MSDS资料数据见表7.</w:t>
      </w:r>
      <w:r>
        <w:rPr>
          <w:rFonts w:hint="eastAsia"/>
          <w:sz w:val="28"/>
          <w:szCs w:val="28"/>
        </w:rPr>
        <w:t>4</w:t>
      </w:r>
      <w:r>
        <w:rPr>
          <w:sz w:val="28"/>
          <w:szCs w:val="28"/>
        </w:rPr>
        <w:t>-</w:t>
      </w:r>
      <w:r>
        <w:rPr>
          <w:rFonts w:hint="eastAsia"/>
          <w:sz w:val="28"/>
          <w:szCs w:val="28"/>
        </w:rPr>
        <w:t>3及章节附表</w:t>
      </w:r>
      <w:r>
        <w:rPr>
          <w:sz w:val="28"/>
          <w:szCs w:val="28"/>
        </w:rPr>
        <w:t>。</w:t>
      </w:r>
    </w:p>
    <w:p>
      <w:pPr>
        <w:spacing w:line="520" w:lineRule="exact"/>
        <w:ind w:firstLine="560" w:firstLineChars="200"/>
        <w:rPr>
          <w:sz w:val="28"/>
          <w:szCs w:val="28"/>
        </w:rPr>
        <w:sectPr>
          <w:headerReference r:id="rId14" w:type="default"/>
          <w:footerReference r:id="rId15" w:type="default"/>
          <w:pgSz w:w="11906" w:h="16838"/>
          <w:pgMar w:top="1474" w:right="1474" w:bottom="1474" w:left="1474" w:header="851" w:footer="1134" w:gutter="0"/>
          <w:pgNumType w:chapStyle="1"/>
          <w:cols w:space="720" w:num="1"/>
          <w:docGrid w:type="lines" w:linePitch="312" w:charSpace="0"/>
        </w:sectPr>
      </w:pPr>
    </w:p>
    <w:p>
      <w:pPr>
        <w:pStyle w:val="32"/>
        <w:tabs>
          <w:tab w:val="clear" w:pos="900"/>
        </w:tabs>
        <w:ind w:firstLine="679" w:firstLineChars="282"/>
      </w:pPr>
      <w:r>
        <w:t>表7.</w:t>
      </w:r>
      <w:r>
        <w:rPr>
          <w:rFonts w:hint="eastAsia"/>
        </w:rPr>
        <w:t>4-3</w:t>
      </w:r>
      <w:r>
        <w:t xml:space="preserve">                                主要化学品的MSDS资料</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2539"/>
        <w:gridCol w:w="3230"/>
        <w:gridCol w:w="3998"/>
        <w:gridCol w:w="30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55" w:type="pct"/>
            <w:gridSpan w:val="2"/>
            <w:tcBorders>
              <w:top w:val="single" w:color="auto" w:sz="8" w:space="0"/>
              <w:left w:val="nil"/>
              <w:bottom w:val="single" w:color="auto" w:sz="4" w:space="0"/>
              <w:tl2br w:val="single" w:color="auto" w:sz="4" w:space="0"/>
            </w:tcBorders>
            <w:noWrap w:val="0"/>
            <w:vAlign w:val="center"/>
          </w:tcPr>
          <w:p>
            <w:pPr>
              <w:snapToGrid w:val="0"/>
              <w:spacing w:line="320" w:lineRule="exact"/>
              <w:jc w:val="right"/>
              <w:rPr>
                <w:b/>
                <w:szCs w:val="21"/>
              </w:rPr>
            </w:pPr>
            <w:r>
              <w:rPr>
                <w:b/>
                <w:szCs w:val="21"/>
              </w:rPr>
              <mc:AlternateContent>
                <mc:Choice Requires="wps">
                  <w:drawing>
                    <wp:anchor distT="0" distB="0" distL="114300" distR="114300" simplePos="0" relativeHeight="251664384" behindDoc="0" locked="0" layoutInCell="0" allowOverlap="1">
                      <wp:simplePos x="0" y="0"/>
                      <wp:positionH relativeFrom="column">
                        <wp:posOffset>41910</wp:posOffset>
                      </wp:positionH>
                      <wp:positionV relativeFrom="paragraph">
                        <wp:posOffset>-5715</wp:posOffset>
                      </wp:positionV>
                      <wp:extent cx="9525" cy="9525"/>
                      <wp:effectExtent l="0" t="0" r="0" b="0"/>
                      <wp:wrapNone/>
                      <wp:docPr id="103" name="任意多边形 103"/>
                      <wp:cNvGraphicFramePr/>
                      <a:graphic xmlns:a="http://schemas.openxmlformats.org/drawingml/2006/main">
                        <a:graphicData uri="http://schemas.microsoft.com/office/word/2010/wordprocessingShape">
                          <wps:wsp>
                            <wps:cNvSpPr/>
                            <wps:spPr>
                              <a:xfrm>
                                <a:off x="0" y="0"/>
                                <a:ext cx="9525" cy="9525"/>
                              </a:xfrm>
                              <a:custGeom>
                                <a:avLst/>
                                <a:gdLst/>
                                <a:ahLst/>
                                <a:cxnLst/>
                                <a:pathLst>
                                  <a:path w="15" h="15">
                                    <a:moveTo>
                                      <a:pt x="15" y="15"/>
                                    </a:moveTo>
                                    <a:lnTo>
                                      <a:pt x="0"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3pt;margin-top:-0.45pt;height:0.75pt;width:0.75pt;z-index:251664384;mso-width-relative:page;mso-height-relative:page;" filled="f" stroked="t" coordsize="15,15" o:allowincell="f" o:gfxdata="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eNbHA9EAAAACAQAADwAAAAAAAAABACAAAAAiAAAAZHJzL2Rvd25yZXYueG1sUEsBAhQAFAAAAAgA&#10;h07iQNti0wwsAgAAigQAAA4AAAAAAAAAAQAgAAAAIAEAAGRycy9lMm9Eb2MueG1sUEsFBgAAAAAG&#10;AAYAWQEAAL4FAAAAAA==&#10;" path="m15,15l0,0e">
                      <v:fill on="f" focussize="0,0"/>
                      <v:stroke color="#000000" joinstyle="round"/>
                      <v:imagedata o:title=""/>
                      <o:lock v:ext="edit" aspectratio="f"/>
                    </v:shape>
                  </w:pict>
                </mc:Fallback>
              </mc:AlternateContent>
            </w:r>
            <w:r>
              <w:rPr>
                <w:b/>
                <w:szCs w:val="21"/>
              </w:rPr>
              <w:t>物质</w:t>
            </w:r>
          </w:p>
          <w:p>
            <w:pPr>
              <w:pStyle w:val="67"/>
              <w:spacing w:line="320" w:lineRule="exact"/>
              <w:rPr>
                <w:rFonts w:ascii="Times New Roman"/>
                <w:b/>
                <w:kern w:val="2"/>
                <w:szCs w:val="21"/>
                <w:lang w:val="en-US" w:eastAsia="zh-CN"/>
              </w:rPr>
            </w:pPr>
            <w:r>
              <w:rPr>
                <w:rFonts w:ascii="Times New Roman"/>
                <w:b/>
                <w:kern w:val="2"/>
                <w:szCs w:val="21"/>
                <w:lang w:val="en-US" w:eastAsia="zh-CN"/>
              </w:rPr>
              <w:t>类别</w:t>
            </w:r>
          </w:p>
        </w:tc>
        <w:tc>
          <w:tcPr>
            <w:tcW w:w="1145" w:type="pct"/>
            <w:tcBorders>
              <w:top w:val="single" w:color="auto" w:sz="8" w:space="0"/>
              <w:bottom w:val="single" w:color="auto" w:sz="4" w:space="0"/>
            </w:tcBorders>
            <w:noWrap w:val="0"/>
            <w:vAlign w:val="center"/>
          </w:tcPr>
          <w:p>
            <w:pPr>
              <w:snapToGrid w:val="0"/>
              <w:spacing w:line="320" w:lineRule="exact"/>
              <w:jc w:val="center"/>
              <w:rPr>
                <w:b/>
                <w:bCs/>
                <w:szCs w:val="21"/>
              </w:rPr>
            </w:pPr>
            <w:r>
              <w:rPr>
                <w:b/>
                <w:bCs/>
                <w:szCs w:val="21"/>
                <w:shd w:val="clear" w:color="auto" w:fill="FFFFFF"/>
              </w:rPr>
              <w:t>乙二醇</w:t>
            </w:r>
          </w:p>
        </w:tc>
        <w:tc>
          <w:tcPr>
            <w:tcW w:w="1417" w:type="pct"/>
            <w:tcBorders>
              <w:top w:val="single" w:color="auto" w:sz="8" w:space="0"/>
              <w:bottom w:val="single" w:color="auto" w:sz="4" w:space="0"/>
            </w:tcBorders>
            <w:noWrap w:val="0"/>
            <w:vAlign w:val="center"/>
          </w:tcPr>
          <w:p>
            <w:pPr>
              <w:snapToGrid w:val="0"/>
              <w:spacing w:line="320" w:lineRule="exact"/>
              <w:jc w:val="center"/>
              <w:rPr>
                <w:b/>
                <w:bCs/>
                <w:szCs w:val="21"/>
              </w:rPr>
            </w:pPr>
            <w:r>
              <w:rPr>
                <w:rFonts w:hint="eastAsia"/>
                <w:b/>
                <w:bCs/>
                <w:szCs w:val="21"/>
              </w:rPr>
              <w:t>1</w:t>
            </w:r>
            <w:r>
              <w:rPr>
                <w:b/>
                <w:bCs/>
                <w:szCs w:val="21"/>
              </w:rPr>
              <w:t>.2-丙二醇</w:t>
            </w:r>
          </w:p>
        </w:tc>
        <w:tc>
          <w:tcPr>
            <w:tcW w:w="1083" w:type="pct"/>
            <w:tcBorders>
              <w:top w:val="single" w:color="auto" w:sz="8" w:space="0"/>
              <w:bottom w:val="single" w:color="auto" w:sz="4" w:space="0"/>
              <w:right w:val="nil"/>
            </w:tcBorders>
            <w:noWrap w:val="0"/>
            <w:vAlign w:val="center"/>
          </w:tcPr>
          <w:p>
            <w:pPr>
              <w:snapToGrid w:val="0"/>
              <w:spacing w:line="320" w:lineRule="exact"/>
              <w:jc w:val="center"/>
              <w:rPr>
                <w:b/>
                <w:bCs/>
                <w:szCs w:val="21"/>
              </w:rPr>
            </w:pPr>
            <w:r>
              <w:rPr>
                <w:b/>
                <w:bCs/>
                <w:szCs w:val="21"/>
              </w:rPr>
              <w:t>H</w:t>
            </w:r>
            <w:r>
              <w:rPr>
                <w:b/>
                <w:bCs/>
                <w:szCs w:val="21"/>
                <w:vertAlign w:val="sub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restart"/>
            <w:tcBorders>
              <w:top w:val="single" w:color="auto" w:sz="4" w:space="0"/>
              <w:left w:val="nil"/>
              <w:bottom w:val="single" w:color="auto" w:sz="4" w:space="0"/>
            </w:tcBorders>
            <w:noWrap w:val="0"/>
            <w:textDirection w:val="tbRlV"/>
            <w:vAlign w:val="center"/>
          </w:tcPr>
          <w:p>
            <w:pPr>
              <w:snapToGrid w:val="0"/>
              <w:spacing w:line="320" w:lineRule="exact"/>
              <w:ind w:left="113" w:right="113"/>
              <w:jc w:val="center"/>
              <w:rPr>
                <w:szCs w:val="21"/>
              </w:rPr>
            </w:pPr>
            <w:r>
              <w:rPr>
                <w:szCs w:val="21"/>
              </w:rPr>
              <w:t>物  化  性  质</w:t>
            </w: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外观</w:t>
            </w:r>
          </w:p>
        </w:tc>
        <w:tc>
          <w:tcPr>
            <w:tcW w:w="1145" w:type="pct"/>
            <w:tcBorders>
              <w:top w:val="single" w:color="auto" w:sz="4" w:space="0"/>
              <w:bottom w:val="single" w:color="auto" w:sz="4" w:space="0"/>
            </w:tcBorders>
            <w:noWrap w:val="0"/>
            <w:vAlign w:val="center"/>
          </w:tcPr>
          <w:p>
            <w:pPr>
              <w:snapToGrid w:val="0"/>
              <w:spacing w:line="320" w:lineRule="exact"/>
              <w:ind w:left="-138" w:right="-159"/>
              <w:jc w:val="center"/>
              <w:rPr>
                <w:szCs w:val="21"/>
              </w:rPr>
            </w:pPr>
            <w:r>
              <w:rPr>
                <w:szCs w:val="21"/>
                <w:shd w:val="clear" w:color="auto" w:fill="FFFFFF"/>
              </w:rPr>
              <w:t>无色、有甜味、粘稠液体</w:t>
            </w:r>
          </w:p>
        </w:tc>
        <w:tc>
          <w:tcPr>
            <w:tcW w:w="1417" w:type="pct"/>
            <w:tcBorders>
              <w:top w:val="single" w:color="auto" w:sz="4" w:space="0"/>
              <w:bottom w:val="single" w:color="auto" w:sz="4" w:space="0"/>
            </w:tcBorders>
            <w:noWrap w:val="0"/>
            <w:vAlign w:val="center"/>
          </w:tcPr>
          <w:p>
            <w:pPr>
              <w:snapToGrid w:val="0"/>
              <w:spacing w:line="320" w:lineRule="exact"/>
              <w:ind w:left="-138" w:right="-159"/>
              <w:jc w:val="center"/>
              <w:rPr>
                <w:szCs w:val="21"/>
              </w:rPr>
            </w:pPr>
            <w:r>
              <w:rPr>
                <w:szCs w:val="21"/>
                <w:shd w:val="clear" w:color="auto" w:fill="FFFFFF"/>
              </w:rPr>
              <w:t>无色黏稠稳定的吸水性液体</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无色无臭气体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分子量</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62.068</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76.09</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2.01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熔点(℃)</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-12.9</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-59</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-259.2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75"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沸点(℃)</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197.3</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188.2</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-252.8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密度</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1.1135 g/cm³</w:t>
            </w:r>
            <w:r>
              <w:rPr>
                <w:kern w:val="0"/>
                <w:szCs w:val="21"/>
              </w:rPr>
              <w:t>（20℃）</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1.0381g/cm³</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0.089g/L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饱和蒸气压（kPa）</w:t>
            </w:r>
          </w:p>
        </w:tc>
        <w:tc>
          <w:tcPr>
            <w:tcW w:w="1145" w:type="pct"/>
            <w:tcBorders>
              <w:top w:val="single" w:color="auto" w:sz="4" w:space="0"/>
              <w:bottom w:val="single" w:color="auto" w:sz="4" w:space="0"/>
            </w:tcBorders>
            <w:noWrap w:val="0"/>
            <w:vAlign w:val="center"/>
          </w:tcPr>
          <w:p>
            <w:pPr>
              <w:widowControl/>
              <w:jc w:val="center"/>
              <w:rPr>
                <w:kern w:val="0"/>
                <w:szCs w:val="21"/>
              </w:rPr>
            </w:pPr>
            <w:r>
              <w:rPr>
                <w:kern w:val="0"/>
                <w:szCs w:val="21"/>
              </w:rPr>
              <w:t>6.21（20℃）</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kern w:val="0"/>
                <w:szCs w:val="21"/>
              </w:rPr>
              <w:t>0.02（25℃）</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13.33(-257.9℃)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restart"/>
            <w:tcBorders>
              <w:top w:val="single" w:color="auto" w:sz="4" w:space="0"/>
              <w:left w:val="nil"/>
              <w:bottom w:val="single" w:color="auto" w:sz="4" w:space="0"/>
            </w:tcBorders>
            <w:noWrap w:val="0"/>
            <w:vAlign w:val="center"/>
          </w:tcPr>
          <w:p>
            <w:pPr>
              <w:snapToGrid w:val="0"/>
              <w:spacing w:line="320" w:lineRule="exact"/>
              <w:ind w:left="113" w:right="113"/>
              <w:jc w:val="center"/>
              <w:rPr>
                <w:szCs w:val="21"/>
              </w:rPr>
            </w:pPr>
            <w:r>
              <w:rPr>
                <w:szCs w:val="21"/>
              </w:rPr>
              <w:t>毒 性</w:t>
            </w: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毒性分级*</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rFonts w:hint="eastAsia" w:ascii="宋体" w:hAnsi="宋体"/>
                <w:szCs w:val="21"/>
              </w:rPr>
              <w:t>Ⅳ</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rFonts w:hint="eastAsia" w:ascii="宋体" w:hAnsi="宋体"/>
                <w:szCs w:val="21"/>
              </w:rPr>
              <w:t>Ⅳ</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ind w:left="113" w:right="113"/>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毒性指标</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rFonts w:hint="eastAsia"/>
                <w:szCs w:val="21"/>
              </w:rPr>
              <w:t>5900~13400mg/kg（大鼠经口）</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rFonts w:hint="eastAsia"/>
                <w:szCs w:val="21"/>
              </w:rPr>
              <w:t>21000~32200mg/kg（大鼠经口）</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restart"/>
            <w:tcBorders>
              <w:top w:val="single" w:color="auto" w:sz="4" w:space="0"/>
              <w:left w:val="nil"/>
              <w:bottom w:val="single" w:color="auto" w:sz="4" w:space="0"/>
            </w:tcBorders>
            <w:noWrap w:val="0"/>
            <w:textDirection w:val="tbRlV"/>
            <w:vAlign w:val="center"/>
          </w:tcPr>
          <w:p>
            <w:pPr>
              <w:snapToGrid w:val="0"/>
              <w:spacing w:line="320" w:lineRule="exact"/>
              <w:ind w:left="113" w:right="113"/>
              <w:jc w:val="center"/>
              <w:rPr>
                <w:szCs w:val="21"/>
              </w:rPr>
            </w:pPr>
            <w:r>
              <w:rPr>
                <w:szCs w:val="21"/>
              </w:rPr>
              <w:t>燃 爆 性</w:t>
            </w: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闪点（℃）</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110</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shd w:val="clear" w:color="auto" w:fill="FFFFFF"/>
              </w:rPr>
              <w:t>99</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引燃温度（℃）</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无资料</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371</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455" w:type="pct"/>
            <w:vMerge w:val="continue"/>
            <w:tcBorders>
              <w:top w:val="single" w:color="auto" w:sz="4" w:space="0"/>
              <w:left w:val="nil"/>
              <w:bottom w:val="single" w:color="auto" w:sz="4" w:space="0"/>
            </w:tcBorders>
            <w:noWrap w:val="0"/>
            <w:vAlign w:val="center"/>
          </w:tcPr>
          <w:p>
            <w:pPr>
              <w:snapToGrid w:val="0"/>
              <w:spacing w:line="320" w:lineRule="exact"/>
              <w:jc w:val="center"/>
              <w:rPr>
                <w:szCs w:val="21"/>
              </w:rPr>
            </w:pPr>
          </w:p>
        </w:tc>
        <w:tc>
          <w:tcPr>
            <w:tcW w:w="900"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爆炸极限（v/v）</w:t>
            </w:r>
          </w:p>
        </w:tc>
        <w:tc>
          <w:tcPr>
            <w:tcW w:w="1145"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3.2~15.3</w:t>
            </w:r>
          </w:p>
        </w:tc>
        <w:tc>
          <w:tcPr>
            <w:tcW w:w="1417" w:type="pct"/>
            <w:tcBorders>
              <w:top w:val="single" w:color="auto" w:sz="4" w:space="0"/>
              <w:bottom w:val="single" w:color="auto" w:sz="4" w:space="0"/>
            </w:tcBorders>
            <w:noWrap w:val="0"/>
            <w:vAlign w:val="center"/>
          </w:tcPr>
          <w:p>
            <w:pPr>
              <w:snapToGrid w:val="0"/>
              <w:spacing w:line="320" w:lineRule="exact"/>
              <w:jc w:val="center"/>
              <w:rPr>
                <w:szCs w:val="21"/>
              </w:rPr>
            </w:pPr>
            <w:r>
              <w:rPr>
                <w:szCs w:val="21"/>
              </w:rPr>
              <w:t>2.6~12.5</w:t>
            </w:r>
          </w:p>
        </w:tc>
        <w:tc>
          <w:tcPr>
            <w:tcW w:w="1083" w:type="pct"/>
            <w:tcBorders>
              <w:top w:val="single" w:color="auto" w:sz="4" w:space="0"/>
              <w:bottom w:val="single" w:color="auto" w:sz="4" w:space="0"/>
              <w:right w:val="nil"/>
            </w:tcBorders>
            <w:noWrap w:val="0"/>
            <w:vAlign w:val="center"/>
          </w:tcPr>
          <w:p>
            <w:pPr>
              <w:snapToGrid w:val="0"/>
              <w:spacing w:line="320" w:lineRule="exact"/>
              <w:jc w:val="center"/>
              <w:rPr>
                <w:szCs w:val="21"/>
              </w:rPr>
            </w:pPr>
            <w:r>
              <w:rPr>
                <w:szCs w:val="21"/>
              </w:rPr>
              <w:t>4.1~74.1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7" w:hRule="atLeast"/>
        </w:trPr>
        <w:tc>
          <w:tcPr>
            <w:tcW w:w="1355" w:type="pct"/>
            <w:gridSpan w:val="2"/>
            <w:tcBorders>
              <w:top w:val="single" w:color="auto" w:sz="4" w:space="0"/>
              <w:left w:val="nil"/>
              <w:bottom w:val="single" w:color="auto" w:sz="8" w:space="0"/>
            </w:tcBorders>
            <w:noWrap w:val="0"/>
            <w:textDirection w:val="tbRlV"/>
            <w:vAlign w:val="center"/>
          </w:tcPr>
          <w:p>
            <w:pPr>
              <w:snapToGrid w:val="0"/>
              <w:spacing w:line="320" w:lineRule="exact"/>
              <w:ind w:left="113" w:right="113"/>
              <w:jc w:val="center"/>
              <w:rPr>
                <w:szCs w:val="21"/>
              </w:rPr>
            </w:pPr>
            <w:r>
              <w:rPr>
                <w:szCs w:val="21"/>
              </w:rPr>
              <w:t>危   险   特   性</w:t>
            </w:r>
          </w:p>
        </w:tc>
        <w:tc>
          <w:tcPr>
            <w:tcW w:w="1145" w:type="pct"/>
            <w:tcBorders>
              <w:top w:val="single" w:color="auto" w:sz="4" w:space="0"/>
              <w:bottom w:val="single" w:color="auto" w:sz="8" w:space="0"/>
            </w:tcBorders>
            <w:noWrap w:val="0"/>
            <w:vAlign w:val="center"/>
          </w:tcPr>
          <w:p>
            <w:pPr>
              <w:snapToGrid w:val="0"/>
              <w:spacing w:line="320" w:lineRule="exact"/>
              <w:rPr>
                <w:szCs w:val="21"/>
              </w:rPr>
            </w:pPr>
            <w:r>
              <w:rPr>
                <w:rFonts w:hint="eastAsia"/>
                <w:szCs w:val="21"/>
              </w:rPr>
              <w:t>遇明火、高热可燃。与氧化剂可发生反应。若遇高热，容器内压增大，有开裂和爆炸的危险。</w:t>
            </w:r>
          </w:p>
        </w:tc>
        <w:tc>
          <w:tcPr>
            <w:tcW w:w="1417" w:type="pct"/>
            <w:tcBorders>
              <w:top w:val="single" w:color="auto" w:sz="4" w:space="0"/>
              <w:bottom w:val="single" w:color="auto" w:sz="8" w:space="0"/>
            </w:tcBorders>
            <w:noWrap w:val="0"/>
            <w:vAlign w:val="center"/>
          </w:tcPr>
          <w:p>
            <w:pPr>
              <w:adjustRightInd w:val="0"/>
              <w:snapToGrid w:val="0"/>
              <w:spacing w:line="320" w:lineRule="exact"/>
              <w:jc w:val="left"/>
              <w:rPr>
                <w:rFonts w:hint="eastAsia"/>
                <w:szCs w:val="21"/>
              </w:rPr>
            </w:pPr>
            <w:r>
              <w:rPr>
                <w:rFonts w:hint="eastAsia"/>
                <w:szCs w:val="21"/>
              </w:rPr>
              <w:t>遇明火、高热可燃</w:t>
            </w:r>
          </w:p>
        </w:tc>
        <w:tc>
          <w:tcPr>
            <w:tcW w:w="1083" w:type="pct"/>
            <w:tcBorders>
              <w:top w:val="single" w:color="auto" w:sz="4" w:space="0"/>
              <w:bottom w:val="single" w:color="auto" w:sz="8" w:space="0"/>
              <w:right w:val="nil"/>
            </w:tcBorders>
            <w:noWrap w:val="0"/>
            <w:vAlign w:val="center"/>
          </w:tcPr>
          <w:p>
            <w:pPr>
              <w:adjustRightInd w:val="0"/>
              <w:snapToGrid w:val="0"/>
              <w:spacing w:line="320" w:lineRule="exact"/>
              <w:jc w:val="left"/>
              <w:rPr>
                <w:szCs w:val="21"/>
              </w:rPr>
            </w:pPr>
            <w:r>
              <w:rPr>
                <w:szCs w:val="21"/>
              </w:rPr>
              <w:t>与空气混合能形成爆炸性混合物，遇热或明火即会发生爆炸。气体比空气轻，在室内使用和储存时，漏气上升滞留屋顶不易排出，遇火星会引起爆炸。氢气与氟、氯、溴等卤素会剧烈反应。</w:t>
            </w:r>
          </w:p>
        </w:tc>
      </w:tr>
    </w:tbl>
    <w:p>
      <w:pPr>
        <w:rPr>
          <w:rFonts w:hint="eastAsia"/>
        </w:rPr>
      </w:pPr>
      <w:r>
        <w:rPr>
          <w:rFonts w:hint="eastAsia"/>
        </w:rPr>
        <w:t>*毒性分级依据《职业性接触毒物危害程度分级》（GB5044-85）和WHO</w:t>
      </w:r>
      <w:r>
        <w:t>急性毒性分级</w:t>
      </w:r>
      <w:r>
        <w:rPr>
          <w:rFonts w:hint="eastAsia"/>
        </w:rPr>
        <w:t>表。</w:t>
      </w:r>
    </w:p>
    <w:p>
      <w:pPr>
        <w:sectPr>
          <w:pgSz w:w="16838" w:h="11906" w:orient="landscape"/>
          <w:pgMar w:top="1474" w:right="1474" w:bottom="1474" w:left="1474" w:header="851" w:footer="1134" w:gutter="0"/>
          <w:pgNumType w:chapStyle="1"/>
          <w:cols w:space="720" w:num="1"/>
          <w:docGrid w:linePitch="312" w:charSpace="0"/>
        </w:sectPr>
      </w:pPr>
    </w:p>
    <w:p>
      <w:pPr>
        <w:pStyle w:val="29"/>
        <w:outlineLvl w:val="3"/>
      </w:pPr>
      <w:r>
        <w:t>7</w:t>
      </w:r>
      <w:r>
        <w:rPr>
          <w:rFonts w:hint="eastAsia"/>
        </w:rPr>
        <w:t xml:space="preserve">.4.1.3  </w:t>
      </w:r>
      <w:r>
        <w:t>生产工艺特点</w:t>
      </w:r>
    </w:p>
    <w:p>
      <w:pPr>
        <w:spacing w:line="520" w:lineRule="exact"/>
        <w:ind w:firstLine="560" w:firstLineChars="200"/>
        <w:rPr>
          <w:sz w:val="28"/>
        </w:rPr>
      </w:pPr>
      <w:r>
        <w:rPr>
          <w:kern w:val="0"/>
          <w:sz w:val="28"/>
          <w:szCs w:val="28"/>
        </w:rPr>
        <w:t>本项目</w:t>
      </w:r>
      <w:r>
        <w:rPr>
          <w:rFonts w:hint="eastAsia"/>
          <w:kern w:val="0"/>
          <w:sz w:val="28"/>
          <w:szCs w:val="28"/>
        </w:rPr>
        <w:t>采用</w:t>
      </w:r>
      <w:r>
        <w:rPr>
          <w:kern w:val="0"/>
          <w:sz w:val="28"/>
          <w:szCs w:val="28"/>
        </w:rPr>
        <w:t>秸秆糖水溶液</w:t>
      </w:r>
      <w:r>
        <w:rPr>
          <w:rFonts w:hint="eastAsia"/>
          <w:kern w:val="0"/>
          <w:sz w:val="28"/>
          <w:szCs w:val="28"/>
        </w:rPr>
        <w:t>、氢气</w:t>
      </w:r>
      <w:r>
        <w:rPr>
          <w:kern w:val="0"/>
          <w:sz w:val="28"/>
          <w:szCs w:val="28"/>
        </w:rPr>
        <w:t>为原料，</w:t>
      </w:r>
      <w:r>
        <w:rPr>
          <w:rFonts w:hint="eastAsia"/>
          <w:kern w:val="0"/>
          <w:sz w:val="28"/>
          <w:szCs w:val="28"/>
        </w:rPr>
        <w:t>催化反应</w:t>
      </w:r>
      <w:r>
        <w:rPr>
          <w:kern w:val="0"/>
          <w:sz w:val="28"/>
          <w:szCs w:val="28"/>
        </w:rPr>
        <w:t>生成粗乙二醇</w:t>
      </w:r>
      <w:r>
        <w:rPr>
          <w:rFonts w:hint="eastAsia"/>
          <w:kern w:val="0"/>
          <w:sz w:val="28"/>
          <w:szCs w:val="28"/>
        </w:rPr>
        <w:t>，后经闪蒸、脱轻、脱重等工序得到乙二醇，副产丙二醇；其生产工序主要分为乙二醇合成工段、乙二醇精馏工段。</w:t>
      </w:r>
      <w:r>
        <w:rPr>
          <w:rFonts w:hint="eastAsia"/>
          <w:sz w:val="28"/>
        </w:rPr>
        <w:t>本项目为中试装置，原料及产品的储存量小，不单独设置储运区域。</w:t>
      </w:r>
    </w:p>
    <w:p>
      <w:pPr>
        <w:pStyle w:val="8"/>
        <w:spacing w:line="520" w:lineRule="exact"/>
        <w:ind w:firstLine="560"/>
        <w:rPr>
          <w:color w:val="auto"/>
          <w:kern w:val="0"/>
          <w:sz w:val="28"/>
          <w:szCs w:val="28"/>
        </w:rPr>
      </w:pPr>
      <w:r>
        <w:rPr>
          <w:rFonts w:hint="eastAsia"/>
          <w:color w:val="auto"/>
          <w:kern w:val="0"/>
          <w:sz w:val="28"/>
          <w:szCs w:val="28"/>
        </w:rPr>
        <w:t>根据工艺参数，项目生产过程中乙二醇合成工序涉及高温高压；项目</w:t>
      </w:r>
      <w:r>
        <w:rPr>
          <w:color w:val="auto"/>
          <w:kern w:val="0"/>
          <w:sz w:val="28"/>
          <w:szCs w:val="28"/>
        </w:rPr>
        <w:t>生产过程中涉及</w:t>
      </w:r>
      <w:r>
        <w:rPr>
          <w:rFonts w:hint="eastAsia"/>
          <w:color w:val="auto"/>
          <w:kern w:val="0"/>
          <w:sz w:val="28"/>
          <w:szCs w:val="28"/>
        </w:rPr>
        <w:t>到的危险物质主要有氢气、乙二醇、1.2-丙二醇。</w:t>
      </w:r>
    </w:p>
    <w:p>
      <w:pPr>
        <w:pStyle w:val="31"/>
      </w:pPr>
      <w:r>
        <w:t>7</w:t>
      </w:r>
      <w:r>
        <w:rPr>
          <w:rFonts w:hint="eastAsia"/>
        </w:rPr>
        <w:t xml:space="preserve">.4.2  </w:t>
      </w:r>
      <w:r>
        <w:t>环境敏感目标调查</w:t>
      </w:r>
    </w:p>
    <w:p>
      <w:pPr>
        <w:pStyle w:val="8"/>
        <w:ind w:firstLine="560"/>
        <w:rPr>
          <w:color w:val="auto"/>
          <w:kern w:val="0"/>
          <w:sz w:val="28"/>
          <w:szCs w:val="28"/>
        </w:rPr>
      </w:pPr>
      <w:r>
        <w:rPr>
          <w:color w:val="auto"/>
          <w:kern w:val="0"/>
          <w:sz w:val="28"/>
          <w:szCs w:val="28"/>
        </w:rPr>
        <w:t>根据现场调查，厂区周边敏感目标分布见</w:t>
      </w:r>
      <w:r>
        <w:rPr>
          <w:rFonts w:hint="eastAsia"/>
          <w:color w:val="auto"/>
          <w:kern w:val="0"/>
          <w:sz w:val="28"/>
          <w:szCs w:val="28"/>
        </w:rPr>
        <w:t>表</w:t>
      </w:r>
      <w:r>
        <w:rPr>
          <w:color w:val="auto"/>
          <w:kern w:val="0"/>
          <w:sz w:val="28"/>
          <w:szCs w:val="28"/>
        </w:rPr>
        <w:t>7.4</w:t>
      </w:r>
      <w:r>
        <w:rPr>
          <w:rFonts w:hint="eastAsia"/>
          <w:color w:val="auto"/>
          <w:kern w:val="0"/>
          <w:sz w:val="28"/>
          <w:szCs w:val="28"/>
        </w:rPr>
        <w:t>-</w:t>
      </w:r>
      <w:r>
        <w:rPr>
          <w:color w:val="auto"/>
          <w:kern w:val="0"/>
          <w:sz w:val="28"/>
          <w:szCs w:val="28"/>
        </w:rPr>
        <w:t>4。项目周边敏感目标位置图见附图5。</w:t>
      </w:r>
    </w:p>
    <w:p>
      <w:pPr>
        <w:pStyle w:val="32"/>
        <w:tabs>
          <w:tab w:val="clear" w:pos="900"/>
        </w:tabs>
        <w:ind w:firstLine="679" w:firstLineChars="282"/>
      </w:pPr>
      <w:r>
        <w:rPr>
          <w:rFonts w:hint="eastAsia"/>
        </w:rPr>
        <w:t>表</w:t>
      </w:r>
      <w:r>
        <w:t>7</w:t>
      </w:r>
      <w:r>
        <w:rPr>
          <w:rFonts w:hint="eastAsia"/>
        </w:rPr>
        <w:t xml:space="preserve">.4-4             </w:t>
      </w:r>
      <w:r>
        <w:t xml:space="preserve"> 敏感目标分布一览表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737"/>
        <w:gridCol w:w="799"/>
        <w:gridCol w:w="1839"/>
        <w:gridCol w:w="1421"/>
        <w:gridCol w:w="1417"/>
        <w:gridCol w:w="1269"/>
        <w:gridCol w:w="153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restart"/>
            <w:noWrap w:val="0"/>
            <w:vAlign w:val="center"/>
          </w:tcPr>
          <w:p>
            <w:pPr>
              <w:pStyle w:val="36"/>
              <w:rPr>
                <w:b/>
                <w:bCs/>
              </w:rPr>
            </w:pPr>
            <w:r>
              <w:rPr>
                <w:b/>
                <w:bCs/>
              </w:rPr>
              <w:t>环</w:t>
            </w:r>
          </w:p>
          <w:p>
            <w:pPr>
              <w:pStyle w:val="36"/>
              <w:rPr>
                <w:b/>
                <w:bCs/>
              </w:rPr>
            </w:pPr>
            <w:r>
              <w:rPr>
                <w:b/>
                <w:bCs/>
              </w:rPr>
              <w:t>境</w:t>
            </w:r>
          </w:p>
          <w:p>
            <w:pPr>
              <w:pStyle w:val="36"/>
              <w:rPr>
                <w:b/>
                <w:bCs/>
              </w:rPr>
            </w:pPr>
            <w:r>
              <w:rPr>
                <w:b/>
                <w:bCs/>
              </w:rPr>
              <w:t>空</w:t>
            </w:r>
          </w:p>
          <w:p>
            <w:pPr>
              <w:pStyle w:val="36"/>
            </w:pPr>
            <w:r>
              <w:rPr>
                <w:b/>
                <w:bCs/>
              </w:rPr>
              <w:t>气</w:t>
            </w:r>
          </w:p>
        </w:tc>
        <w:tc>
          <w:tcPr>
            <w:tcW w:w="4591" w:type="pct"/>
            <w:gridSpan w:val="6"/>
            <w:noWrap w:val="0"/>
            <w:vAlign w:val="center"/>
          </w:tcPr>
          <w:p>
            <w:pPr>
              <w:pStyle w:val="36"/>
              <w:rPr>
                <w:b/>
                <w:bCs/>
              </w:rPr>
            </w:pPr>
            <w:r>
              <w:rPr>
                <w:b/>
                <w:bCs/>
              </w:rPr>
              <w:t>厂址周围5km范围内</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rPr>
                <w:b/>
                <w:bCs/>
              </w:rPr>
            </w:pPr>
            <w:r>
              <w:rPr>
                <w:b/>
                <w:bCs/>
              </w:rPr>
              <w:t>序号</w:t>
            </w:r>
          </w:p>
        </w:tc>
        <w:tc>
          <w:tcPr>
            <w:tcW w:w="1020" w:type="pct"/>
            <w:noWrap w:val="0"/>
            <w:vAlign w:val="center"/>
          </w:tcPr>
          <w:p>
            <w:pPr>
              <w:pStyle w:val="36"/>
              <w:rPr>
                <w:b/>
                <w:bCs/>
              </w:rPr>
            </w:pPr>
            <w:r>
              <w:rPr>
                <w:b/>
                <w:bCs/>
              </w:rPr>
              <w:t>敏感目标名称</w:t>
            </w:r>
          </w:p>
        </w:tc>
        <w:tc>
          <w:tcPr>
            <w:tcW w:w="788" w:type="pct"/>
            <w:noWrap w:val="0"/>
            <w:vAlign w:val="center"/>
          </w:tcPr>
          <w:p>
            <w:pPr>
              <w:pStyle w:val="36"/>
              <w:rPr>
                <w:b/>
                <w:bCs/>
              </w:rPr>
            </w:pPr>
            <w:r>
              <w:rPr>
                <w:b/>
                <w:bCs/>
              </w:rPr>
              <w:t>属性</w:t>
            </w:r>
          </w:p>
        </w:tc>
        <w:tc>
          <w:tcPr>
            <w:tcW w:w="786" w:type="pct"/>
            <w:noWrap w:val="0"/>
            <w:vAlign w:val="center"/>
          </w:tcPr>
          <w:p>
            <w:pPr>
              <w:pStyle w:val="36"/>
              <w:rPr>
                <w:b/>
                <w:bCs/>
              </w:rPr>
            </w:pPr>
            <w:r>
              <w:rPr>
                <w:b/>
                <w:bCs/>
              </w:rPr>
              <w:t>人口数</w:t>
            </w:r>
            <w:r>
              <w:rPr>
                <w:rFonts w:hint="eastAsia"/>
                <w:b/>
                <w:bCs/>
              </w:rPr>
              <w:t>（人）</w:t>
            </w:r>
          </w:p>
        </w:tc>
        <w:tc>
          <w:tcPr>
            <w:tcW w:w="704" w:type="pct"/>
            <w:noWrap w:val="0"/>
            <w:vAlign w:val="center"/>
          </w:tcPr>
          <w:p>
            <w:pPr>
              <w:pStyle w:val="36"/>
              <w:rPr>
                <w:b/>
                <w:bCs/>
              </w:rPr>
            </w:pPr>
            <w:r>
              <w:rPr>
                <w:rFonts w:hint="eastAsia"/>
                <w:b/>
                <w:bCs/>
              </w:rPr>
              <w:t>方位</w:t>
            </w:r>
          </w:p>
        </w:tc>
        <w:tc>
          <w:tcPr>
            <w:tcW w:w="850" w:type="pct"/>
            <w:noWrap w:val="0"/>
            <w:vAlign w:val="center"/>
          </w:tcPr>
          <w:p>
            <w:pPr>
              <w:pStyle w:val="36"/>
              <w:rPr>
                <w:b/>
                <w:bCs/>
              </w:rPr>
            </w:pPr>
            <w:r>
              <w:rPr>
                <w:rFonts w:hint="eastAsia"/>
                <w:b/>
                <w:bCs/>
              </w:rPr>
              <w:t>与项目边界</w:t>
            </w:r>
          </w:p>
          <w:p>
            <w:pPr>
              <w:pStyle w:val="36"/>
              <w:rPr>
                <w:b/>
                <w:bCs/>
              </w:rPr>
            </w:pPr>
            <w:r>
              <w:rPr>
                <w:b/>
                <w:bCs/>
              </w:rPr>
              <w:t>距离/m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w:t>
            </w:r>
          </w:p>
        </w:tc>
        <w:tc>
          <w:tcPr>
            <w:tcW w:w="1020" w:type="pct"/>
            <w:noWrap w:val="0"/>
            <w:vAlign w:val="center"/>
          </w:tcPr>
          <w:p>
            <w:pPr>
              <w:pStyle w:val="36"/>
            </w:pPr>
            <w:r>
              <w:rPr>
                <w:rFonts w:hint="eastAsia"/>
              </w:rPr>
              <w:t>康呼村</w:t>
            </w:r>
          </w:p>
        </w:tc>
        <w:tc>
          <w:tcPr>
            <w:tcW w:w="788" w:type="pct"/>
            <w:noWrap w:val="0"/>
            <w:vAlign w:val="center"/>
          </w:tcPr>
          <w:p>
            <w:pPr>
              <w:pStyle w:val="36"/>
            </w:pPr>
            <w:r>
              <w:t>居住区</w:t>
            </w:r>
          </w:p>
        </w:tc>
        <w:tc>
          <w:tcPr>
            <w:tcW w:w="786" w:type="pct"/>
            <w:noWrap w:val="0"/>
            <w:vAlign w:val="center"/>
          </w:tcPr>
          <w:p>
            <w:pPr>
              <w:pStyle w:val="35"/>
            </w:pPr>
            <w:r>
              <w:rPr>
                <w:rFonts w:hint="eastAsia"/>
              </w:rPr>
              <w:t>1320</w:t>
            </w:r>
          </w:p>
        </w:tc>
        <w:tc>
          <w:tcPr>
            <w:tcW w:w="704" w:type="pct"/>
            <w:noWrap w:val="0"/>
            <w:vAlign w:val="center"/>
          </w:tcPr>
          <w:p>
            <w:pPr>
              <w:pStyle w:val="35"/>
            </w:pPr>
            <w:r>
              <w:t>SSW</w:t>
            </w:r>
          </w:p>
        </w:tc>
        <w:tc>
          <w:tcPr>
            <w:tcW w:w="850" w:type="pct"/>
            <w:noWrap w:val="0"/>
            <w:vAlign w:val="center"/>
          </w:tcPr>
          <w:p>
            <w:pPr>
              <w:pStyle w:val="35"/>
            </w:pPr>
            <w:r>
              <w:rPr>
                <w:rFonts w:hint="eastAsia"/>
              </w:rPr>
              <w:t>420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2</w:t>
            </w:r>
          </w:p>
        </w:tc>
        <w:tc>
          <w:tcPr>
            <w:tcW w:w="1020" w:type="pct"/>
            <w:noWrap w:val="0"/>
            <w:vAlign w:val="center"/>
          </w:tcPr>
          <w:p>
            <w:pPr>
              <w:pStyle w:val="36"/>
            </w:pPr>
            <w:r>
              <w:rPr>
                <w:rFonts w:hint="eastAsia"/>
              </w:rPr>
              <w:t>西油坊</w:t>
            </w:r>
          </w:p>
        </w:tc>
        <w:tc>
          <w:tcPr>
            <w:tcW w:w="788" w:type="pct"/>
            <w:noWrap w:val="0"/>
            <w:vAlign w:val="center"/>
          </w:tcPr>
          <w:p>
            <w:pPr>
              <w:pStyle w:val="36"/>
            </w:pPr>
            <w:r>
              <w:t>居住区</w:t>
            </w:r>
          </w:p>
        </w:tc>
        <w:tc>
          <w:tcPr>
            <w:tcW w:w="786" w:type="pct"/>
            <w:noWrap w:val="0"/>
            <w:vAlign w:val="center"/>
          </w:tcPr>
          <w:p>
            <w:pPr>
              <w:pStyle w:val="35"/>
            </w:pPr>
            <w:r>
              <w:rPr>
                <w:rFonts w:hint="eastAsia"/>
              </w:rPr>
              <w:t>647</w:t>
            </w:r>
          </w:p>
        </w:tc>
        <w:tc>
          <w:tcPr>
            <w:tcW w:w="704" w:type="pct"/>
            <w:noWrap w:val="0"/>
            <w:vAlign w:val="center"/>
          </w:tcPr>
          <w:p>
            <w:pPr>
              <w:pStyle w:val="35"/>
            </w:pPr>
            <w:r>
              <w:t>SW</w:t>
            </w:r>
          </w:p>
        </w:tc>
        <w:tc>
          <w:tcPr>
            <w:tcW w:w="850" w:type="pct"/>
            <w:noWrap w:val="0"/>
            <w:vAlign w:val="center"/>
          </w:tcPr>
          <w:p>
            <w:pPr>
              <w:pStyle w:val="35"/>
            </w:pPr>
            <w:r>
              <w:rPr>
                <w:rFonts w:hint="eastAsia"/>
              </w:rPr>
              <w:t>860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3</w:t>
            </w:r>
          </w:p>
        </w:tc>
        <w:tc>
          <w:tcPr>
            <w:tcW w:w="1020" w:type="pct"/>
            <w:noWrap w:val="0"/>
            <w:vAlign w:val="top"/>
          </w:tcPr>
          <w:p>
            <w:pPr>
              <w:pStyle w:val="36"/>
            </w:pPr>
            <w:r>
              <w:rPr>
                <w:rFonts w:hint="eastAsia"/>
              </w:rPr>
              <w:t>前漳消</w:t>
            </w:r>
          </w:p>
        </w:tc>
        <w:tc>
          <w:tcPr>
            <w:tcW w:w="788" w:type="pct"/>
            <w:noWrap w:val="0"/>
            <w:vAlign w:val="center"/>
          </w:tcPr>
          <w:p>
            <w:pPr>
              <w:pStyle w:val="36"/>
            </w:pPr>
            <w:r>
              <w:t>居住区</w:t>
            </w:r>
          </w:p>
        </w:tc>
        <w:tc>
          <w:tcPr>
            <w:tcW w:w="786" w:type="pct"/>
            <w:noWrap w:val="0"/>
            <w:vAlign w:val="center"/>
          </w:tcPr>
          <w:p>
            <w:pPr>
              <w:pStyle w:val="35"/>
            </w:pPr>
            <w:r>
              <w:t>2100</w:t>
            </w:r>
          </w:p>
        </w:tc>
        <w:tc>
          <w:tcPr>
            <w:tcW w:w="704" w:type="pct"/>
            <w:noWrap w:val="0"/>
            <w:vAlign w:val="center"/>
          </w:tcPr>
          <w:p>
            <w:pPr>
              <w:pStyle w:val="35"/>
            </w:pPr>
            <w:r>
              <w:t>ESE</w:t>
            </w:r>
          </w:p>
        </w:tc>
        <w:tc>
          <w:tcPr>
            <w:tcW w:w="850" w:type="pct"/>
            <w:noWrap w:val="0"/>
            <w:vAlign w:val="center"/>
          </w:tcPr>
          <w:p>
            <w:pPr>
              <w:pStyle w:val="35"/>
            </w:pPr>
            <w:r>
              <w:rPr>
                <w:rFonts w:hint="eastAsia"/>
              </w:rPr>
              <w:t>1080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4</w:t>
            </w:r>
          </w:p>
        </w:tc>
        <w:tc>
          <w:tcPr>
            <w:tcW w:w="1020" w:type="pct"/>
            <w:noWrap w:val="0"/>
            <w:vAlign w:val="center"/>
          </w:tcPr>
          <w:p>
            <w:pPr>
              <w:pStyle w:val="36"/>
            </w:pPr>
            <w:r>
              <w:rPr>
                <w:rFonts w:hint="eastAsia"/>
              </w:rPr>
              <w:t>丁寨村</w:t>
            </w:r>
          </w:p>
        </w:tc>
        <w:tc>
          <w:tcPr>
            <w:tcW w:w="788" w:type="pct"/>
            <w:noWrap w:val="0"/>
            <w:vAlign w:val="center"/>
          </w:tcPr>
          <w:p>
            <w:pPr>
              <w:pStyle w:val="36"/>
            </w:pPr>
            <w:r>
              <w:t>居住区</w:t>
            </w:r>
          </w:p>
        </w:tc>
        <w:tc>
          <w:tcPr>
            <w:tcW w:w="786" w:type="pct"/>
            <w:noWrap w:val="0"/>
            <w:vAlign w:val="center"/>
          </w:tcPr>
          <w:p>
            <w:pPr>
              <w:pStyle w:val="35"/>
            </w:pPr>
            <w:r>
              <w:rPr>
                <w:rFonts w:hint="eastAsia"/>
              </w:rPr>
              <w:t>1404</w:t>
            </w:r>
          </w:p>
        </w:tc>
        <w:tc>
          <w:tcPr>
            <w:tcW w:w="704" w:type="pct"/>
            <w:noWrap w:val="0"/>
            <w:vAlign w:val="center"/>
          </w:tcPr>
          <w:p>
            <w:pPr>
              <w:pStyle w:val="35"/>
            </w:pPr>
            <w:r>
              <w:t>S</w:t>
            </w:r>
          </w:p>
        </w:tc>
        <w:tc>
          <w:tcPr>
            <w:tcW w:w="850" w:type="pct"/>
            <w:noWrap w:val="0"/>
            <w:vAlign w:val="center"/>
          </w:tcPr>
          <w:p>
            <w:pPr>
              <w:pStyle w:val="35"/>
            </w:pPr>
            <w:r>
              <w:rPr>
                <w:rFonts w:hint="eastAsia"/>
              </w:rPr>
              <w:t>1120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5</w:t>
            </w:r>
          </w:p>
        </w:tc>
        <w:tc>
          <w:tcPr>
            <w:tcW w:w="1020" w:type="pct"/>
            <w:noWrap w:val="0"/>
            <w:vAlign w:val="center"/>
          </w:tcPr>
          <w:p>
            <w:pPr>
              <w:pStyle w:val="36"/>
            </w:pPr>
            <w:r>
              <w:rPr>
                <w:rFonts w:hint="eastAsia"/>
              </w:rPr>
              <w:t>徐北旺</w:t>
            </w:r>
          </w:p>
        </w:tc>
        <w:tc>
          <w:tcPr>
            <w:tcW w:w="788" w:type="pct"/>
            <w:noWrap w:val="0"/>
            <w:vAlign w:val="center"/>
          </w:tcPr>
          <w:p>
            <w:pPr>
              <w:pStyle w:val="36"/>
            </w:pPr>
            <w:r>
              <w:t>居住区</w:t>
            </w:r>
          </w:p>
        </w:tc>
        <w:tc>
          <w:tcPr>
            <w:tcW w:w="786" w:type="pct"/>
            <w:noWrap w:val="0"/>
            <w:vAlign w:val="center"/>
          </w:tcPr>
          <w:p>
            <w:pPr>
              <w:pStyle w:val="35"/>
            </w:pPr>
            <w:r>
              <w:t>1400</w:t>
            </w:r>
          </w:p>
        </w:tc>
        <w:tc>
          <w:tcPr>
            <w:tcW w:w="704" w:type="pct"/>
            <w:noWrap w:val="0"/>
            <w:vAlign w:val="center"/>
          </w:tcPr>
          <w:p>
            <w:pPr>
              <w:pStyle w:val="35"/>
            </w:pPr>
            <w:r>
              <w:t>SSE</w:t>
            </w:r>
          </w:p>
        </w:tc>
        <w:tc>
          <w:tcPr>
            <w:tcW w:w="850" w:type="pct"/>
            <w:noWrap w:val="0"/>
            <w:vAlign w:val="center"/>
          </w:tcPr>
          <w:p>
            <w:pPr>
              <w:pStyle w:val="35"/>
            </w:pPr>
            <w:r>
              <w:rPr>
                <w:rFonts w:hint="eastAsia"/>
              </w:rPr>
              <w:t>1560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6</w:t>
            </w:r>
          </w:p>
        </w:tc>
        <w:tc>
          <w:tcPr>
            <w:tcW w:w="1020" w:type="pct"/>
            <w:noWrap w:val="0"/>
            <w:vAlign w:val="center"/>
          </w:tcPr>
          <w:p>
            <w:pPr>
              <w:pStyle w:val="36"/>
            </w:pPr>
            <w:r>
              <w:rPr>
                <w:rFonts w:hint="eastAsia"/>
              </w:rPr>
              <w:t>职业技术学校</w:t>
            </w:r>
          </w:p>
        </w:tc>
        <w:tc>
          <w:tcPr>
            <w:tcW w:w="788" w:type="pct"/>
            <w:noWrap w:val="0"/>
            <w:vAlign w:val="center"/>
          </w:tcPr>
          <w:p>
            <w:pPr>
              <w:pStyle w:val="36"/>
            </w:pPr>
            <w:r>
              <w:t>居住区</w:t>
            </w:r>
          </w:p>
        </w:tc>
        <w:tc>
          <w:tcPr>
            <w:tcW w:w="786" w:type="pct"/>
            <w:noWrap w:val="0"/>
            <w:vAlign w:val="center"/>
          </w:tcPr>
          <w:p>
            <w:pPr>
              <w:pStyle w:val="35"/>
            </w:pPr>
            <w:r>
              <w:t>12000</w:t>
            </w:r>
          </w:p>
        </w:tc>
        <w:tc>
          <w:tcPr>
            <w:tcW w:w="704" w:type="pct"/>
            <w:noWrap w:val="0"/>
            <w:vAlign w:val="center"/>
          </w:tcPr>
          <w:p>
            <w:pPr>
              <w:pStyle w:val="35"/>
            </w:pPr>
            <w:r>
              <w:t>NNW</w:t>
            </w:r>
          </w:p>
        </w:tc>
        <w:tc>
          <w:tcPr>
            <w:tcW w:w="850" w:type="pct"/>
            <w:noWrap w:val="0"/>
            <w:vAlign w:val="center"/>
          </w:tcPr>
          <w:p>
            <w:pPr>
              <w:pStyle w:val="35"/>
            </w:pPr>
            <w:r>
              <w:rPr>
                <w:rFonts w:hint="eastAsia"/>
              </w:rPr>
              <w:t>2250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7</w:t>
            </w:r>
          </w:p>
        </w:tc>
        <w:tc>
          <w:tcPr>
            <w:tcW w:w="1020" w:type="pct"/>
            <w:noWrap w:val="0"/>
            <w:vAlign w:val="center"/>
          </w:tcPr>
          <w:p>
            <w:pPr>
              <w:pStyle w:val="36"/>
            </w:pPr>
            <w:r>
              <w:rPr>
                <w:rFonts w:hint="eastAsia"/>
              </w:rPr>
              <w:t>前黄甫</w:t>
            </w:r>
          </w:p>
        </w:tc>
        <w:tc>
          <w:tcPr>
            <w:tcW w:w="788" w:type="pct"/>
            <w:noWrap w:val="0"/>
            <w:vAlign w:val="center"/>
          </w:tcPr>
          <w:p>
            <w:pPr>
              <w:pStyle w:val="36"/>
            </w:pPr>
            <w:r>
              <w:t>居住区</w:t>
            </w:r>
          </w:p>
        </w:tc>
        <w:tc>
          <w:tcPr>
            <w:tcW w:w="786" w:type="pct"/>
            <w:noWrap w:val="0"/>
            <w:vAlign w:val="center"/>
          </w:tcPr>
          <w:p>
            <w:pPr>
              <w:pStyle w:val="35"/>
            </w:pPr>
            <w:r>
              <w:rPr>
                <w:rFonts w:hint="eastAsia"/>
              </w:rPr>
              <w:t>1080</w:t>
            </w:r>
          </w:p>
        </w:tc>
        <w:tc>
          <w:tcPr>
            <w:tcW w:w="704" w:type="pct"/>
            <w:noWrap w:val="0"/>
            <w:vAlign w:val="center"/>
          </w:tcPr>
          <w:p>
            <w:pPr>
              <w:pStyle w:val="35"/>
            </w:pPr>
            <w:r>
              <w:t>NW</w:t>
            </w:r>
          </w:p>
        </w:tc>
        <w:tc>
          <w:tcPr>
            <w:tcW w:w="850" w:type="pct"/>
            <w:noWrap w:val="0"/>
            <w:vAlign w:val="center"/>
          </w:tcPr>
          <w:p>
            <w:pPr>
              <w:pStyle w:val="35"/>
            </w:pPr>
            <w:r>
              <w:rPr>
                <w:rFonts w:hint="eastAsia"/>
              </w:rPr>
              <w:t>1960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8</w:t>
            </w:r>
          </w:p>
        </w:tc>
        <w:tc>
          <w:tcPr>
            <w:tcW w:w="1020" w:type="pct"/>
            <w:noWrap w:val="0"/>
            <w:vAlign w:val="center"/>
          </w:tcPr>
          <w:p>
            <w:pPr>
              <w:pStyle w:val="36"/>
            </w:pPr>
            <w:r>
              <w:rPr>
                <w:rFonts w:hint="eastAsia"/>
              </w:rPr>
              <w:t>蔡王合</w:t>
            </w:r>
          </w:p>
        </w:tc>
        <w:tc>
          <w:tcPr>
            <w:tcW w:w="788" w:type="pct"/>
            <w:noWrap w:val="0"/>
            <w:vAlign w:val="center"/>
          </w:tcPr>
          <w:p>
            <w:pPr>
              <w:pStyle w:val="36"/>
            </w:pPr>
            <w:r>
              <w:t>居住区</w:t>
            </w:r>
          </w:p>
        </w:tc>
        <w:tc>
          <w:tcPr>
            <w:tcW w:w="786" w:type="pct"/>
            <w:noWrap w:val="0"/>
            <w:vAlign w:val="center"/>
          </w:tcPr>
          <w:p>
            <w:pPr>
              <w:pStyle w:val="35"/>
            </w:pPr>
            <w:r>
              <w:rPr>
                <w:rFonts w:hint="eastAsia"/>
              </w:rPr>
              <w:t>970</w:t>
            </w:r>
          </w:p>
        </w:tc>
        <w:tc>
          <w:tcPr>
            <w:tcW w:w="704" w:type="pct"/>
            <w:noWrap w:val="0"/>
            <w:vAlign w:val="center"/>
          </w:tcPr>
          <w:p>
            <w:pPr>
              <w:pStyle w:val="35"/>
            </w:pPr>
            <w:r>
              <w:t>ESE</w:t>
            </w:r>
          </w:p>
        </w:tc>
        <w:tc>
          <w:tcPr>
            <w:tcW w:w="850" w:type="pct"/>
            <w:noWrap w:val="0"/>
            <w:vAlign w:val="center"/>
          </w:tcPr>
          <w:p>
            <w:pPr>
              <w:pStyle w:val="35"/>
            </w:pPr>
            <w:r>
              <w:rPr>
                <w:rFonts w:hint="eastAsia"/>
              </w:rPr>
              <w:t>2050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9</w:t>
            </w:r>
          </w:p>
        </w:tc>
        <w:tc>
          <w:tcPr>
            <w:tcW w:w="1020" w:type="pct"/>
            <w:noWrap w:val="0"/>
            <w:vAlign w:val="center"/>
          </w:tcPr>
          <w:p>
            <w:pPr>
              <w:pStyle w:val="36"/>
            </w:pPr>
            <w:r>
              <w:rPr>
                <w:rFonts w:hint="eastAsia"/>
              </w:rPr>
              <w:t>后黄甫</w:t>
            </w:r>
          </w:p>
        </w:tc>
        <w:tc>
          <w:tcPr>
            <w:tcW w:w="788" w:type="pct"/>
            <w:noWrap w:val="0"/>
            <w:vAlign w:val="center"/>
          </w:tcPr>
          <w:p>
            <w:pPr>
              <w:pStyle w:val="36"/>
            </w:pPr>
            <w:r>
              <w:t>居住区</w:t>
            </w:r>
          </w:p>
        </w:tc>
        <w:tc>
          <w:tcPr>
            <w:tcW w:w="786" w:type="pct"/>
            <w:noWrap w:val="0"/>
            <w:vAlign w:val="center"/>
          </w:tcPr>
          <w:p>
            <w:pPr>
              <w:pStyle w:val="35"/>
            </w:pPr>
            <w:r>
              <w:rPr>
                <w:rFonts w:hint="eastAsia"/>
              </w:rPr>
              <w:t>2200</w:t>
            </w:r>
          </w:p>
        </w:tc>
        <w:tc>
          <w:tcPr>
            <w:tcW w:w="704" w:type="pct"/>
            <w:noWrap w:val="0"/>
            <w:vAlign w:val="center"/>
          </w:tcPr>
          <w:p>
            <w:pPr>
              <w:pStyle w:val="35"/>
            </w:pPr>
            <w:r>
              <w:t>NW</w:t>
            </w:r>
          </w:p>
        </w:tc>
        <w:tc>
          <w:tcPr>
            <w:tcW w:w="850" w:type="pct"/>
            <w:noWrap w:val="0"/>
            <w:vAlign w:val="center"/>
          </w:tcPr>
          <w:p>
            <w:pPr>
              <w:pStyle w:val="35"/>
            </w:pPr>
            <w:r>
              <w:rPr>
                <w:rFonts w:hint="eastAsia"/>
              </w:rPr>
              <w:t>2030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10</w:t>
            </w:r>
          </w:p>
        </w:tc>
        <w:tc>
          <w:tcPr>
            <w:tcW w:w="1020" w:type="pct"/>
            <w:noWrap w:val="0"/>
            <w:vAlign w:val="center"/>
          </w:tcPr>
          <w:p>
            <w:pPr>
              <w:pStyle w:val="36"/>
            </w:pPr>
            <w:r>
              <w:rPr>
                <w:rFonts w:hint="eastAsia"/>
              </w:rPr>
              <w:t>胡北旺</w:t>
            </w:r>
          </w:p>
        </w:tc>
        <w:tc>
          <w:tcPr>
            <w:tcW w:w="788" w:type="pct"/>
            <w:noWrap w:val="0"/>
            <w:vAlign w:val="center"/>
          </w:tcPr>
          <w:p>
            <w:pPr>
              <w:pStyle w:val="36"/>
            </w:pPr>
            <w:r>
              <w:t>居住区</w:t>
            </w:r>
          </w:p>
        </w:tc>
        <w:tc>
          <w:tcPr>
            <w:tcW w:w="786" w:type="pct"/>
            <w:noWrap w:val="0"/>
            <w:vAlign w:val="center"/>
          </w:tcPr>
          <w:p>
            <w:pPr>
              <w:pStyle w:val="35"/>
            </w:pPr>
            <w:r>
              <w:rPr>
                <w:rFonts w:hint="eastAsia"/>
              </w:rPr>
              <w:t>1600</w:t>
            </w:r>
          </w:p>
        </w:tc>
        <w:tc>
          <w:tcPr>
            <w:tcW w:w="704" w:type="pct"/>
            <w:noWrap w:val="0"/>
            <w:vAlign w:val="center"/>
          </w:tcPr>
          <w:p>
            <w:pPr>
              <w:pStyle w:val="35"/>
            </w:pPr>
            <w:r>
              <w:t>SE</w:t>
            </w:r>
          </w:p>
        </w:tc>
        <w:tc>
          <w:tcPr>
            <w:tcW w:w="850" w:type="pct"/>
            <w:noWrap w:val="0"/>
            <w:vAlign w:val="center"/>
          </w:tcPr>
          <w:p>
            <w:pPr>
              <w:pStyle w:val="35"/>
            </w:pPr>
            <w:r>
              <w:rPr>
                <w:rFonts w:hint="eastAsia"/>
              </w:rPr>
              <w:t>1860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11</w:t>
            </w:r>
          </w:p>
        </w:tc>
        <w:tc>
          <w:tcPr>
            <w:tcW w:w="1020" w:type="pct"/>
            <w:noWrap w:val="0"/>
            <w:vAlign w:val="center"/>
          </w:tcPr>
          <w:p>
            <w:pPr>
              <w:pStyle w:val="36"/>
            </w:pPr>
            <w:r>
              <w:rPr>
                <w:rFonts w:hint="eastAsia"/>
              </w:rPr>
              <w:t>崔北旺</w:t>
            </w:r>
          </w:p>
        </w:tc>
        <w:tc>
          <w:tcPr>
            <w:tcW w:w="788" w:type="pct"/>
            <w:noWrap w:val="0"/>
            <w:vAlign w:val="center"/>
          </w:tcPr>
          <w:p>
            <w:pPr>
              <w:pStyle w:val="36"/>
            </w:pPr>
            <w:r>
              <w:t>居住区</w:t>
            </w:r>
          </w:p>
        </w:tc>
        <w:tc>
          <w:tcPr>
            <w:tcW w:w="786" w:type="pct"/>
            <w:noWrap w:val="0"/>
            <w:vAlign w:val="center"/>
          </w:tcPr>
          <w:p>
            <w:pPr>
              <w:pStyle w:val="35"/>
            </w:pPr>
            <w:r>
              <w:t>1400</w:t>
            </w:r>
          </w:p>
        </w:tc>
        <w:tc>
          <w:tcPr>
            <w:tcW w:w="704" w:type="pct"/>
            <w:noWrap w:val="0"/>
            <w:vAlign w:val="center"/>
          </w:tcPr>
          <w:p>
            <w:pPr>
              <w:pStyle w:val="35"/>
            </w:pPr>
            <w:r>
              <w:t>SE</w:t>
            </w:r>
          </w:p>
        </w:tc>
        <w:tc>
          <w:tcPr>
            <w:tcW w:w="850" w:type="pct"/>
            <w:noWrap w:val="0"/>
            <w:vAlign w:val="center"/>
          </w:tcPr>
          <w:p>
            <w:pPr>
              <w:pStyle w:val="35"/>
            </w:pPr>
            <w:r>
              <w:rPr>
                <w:rFonts w:hint="eastAsia"/>
              </w:rPr>
              <w:t>2160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12</w:t>
            </w:r>
          </w:p>
        </w:tc>
        <w:tc>
          <w:tcPr>
            <w:tcW w:w="1020" w:type="pct"/>
            <w:noWrap w:val="0"/>
            <w:vAlign w:val="center"/>
          </w:tcPr>
          <w:p>
            <w:pPr>
              <w:pStyle w:val="36"/>
            </w:pPr>
            <w:r>
              <w:rPr>
                <w:rFonts w:hint="eastAsia"/>
              </w:rPr>
              <w:t>乜村</w:t>
            </w:r>
          </w:p>
        </w:tc>
        <w:tc>
          <w:tcPr>
            <w:tcW w:w="788" w:type="pct"/>
            <w:noWrap w:val="0"/>
            <w:vAlign w:val="center"/>
          </w:tcPr>
          <w:p>
            <w:pPr>
              <w:pStyle w:val="36"/>
            </w:pPr>
            <w:r>
              <w:t>居住区</w:t>
            </w:r>
          </w:p>
        </w:tc>
        <w:tc>
          <w:tcPr>
            <w:tcW w:w="786" w:type="pct"/>
            <w:noWrap w:val="0"/>
            <w:vAlign w:val="center"/>
          </w:tcPr>
          <w:p>
            <w:pPr>
              <w:pStyle w:val="35"/>
            </w:pPr>
            <w:r>
              <w:t>1700</w:t>
            </w:r>
          </w:p>
        </w:tc>
        <w:tc>
          <w:tcPr>
            <w:tcW w:w="704" w:type="pct"/>
            <w:noWrap w:val="0"/>
            <w:vAlign w:val="center"/>
          </w:tcPr>
          <w:p>
            <w:pPr>
              <w:pStyle w:val="35"/>
            </w:pPr>
            <w:r>
              <w:t>S</w:t>
            </w:r>
          </w:p>
        </w:tc>
        <w:tc>
          <w:tcPr>
            <w:tcW w:w="850" w:type="pct"/>
            <w:noWrap w:val="0"/>
            <w:vAlign w:val="center"/>
          </w:tcPr>
          <w:p>
            <w:pPr>
              <w:pStyle w:val="35"/>
            </w:pPr>
            <w:r>
              <w:t>2</w:t>
            </w:r>
            <w:r>
              <w:rPr>
                <w:rFonts w:hint="eastAsia"/>
              </w:rPr>
              <w:t>350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13</w:t>
            </w:r>
          </w:p>
        </w:tc>
        <w:tc>
          <w:tcPr>
            <w:tcW w:w="1020" w:type="pct"/>
            <w:noWrap w:val="0"/>
            <w:vAlign w:val="center"/>
          </w:tcPr>
          <w:p>
            <w:pPr>
              <w:pStyle w:val="36"/>
            </w:pPr>
            <w:r>
              <w:rPr>
                <w:rFonts w:hint="eastAsia"/>
              </w:rPr>
              <w:t>胡王合</w:t>
            </w:r>
          </w:p>
        </w:tc>
        <w:tc>
          <w:tcPr>
            <w:tcW w:w="788" w:type="pct"/>
            <w:noWrap w:val="0"/>
            <w:vAlign w:val="center"/>
          </w:tcPr>
          <w:p>
            <w:pPr>
              <w:pStyle w:val="36"/>
            </w:pPr>
            <w:r>
              <w:t>居住区</w:t>
            </w:r>
          </w:p>
        </w:tc>
        <w:tc>
          <w:tcPr>
            <w:tcW w:w="786" w:type="pct"/>
            <w:noWrap w:val="0"/>
            <w:vAlign w:val="center"/>
          </w:tcPr>
          <w:p>
            <w:pPr>
              <w:pStyle w:val="35"/>
            </w:pPr>
            <w:r>
              <w:t>1200</w:t>
            </w:r>
          </w:p>
        </w:tc>
        <w:tc>
          <w:tcPr>
            <w:tcW w:w="704" w:type="pct"/>
            <w:noWrap w:val="0"/>
            <w:vAlign w:val="center"/>
          </w:tcPr>
          <w:p>
            <w:pPr>
              <w:pStyle w:val="35"/>
            </w:pPr>
            <w:r>
              <w:t>S</w:t>
            </w:r>
          </w:p>
        </w:tc>
        <w:tc>
          <w:tcPr>
            <w:tcW w:w="850" w:type="pct"/>
            <w:noWrap w:val="0"/>
            <w:vAlign w:val="center"/>
          </w:tcPr>
          <w:p>
            <w:pPr>
              <w:pStyle w:val="35"/>
            </w:pPr>
            <w:r>
              <w:rPr>
                <w:rFonts w:hint="eastAsia"/>
              </w:rPr>
              <w:t>2720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14</w:t>
            </w:r>
          </w:p>
        </w:tc>
        <w:tc>
          <w:tcPr>
            <w:tcW w:w="1020" w:type="pct"/>
            <w:noWrap w:val="0"/>
            <w:vAlign w:val="center"/>
          </w:tcPr>
          <w:p>
            <w:pPr>
              <w:pStyle w:val="36"/>
            </w:pPr>
            <w:r>
              <w:rPr>
                <w:rFonts w:hint="eastAsia"/>
              </w:rPr>
              <w:t>后铁丘</w:t>
            </w:r>
          </w:p>
        </w:tc>
        <w:tc>
          <w:tcPr>
            <w:tcW w:w="788" w:type="pct"/>
            <w:noWrap w:val="0"/>
            <w:vAlign w:val="center"/>
          </w:tcPr>
          <w:p>
            <w:pPr>
              <w:pStyle w:val="36"/>
            </w:pPr>
            <w:r>
              <w:t>居住区</w:t>
            </w:r>
          </w:p>
        </w:tc>
        <w:tc>
          <w:tcPr>
            <w:tcW w:w="786" w:type="pct"/>
            <w:noWrap w:val="0"/>
            <w:vAlign w:val="center"/>
          </w:tcPr>
          <w:p>
            <w:pPr>
              <w:pStyle w:val="35"/>
            </w:pPr>
            <w:r>
              <w:t>1640</w:t>
            </w:r>
          </w:p>
        </w:tc>
        <w:tc>
          <w:tcPr>
            <w:tcW w:w="704" w:type="pct"/>
            <w:noWrap w:val="0"/>
            <w:vAlign w:val="center"/>
          </w:tcPr>
          <w:p>
            <w:pPr>
              <w:pStyle w:val="35"/>
            </w:pPr>
            <w:r>
              <w:t>SE</w:t>
            </w:r>
          </w:p>
        </w:tc>
        <w:tc>
          <w:tcPr>
            <w:tcW w:w="850" w:type="pct"/>
            <w:noWrap w:val="0"/>
            <w:vAlign w:val="center"/>
          </w:tcPr>
          <w:p>
            <w:pPr>
              <w:pStyle w:val="35"/>
            </w:pPr>
            <w:r>
              <w:rPr>
                <w:rFonts w:hint="eastAsia"/>
              </w:rPr>
              <w:t>2560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15</w:t>
            </w:r>
          </w:p>
        </w:tc>
        <w:tc>
          <w:tcPr>
            <w:tcW w:w="1020" w:type="pct"/>
            <w:noWrap w:val="0"/>
            <w:vAlign w:val="center"/>
          </w:tcPr>
          <w:p>
            <w:pPr>
              <w:pStyle w:val="36"/>
            </w:pPr>
            <w:r>
              <w:rPr>
                <w:rFonts w:hint="eastAsia"/>
              </w:rPr>
              <w:t>西郭寨</w:t>
            </w:r>
          </w:p>
        </w:tc>
        <w:tc>
          <w:tcPr>
            <w:tcW w:w="788" w:type="pct"/>
            <w:noWrap w:val="0"/>
            <w:vAlign w:val="center"/>
          </w:tcPr>
          <w:p>
            <w:pPr>
              <w:pStyle w:val="36"/>
            </w:pPr>
            <w:r>
              <w:t>居住区</w:t>
            </w:r>
          </w:p>
        </w:tc>
        <w:tc>
          <w:tcPr>
            <w:tcW w:w="786" w:type="pct"/>
            <w:noWrap w:val="0"/>
            <w:vAlign w:val="center"/>
          </w:tcPr>
          <w:p>
            <w:pPr>
              <w:pStyle w:val="35"/>
            </w:pPr>
            <w:r>
              <w:t>1700</w:t>
            </w:r>
          </w:p>
        </w:tc>
        <w:tc>
          <w:tcPr>
            <w:tcW w:w="704" w:type="pct"/>
            <w:noWrap w:val="0"/>
            <w:vAlign w:val="center"/>
          </w:tcPr>
          <w:p>
            <w:pPr>
              <w:pStyle w:val="35"/>
            </w:pPr>
            <w:r>
              <w:t>SW</w:t>
            </w:r>
          </w:p>
        </w:tc>
        <w:tc>
          <w:tcPr>
            <w:tcW w:w="850" w:type="pct"/>
            <w:noWrap w:val="0"/>
            <w:vAlign w:val="center"/>
          </w:tcPr>
          <w:p>
            <w:pPr>
              <w:pStyle w:val="35"/>
            </w:pPr>
            <w:r>
              <w:rPr>
                <w:rFonts w:hint="eastAsia"/>
              </w:rPr>
              <w:t>2360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16</w:t>
            </w:r>
          </w:p>
        </w:tc>
        <w:tc>
          <w:tcPr>
            <w:tcW w:w="1020" w:type="pct"/>
            <w:noWrap w:val="0"/>
            <w:vAlign w:val="center"/>
          </w:tcPr>
          <w:p>
            <w:pPr>
              <w:pStyle w:val="36"/>
            </w:pPr>
            <w:r>
              <w:rPr>
                <w:rFonts w:hint="eastAsia"/>
              </w:rPr>
              <w:t>胡乜村</w:t>
            </w:r>
          </w:p>
        </w:tc>
        <w:tc>
          <w:tcPr>
            <w:tcW w:w="788" w:type="pct"/>
            <w:noWrap w:val="0"/>
            <w:vAlign w:val="center"/>
          </w:tcPr>
          <w:p>
            <w:pPr>
              <w:pStyle w:val="36"/>
            </w:pPr>
            <w:r>
              <w:t>居住区</w:t>
            </w:r>
          </w:p>
        </w:tc>
        <w:tc>
          <w:tcPr>
            <w:tcW w:w="786" w:type="pct"/>
            <w:noWrap w:val="0"/>
            <w:vAlign w:val="center"/>
          </w:tcPr>
          <w:p>
            <w:pPr>
              <w:pStyle w:val="35"/>
            </w:pPr>
            <w:r>
              <w:t>960</w:t>
            </w:r>
          </w:p>
        </w:tc>
        <w:tc>
          <w:tcPr>
            <w:tcW w:w="704" w:type="pct"/>
            <w:noWrap w:val="0"/>
            <w:vAlign w:val="center"/>
          </w:tcPr>
          <w:p>
            <w:pPr>
              <w:pStyle w:val="35"/>
            </w:pPr>
            <w:r>
              <w:t>ENE</w:t>
            </w:r>
          </w:p>
        </w:tc>
        <w:tc>
          <w:tcPr>
            <w:tcW w:w="850" w:type="pct"/>
            <w:noWrap w:val="0"/>
            <w:vAlign w:val="center"/>
          </w:tcPr>
          <w:p>
            <w:pPr>
              <w:pStyle w:val="35"/>
            </w:pPr>
            <w:r>
              <w:rPr>
                <w:rFonts w:hint="eastAsia"/>
              </w:rPr>
              <w:t>3000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17</w:t>
            </w:r>
          </w:p>
        </w:tc>
        <w:tc>
          <w:tcPr>
            <w:tcW w:w="1020" w:type="pct"/>
            <w:noWrap w:val="0"/>
            <w:vAlign w:val="center"/>
          </w:tcPr>
          <w:p>
            <w:pPr>
              <w:pStyle w:val="36"/>
            </w:pPr>
            <w:r>
              <w:rPr>
                <w:rFonts w:hint="eastAsia"/>
              </w:rPr>
              <w:t>前铁丘村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720</w:t>
            </w:r>
          </w:p>
        </w:tc>
        <w:tc>
          <w:tcPr>
            <w:tcW w:w="704" w:type="pct"/>
            <w:noWrap w:val="0"/>
            <w:vAlign w:val="center"/>
          </w:tcPr>
          <w:p>
            <w:pPr>
              <w:pStyle w:val="36"/>
            </w:pPr>
            <w:r>
              <w:rPr>
                <w:rFonts w:hint="eastAsia"/>
              </w:rPr>
              <w:t>S</w:t>
            </w:r>
            <w:r>
              <w:t>E</w:t>
            </w:r>
          </w:p>
        </w:tc>
        <w:tc>
          <w:tcPr>
            <w:tcW w:w="850" w:type="pct"/>
            <w:noWrap w:val="0"/>
            <w:vAlign w:val="center"/>
          </w:tcPr>
          <w:p>
            <w:pPr>
              <w:pStyle w:val="36"/>
            </w:pPr>
            <w:r>
              <w:rPr>
                <w:rFonts w:hint="eastAsia"/>
              </w:rPr>
              <w:t>2685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18</w:t>
            </w:r>
          </w:p>
        </w:tc>
        <w:tc>
          <w:tcPr>
            <w:tcW w:w="1020" w:type="pct"/>
            <w:noWrap w:val="0"/>
            <w:vAlign w:val="center"/>
          </w:tcPr>
          <w:p>
            <w:pPr>
              <w:pStyle w:val="36"/>
            </w:pPr>
            <w:r>
              <w:rPr>
                <w:rFonts w:hint="eastAsia"/>
              </w:rPr>
              <w:t>前黄滨村小区</w:t>
            </w:r>
          </w:p>
        </w:tc>
        <w:tc>
          <w:tcPr>
            <w:tcW w:w="788" w:type="pct"/>
            <w:noWrap w:val="0"/>
            <w:vAlign w:val="center"/>
          </w:tcPr>
          <w:p>
            <w:pPr>
              <w:pStyle w:val="36"/>
            </w:pPr>
            <w:r>
              <w:t>居住区</w:t>
            </w:r>
          </w:p>
        </w:tc>
        <w:tc>
          <w:tcPr>
            <w:tcW w:w="786" w:type="pct"/>
            <w:noWrap w:val="0"/>
            <w:vAlign w:val="center"/>
          </w:tcPr>
          <w:p>
            <w:pPr>
              <w:pStyle w:val="36"/>
            </w:pPr>
            <w:r>
              <w:rPr>
                <w:rFonts w:hint="eastAsia"/>
              </w:rPr>
              <w:t>3</w:t>
            </w:r>
            <w:r>
              <w:t>200</w:t>
            </w:r>
          </w:p>
        </w:tc>
        <w:tc>
          <w:tcPr>
            <w:tcW w:w="704" w:type="pct"/>
            <w:noWrap w:val="0"/>
            <w:vAlign w:val="center"/>
          </w:tcPr>
          <w:p>
            <w:pPr>
              <w:pStyle w:val="36"/>
            </w:pPr>
            <w:r>
              <w:rPr>
                <w:rFonts w:hint="eastAsia"/>
              </w:rPr>
              <w:t>S</w:t>
            </w:r>
            <w:r>
              <w:t>E</w:t>
            </w:r>
          </w:p>
        </w:tc>
        <w:tc>
          <w:tcPr>
            <w:tcW w:w="850" w:type="pct"/>
            <w:noWrap w:val="0"/>
            <w:vAlign w:val="center"/>
          </w:tcPr>
          <w:p>
            <w:pPr>
              <w:pStyle w:val="36"/>
            </w:pPr>
            <w:r>
              <w:rPr>
                <w:rFonts w:hint="eastAsia"/>
              </w:rPr>
              <w:t>4080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19</w:t>
            </w:r>
          </w:p>
        </w:tc>
        <w:tc>
          <w:tcPr>
            <w:tcW w:w="1020" w:type="pct"/>
            <w:noWrap w:val="0"/>
            <w:vAlign w:val="top"/>
          </w:tcPr>
          <w:p>
            <w:pPr>
              <w:pStyle w:val="36"/>
            </w:pPr>
            <w:r>
              <w:rPr>
                <w:rFonts w:hint="eastAsia"/>
              </w:rPr>
              <w:t>马庄村</w:t>
            </w:r>
          </w:p>
        </w:tc>
        <w:tc>
          <w:tcPr>
            <w:tcW w:w="788" w:type="pct"/>
            <w:noWrap w:val="0"/>
            <w:vAlign w:val="center"/>
          </w:tcPr>
          <w:p>
            <w:pPr>
              <w:pStyle w:val="36"/>
            </w:pPr>
            <w:r>
              <w:t>居住区</w:t>
            </w:r>
          </w:p>
        </w:tc>
        <w:tc>
          <w:tcPr>
            <w:tcW w:w="786" w:type="pct"/>
            <w:noWrap w:val="0"/>
            <w:vAlign w:val="center"/>
          </w:tcPr>
          <w:p>
            <w:pPr>
              <w:pStyle w:val="36"/>
            </w:pPr>
            <w:r>
              <w:rPr>
                <w:rFonts w:hint="eastAsia"/>
              </w:rPr>
              <w:t>4</w:t>
            </w:r>
            <w:r>
              <w:t>10</w:t>
            </w:r>
          </w:p>
        </w:tc>
        <w:tc>
          <w:tcPr>
            <w:tcW w:w="704" w:type="pct"/>
            <w:noWrap w:val="0"/>
            <w:vAlign w:val="center"/>
          </w:tcPr>
          <w:p>
            <w:pPr>
              <w:pStyle w:val="36"/>
            </w:pPr>
            <w:r>
              <w:rPr>
                <w:rFonts w:hint="eastAsia"/>
              </w:rPr>
              <w:t>E</w:t>
            </w:r>
            <w:r>
              <w:t>SE</w:t>
            </w:r>
          </w:p>
        </w:tc>
        <w:tc>
          <w:tcPr>
            <w:tcW w:w="850" w:type="pct"/>
            <w:noWrap w:val="0"/>
            <w:vAlign w:val="center"/>
          </w:tcPr>
          <w:p>
            <w:pPr>
              <w:pStyle w:val="36"/>
            </w:pPr>
            <w:r>
              <w:rPr>
                <w:rFonts w:hint="eastAsia"/>
              </w:rPr>
              <w:t>4031</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20</w:t>
            </w:r>
          </w:p>
        </w:tc>
        <w:tc>
          <w:tcPr>
            <w:tcW w:w="1020" w:type="pct"/>
            <w:noWrap w:val="0"/>
            <w:vAlign w:val="top"/>
          </w:tcPr>
          <w:p>
            <w:pPr>
              <w:pStyle w:val="36"/>
            </w:pPr>
            <w:r>
              <w:rPr>
                <w:rFonts w:hint="eastAsia"/>
              </w:rPr>
              <w:t>庞王合小区</w:t>
            </w:r>
          </w:p>
        </w:tc>
        <w:tc>
          <w:tcPr>
            <w:tcW w:w="788" w:type="pct"/>
            <w:noWrap w:val="0"/>
            <w:vAlign w:val="center"/>
          </w:tcPr>
          <w:p>
            <w:pPr>
              <w:pStyle w:val="36"/>
            </w:pPr>
            <w:r>
              <w:t>居住区</w:t>
            </w:r>
          </w:p>
        </w:tc>
        <w:tc>
          <w:tcPr>
            <w:tcW w:w="786" w:type="pct"/>
            <w:noWrap w:val="0"/>
            <w:vAlign w:val="center"/>
          </w:tcPr>
          <w:p>
            <w:pPr>
              <w:pStyle w:val="36"/>
            </w:pPr>
            <w:r>
              <w:rPr>
                <w:rFonts w:hint="eastAsia"/>
              </w:rPr>
              <w:t>8</w:t>
            </w:r>
            <w:r>
              <w:t>50</w:t>
            </w:r>
          </w:p>
        </w:tc>
        <w:tc>
          <w:tcPr>
            <w:tcW w:w="704" w:type="pct"/>
            <w:noWrap w:val="0"/>
            <w:vAlign w:val="center"/>
          </w:tcPr>
          <w:p>
            <w:pPr>
              <w:pStyle w:val="36"/>
            </w:pPr>
            <w:r>
              <w:rPr>
                <w:rFonts w:hint="eastAsia"/>
              </w:rPr>
              <w:t>E</w:t>
            </w:r>
          </w:p>
        </w:tc>
        <w:tc>
          <w:tcPr>
            <w:tcW w:w="850" w:type="pct"/>
            <w:noWrap w:val="0"/>
            <w:vAlign w:val="center"/>
          </w:tcPr>
          <w:p>
            <w:pPr>
              <w:pStyle w:val="36"/>
            </w:pPr>
            <w:r>
              <w:rPr>
                <w:rFonts w:hint="eastAsia"/>
              </w:rPr>
              <w:t>4200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21</w:t>
            </w:r>
          </w:p>
        </w:tc>
        <w:tc>
          <w:tcPr>
            <w:tcW w:w="1020" w:type="pct"/>
            <w:noWrap w:val="0"/>
            <w:vAlign w:val="center"/>
          </w:tcPr>
          <w:p>
            <w:pPr>
              <w:pStyle w:val="36"/>
            </w:pPr>
            <w:r>
              <w:rPr>
                <w:rFonts w:hint="eastAsia"/>
              </w:rPr>
              <w:t>裴王合村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900</w:t>
            </w:r>
          </w:p>
        </w:tc>
        <w:tc>
          <w:tcPr>
            <w:tcW w:w="704" w:type="pct"/>
            <w:noWrap w:val="0"/>
            <w:vAlign w:val="center"/>
          </w:tcPr>
          <w:p>
            <w:pPr>
              <w:pStyle w:val="36"/>
            </w:pPr>
            <w:r>
              <w:rPr>
                <w:rFonts w:hint="eastAsia"/>
              </w:rPr>
              <w:t>E</w:t>
            </w:r>
          </w:p>
        </w:tc>
        <w:tc>
          <w:tcPr>
            <w:tcW w:w="850" w:type="pct"/>
            <w:noWrap w:val="0"/>
            <w:vAlign w:val="center"/>
          </w:tcPr>
          <w:p>
            <w:pPr>
              <w:pStyle w:val="36"/>
            </w:pPr>
            <w:r>
              <w:rPr>
                <w:rFonts w:hint="eastAsia"/>
              </w:rPr>
              <w:t>3780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22</w:t>
            </w:r>
          </w:p>
        </w:tc>
        <w:tc>
          <w:tcPr>
            <w:tcW w:w="1020" w:type="pct"/>
            <w:noWrap w:val="0"/>
            <w:vAlign w:val="center"/>
          </w:tcPr>
          <w:p>
            <w:pPr>
              <w:pStyle w:val="36"/>
            </w:pPr>
            <w:r>
              <w:rPr>
                <w:rFonts w:hint="eastAsia"/>
              </w:rPr>
              <w:t>胜拐村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550</w:t>
            </w:r>
          </w:p>
        </w:tc>
        <w:tc>
          <w:tcPr>
            <w:tcW w:w="704" w:type="pct"/>
            <w:noWrap w:val="0"/>
            <w:vAlign w:val="center"/>
          </w:tcPr>
          <w:p>
            <w:pPr>
              <w:pStyle w:val="36"/>
            </w:pPr>
            <w:r>
              <w:rPr>
                <w:rFonts w:hint="eastAsia"/>
              </w:rPr>
              <w:t>E</w:t>
            </w:r>
            <w:r>
              <w:t>NE</w:t>
            </w:r>
          </w:p>
        </w:tc>
        <w:tc>
          <w:tcPr>
            <w:tcW w:w="850" w:type="pct"/>
            <w:noWrap w:val="0"/>
            <w:vAlign w:val="center"/>
          </w:tcPr>
          <w:p>
            <w:pPr>
              <w:pStyle w:val="36"/>
            </w:pPr>
            <w:r>
              <w:rPr>
                <w:rFonts w:hint="eastAsia"/>
              </w:rPr>
              <w:t>3</w:t>
            </w:r>
            <w:r>
              <w:t>7</w:t>
            </w:r>
            <w:r>
              <w:rPr>
                <w:rFonts w:hint="eastAsia"/>
              </w:rPr>
              <w:t>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23</w:t>
            </w:r>
          </w:p>
        </w:tc>
        <w:tc>
          <w:tcPr>
            <w:tcW w:w="1020" w:type="pct"/>
            <w:noWrap w:val="0"/>
            <w:vAlign w:val="center"/>
          </w:tcPr>
          <w:p>
            <w:pPr>
              <w:pStyle w:val="36"/>
            </w:pPr>
            <w:r>
              <w:rPr>
                <w:rFonts w:hint="eastAsia"/>
              </w:rPr>
              <w:t>韩家庄村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500</w:t>
            </w:r>
          </w:p>
        </w:tc>
        <w:tc>
          <w:tcPr>
            <w:tcW w:w="704" w:type="pct"/>
            <w:noWrap w:val="0"/>
            <w:vAlign w:val="center"/>
          </w:tcPr>
          <w:p>
            <w:pPr>
              <w:pStyle w:val="36"/>
            </w:pPr>
            <w:r>
              <w:t>NE</w:t>
            </w:r>
          </w:p>
        </w:tc>
        <w:tc>
          <w:tcPr>
            <w:tcW w:w="850" w:type="pct"/>
            <w:noWrap w:val="0"/>
            <w:vAlign w:val="center"/>
          </w:tcPr>
          <w:p>
            <w:pPr>
              <w:pStyle w:val="36"/>
            </w:pPr>
            <w:r>
              <w:rPr>
                <w:rFonts w:hint="eastAsia"/>
              </w:rPr>
              <w:t>4120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24</w:t>
            </w:r>
          </w:p>
        </w:tc>
        <w:tc>
          <w:tcPr>
            <w:tcW w:w="1020" w:type="pct"/>
            <w:noWrap w:val="0"/>
            <w:vAlign w:val="center"/>
          </w:tcPr>
          <w:p>
            <w:pPr>
              <w:pStyle w:val="36"/>
            </w:pPr>
            <w:r>
              <w:rPr>
                <w:rFonts w:hint="eastAsia"/>
              </w:rPr>
              <w:t>安庄村</w:t>
            </w:r>
          </w:p>
        </w:tc>
        <w:tc>
          <w:tcPr>
            <w:tcW w:w="788" w:type="pct"/>
            <w:noWrap w:val="0"/>
            <w:vAlign w:val="center"/>
          </w:tcPr>
          <w:p>
            <w:pPr>
              <w:pStyle w:val="36"/>
            </w:pPr>
            <w:r>
              <w:t>居住区</w:t>
            </w:r>
          </w:p>
        </w:tc>
        <w:tc>
          <w:tcPr>
            <w:tcW w:w="786" w:type="pct"/>
            <w:noWrap w:val="0"/>
            <w:vAlign w:val="center"/>
          </w:tcPr>
          <w:p>
            <w:pPr>
              <w:pStyle w:val="36"/>
            </w:pPr>
            <w:r>
              <w:rPr>
                <w:rFonts w:hint="eastAsia"/>
              </w:rPr>
              <w:t>2</w:t>
            </w:r>
            <w:r>
              <w:t>000</w:t>
            </w:r>
          </w:p>
        </w:tc>
        <w:tc>
          <w:tcPr>
            <w:tcW w:w="704" w:type="pct"/>
            <w:noWrap w:val="0"/>
            <w:vAlign w:val="center"/>
          </w:tcPr>
          <w:p>
            <w:pPr>
              <w:pStyle w:val="36"/>
            </w:pPr>
            <w:r>
              <w:t>NE</w:t>
            </w:r>
          </w:p>
        </w:tc>
        <w:tc>
          <w:tcPr>
            <w:tcW w:w="850" w:type="pct"/>
            <w:noWrap w:val="0"/>
            <w:vAlign w:val="center"/>
          </w:tcPr>
          <w:p>
            <w:pPr>
              <w:pStyle w:val="36"/>
            </w:pPr>
            <w:r>
              <w:rPr>
                <w:rFonts w:hint="eastAsia"/>
              </w:rPr>
              <w:t>4680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25</w:t>
            </w:r>
          </w:p>
        </w:tc>
        <w:tc>
          <w:tcPr>
            <w:tcW w:w="1020" w:type="pct"/>
            <w:noWrap w:val="0"/>
            <w:vAlign w:val="center"/>
          </w:tcPr>
          <w:p>
            <w:pPr>
              <w:pStyle w:val="36"/>
            </w:pPr>
            <w:r>
              <w:rPr>
                <w:rFonts w:hint="eastAsia"/>
              </w:rPr>
              <w:t>豆村集村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800</w:t>
            </w:r>
          </w:p>
        </w:tc>
        <w:tc>
          <w:tcPr>
            <w:tcW w:w="704" w:type="pct"/>
            <w:noWrap w:val="0"/>
            <w:vAlign w:val="center"/>
          </w:tcPr>
          <w:p>
            <w:pPr>
              <w:pStyle w:val="36"/>
            </w:pPr>
            <w:r>
              <w:t>NNE</w:t>
            </w:r>
          </w:p>
        </w:tc>
        <w:tc>
          <w:tcPr>
            <w:tcW w:w="850" w:type="pct"/>
            <w:noWrap w:val="0"/>
            <w:vAlign w:val="center"/>
          </w:tcPr>
          <w:p>
            <w:pPr>
              <w:pStyle w:val="36"/>
            </w:pPr>
            <w:r>
              <w:rPr>
                <w:rFonts w:hint="eastAsia"/>
              </w:rPr>
              <w:t>4590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26</w:t>
            </w:r>
          </w:p>
        </w:tc>
        <w:tc>
          <w:tcPr>
            <w:tcW w:w="1020" w:type="pct"/>
            <w:noWrap w:val="0"/>
            <w:vAlign w:val="center"/>
          </w:tcPr>
          <w:p>
            <w:pPr>
              <w:pStyle w:val="36"/>
            </w:pPr>
            <w:r>
              <w:rPr>
                <w:rFonts w:hint="eastAsia"/>
              </w:rPr>
              <w:t>杜家庄村</w:t>
            </w:r>
          </w:p>
        </w:tc>
        <w:tc>
          <w:tcPr>
            <w:tcW w:w="788" w:type="pct"/>
            <w:noWrap w:val="0"/>
            <w:vAlign w:val="center"/>
          </w:tcPr>
          <w:p>
            <w:pPr>
              <w:pStyle w:val="36"/>
            </w:pPr>
            <w:r>
              <w:t>居住区</w:t>
            </w:r>
          </w:p>
        </w:tc>
        <w:tc>
          <w:tcPr>
            <w:tcW w:w="786" w:type="pct"/>
            <w:noWrap w:val="0"/>
            <w:vAlign w:val="center"/>
          </w:tcPr>
          <w:p>
            <w:pPr>
              <w:pStyle w:val="36"/>
            </w:pPr>
            <w:r>
              <w:rPr>
                <w:rFonts w:hint="eastAsia"/>
              </w:rPr>
              <w:t>1</w:t>
            </w:r>
            <w:r>
              <w:t>100</w:t>
            </w:r>
          </w:p>
        </w:tc>
        <w:tc>
          <w:tcPr>
            <w:tcW w:w="704" w:type="pct"/>
            <w:noWrap w:val="0"/>
            <w:vAlign w:val="center"/>
          </w:tcPr>
          <w:p>
            <w:pPr>
              <w:pStyle w:val="36"/>
            </w:pPr>
            <w:r>
              <w:t>N</w:t>
            </w:r>
          </w:p>
        </w:tc>
        <w:tc>
          <w:tcPr>
            <w:tcW w:w="850" w:type="pct"/>
            <w:noWrap w:val="0"/>
            <w:vAlign w:val="center"/>
          </w:tcPr>
          <w:p>
            <w:pPr>
              <w:pStyle w:val="36"/>
            </w:pPr>
            <w:r>
              <w:rPr>
                <w:rFonts w:hint="eastAsia"/>
              </w:rPr>
              <w:t>4560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27</w:t>
            </w:r>
          </w:p>
        </w:tc>
        <w:tc>
          <w:tcPr>
            <w:tcW w:w="1020" w:type="pct"/>
            <w:noWrap w:val="0"/>
            <w:vAlign w:val="center"/>
          </w:tcPr>
          <w:p>
            <w:pPr>
              <w:pStyle w:val="36"/>
            </w:pPr>
            <w:r>
              <w:rPr>
                <w:rFonts w:hint="eastAsia"/>
              </w:rPr>
              <w:t>吕家庄村</w:t>
            </w:r>
          </w:p>
        </w:tc>
        <w:tc>
          <w:tcPr>
            <w:tcW w:w="788" w:type="pct"/>
            <w:noWrap w:val="0"/>
            <w:vAlign w:val="center"/>
          </w:tcPr>
          <w:p>
            <w:pPr>
              <w:pStyle w:val="36"/>
            </w:pPr>
            <w:r>
              <w:t>居住区</w:t>
            </w:r>
          </w:p>
        </w:tc>
        <w:tc>
          <w:tcPr>
            <w:tcW w:w="786" w:type="pct"/>
            <w:noWrap w:val="0"/>
            <w:vAlign w:val="center"/>
          </w:tcPr>
          <w:p>
            <w:pPr>
              <w:pStyle w:val="36"/>
            </w:pPr>
            <w:r>
              <w:rPr>
                <w:rFonts w:hint="eastAsia"/>
              </w:rPr>
              <w:t>6</w:t>
            </w:r>
            <w:r>
              <w:t>50</w:t>
            </w:r>
          </w:p>
        </w:tc>
        <w:tc>
          <w:tcPr>
            <w:tcW w:w="704" w:type="pct"/>
            <w:noWrap w:val="0"/>
            <w:vAlign w:val="center"/>
          </w:tcPr>
          <w:p>
            <w:pPr>
              <w:pStyle w:val="36"/>
            </w:pPr>
            <w:r>
              <w:t>N</w:t>
            </w:r>
          </w:p>
        </w:tc>
        <w:tc>
          <w:tcPr>
            <w:tcW w:w="850" w:type="pct"/>
            <w:noWrap w:val="0"/>
            <w:vAlign w:val="center"/>
          </w:tcPr>
          <w:p>
            <w:pPr>
              <w:pStyle w:val="36"/>
            </w:pPr>
            <w:r>
              <w:rPr>
                <w:rFonts w:hint="eastAsia"/>
              </w:rPr>
              <w:t>4360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28</w:t>
            </w:r>
          </w:p>
        </w:tc>
        <w:tc>
          <w:tcPr>
            <w:tcW w:w="1020" w:type="pct"/>
            <w:noWrap w:val="0"/>
            <w:vAlign w:val="center"/>
          </w:tcPr>
          <w:p>
            <w:pPr>
              <w:pStyle w:val="36"/>
            </w:pPr>
            <w:r>
              <w:rPr>
                <w:rFonts w:hint="eastAsia"/>
              </w:rPr>
              <w:t>谷家庄村</w:t>
            </w:r>
          </w:p>
        </w:tc>
        <w:tc>
          <w:tcPr>
            <w:tcW w:w="788" w:type="pct"/>
            <w:noWrap w:val="0"/>
            <w:vAlign w:val="top"/>
          </w:tcPr>
          <w:p>
            <w:pPr>
              <w:pStyle w:val="36"/>
            </w:pPr>
            <w:r>
              <w:t>居住区</w:t>
            </w:r>
          </w:p>
        </w:tc>
        <w:tc>
          <w:tcPr>
            <w:tcW w:w="786" w:type="pct"/>
            <w:noWrap w:val="0"/>
            <w:vAlign w:val="center"/>
          </w:tcPr>
          <w:p>
            <w:pPr>
              <w:pStyle w:val="36"/>
            </w:pPr>
            <w:r>
              <w:rPr>
                <w:rFonts w:hint="eastAsia"/>
              </w:rPr>
              <w:t>9</w:t>
            </w:r>
            <w:r>
              <w:t>30</w:t>
            </w:r>
          </w:p>
        </w:tc>
        <w:tc>
          <w:tcPr>
            <w:tcW w:w="704" w:type="pct"/>
            <w:noWrap w:val="0"/>
            <w:vAlign w:val="center"/>
          </w:tcPr>
          <w:p>
            <w:pPr>
              <w:pStyle w:val="36"/>
            </w:pPr>
            <w:r>
              <w:t>N</w:t>
            </w:r>
          </w:p>
        </w:tc>
        <w:tc>
          <w:tcPr>
            <w:tcW w:w="850" w:type="pct"/>
            <w:noWrap w:val="0"/>
            <w:vAlign w:val="center"/>
          </w:tcPr>
          <w:p>
            <w:pPr>
              <w:pStyle w:val="36"/>
            </w:pPr>
            <w:r>
              <w:rPr>
                <w:rFonts w:hint="eastAsia"/>
              </w:rPr>
              <w:t>4270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29</w:t>
            </w:r>
          </w:p>
        </w:tc>
        <w:tc>
          <w:tcPr>
            <w:tcW w:w="1020" w:type="pct"/>
            <w:noWrap w:val="0"/>
            <w:vAlign w:val="center"/>
          </w:tcPr>
          <w:p>
            <w:pPr>
              <w:pStyle w:val="36"/>
            </w:pPr>
            <w:r>
              <w:rPr>
                <w:rFonts w:hint="eastAsia"/>
              </w:rPr>
              <w:t>前范庄村</w:t>
            </w:r>
          </w:p>
        </w:tc>
        <w:tc>
          <w:tcPr>
            <w:tcW w:w="788" w:type="pct"/>
            <w:noWrap w:val="0"/>
            <w:vAlign w:val="top"/>
          </w:tcPr>
          <w:p>
            <w:pPr>
              <w:pStyle w:val="36"/>
            </w:pPr>
            <w:r>
              <w:t>居住区</w:t>
            </w:r>
          </w:p>
        </w:tc>
        <w:tc>
          <w:tcPr>
            <w:tcW w:w="786" w:type="pct"/>
            <w:noWrap w:val="0"/>
            <w:vAlign w:val="center"/>
          </w:tcPr>
          <w:p>
            <w:pPr>
              <w:pStyle w:val="36"/>
            </w:pPr>
            <w:r>
              <w:rPr>
                <w:rFonts w:hint="eastAsia"/>
              </w:rPr>
              <w:t>7</w:t>
            </w:r>
            <w:r>
              <w:t>60</w:t>
            </w:r>
          </w:p>
        </w:tc>
        <w:tc>
          <w:tcPr>
            <w:tcW w:w="704" w:type="pct"/>
            <w:noWrap w:val="0"/>
            <w:vAlign w:val="center"/>
          </w:tcPr>
          <w:p>
            <w:pPr>
              <w:pStyle w:val="36"/>
            </w:pPr>
            <w:r>
              <w:t>N</w:t>
            </w:r>
          </w:p>
        </w:tc>
        <w:tc>
          <w:tcPr>
            <w:tcW w:w="850" w:type="pct"/>
            <w:noWrap w:val="0"/>
            <w:vAlign w:val="center"/>
          </w:tcPr>
          <w:p>
            <w:pPr>
              <w:pStyle w:val="36"/>
            </w:pPr>
            <w:r>
              <w:rPr>
                <w:rFonts w:hint="eastAsia"/>
              </w:rPr>
              <w:t>4890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30</w:t>
            </w:r>
          </w:p>
        </w:tc>
        <w:tc>
          <w:tcPr>
            <w:tcW w:w="1020" w:type="pct"/>
            <w:noWrap w:val="0"/>
            <w:vAlign w:val="center"/>
          </w:tcPr>
          <w:p>
            <w:pPr>
              <w:pStyle w:val="36"/>
            </w:pPr>
            <w:r>
              <w:rPr>
                <w:rFonts w:hint="eastAsia"/>
              </w:rPr>
              <w:t>后范庄村</w:t>
            </w:r>
          </w:p>
        </w:tc>
        <w:tc>
          <w:tcPr>
            <w:tcW w:w="788" w:type="pct"/>
            <w:noWrap w:val="0"/>
            <w:vAlign w:val="top"/>
          </w:tcPr>
          <w:p>
            <w:pPr>
              <w:pStyle w:val="36"/>
            </w:pPr>
            <w:r>
              <w:t>居住区</w:t>
            </w:r>
          </w:p>
        </w:tc>
        <w:tc>
          <w:tcPr>
            <w:tcW w:w="786" w:type="pct"/>
            <w:noWrap w:val="0"/>
            <w:vAlign w:val="center"/>
          </w:tcPr>
          <w:p>
            <w:pPr>
              <w:pStyle w:val="36"/>
            </w:pPr>
            <w:r>
              <w:rPr>
                <w:rFonts w:hint="eastAsia"/>
              </w:rPr>
              <w:t>7</w:t>
            </w:r>
            <w:r>
              <w:t>10</w:t>
            </w:r>
          </w:p>
        </w:tc>
        <w:tc>
          <w:tcPr>
            <w:tcW w:w="704" w:type="pct"/>
            <w:noWrap w:val="0"/>
            <w:vAlign w:val="center"/>
          </w:tcPr>
          <w:p>
            <w:pPr>
              <w:pStyle w:val="36"/>
            </w:pPr>
            <w:r>
              <w:t>N</w:t>
            </w:r>
          </w:p>
        </w:tc>
        <w:tc>
          <w:tcPr>
            <w:tcW w:w="850" w:type="pct"/>
            <w:noWrap w:val="0"/>
            <w:vAlign w:val="center"/>
          </w:tcPr>
          <w:p>
            <w:pPr>
              <w:pStyle w:val="36"/>
            </w:pPr>
            <w:r>
              <w:rPr>
                <w:rFonts w:hint="eastAsia"/>
              </w:rPr>
              <w:t>5030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31</w:t>
            </w:r>
          </w:p>
        </w:tc>
        <w:tc>
          <w:tcPr>
            <w:tcW w:w="1020" w:type="pct"/>
            <w:noWrap w:val="0"/>
            <w:vAlign w:val="center"/>
          </w:tcPr>
          <w:p>
            <w:pPr>
              <w:pStyle w:val="36"/>
            </w:pPr>
            <w:r>
              <w:rPr>
                <w:rFonts w:hint="eastAsia"/>
              </w:rPr>
              <w:t>孔村</w:t>
            </w:r>
          </w:p>
        </w:tc>
        <w:tc>
          <w:tcPr>
            <w:tcW w:w="788" w:type="pct"/>
            <w:noWrap w:val="0"/>
            <w:vAlign w:val="top"/>
          </w:tcPr>
          <w:p>
            <w:pPr>
              <w:pStyle w:val="36"/>
            </w:pPr>
            <w:r>
              <w:t>居住区</w:t>
            </w:r>
          </w:p>
        </w:tc>
        <w:tc>
          <w:tcPr>
            <w:tcW w:w="786" w:type="pct"/>
            <w:noWrap w:val="0"/>
            <w:vAlign w:val="center"/>
          </w:tcPr>
          <w:p>
            <w:pPr>
              <w:pStyle w:val="36"/>
            </w:pPr>
            <w:r>
              <w:rPr>
                <w:rFonts w:hint="eastAsia"/>
              </w:rPr>
              <w:t>7</w:t>
            </w:r>
            <w:r>
              <w:t>00</w:t>
            </w:r>
          </w:p>
        </w:tc>
        <w:tc>
          <w:tcPr>
            <w:tcW w:w="704" w:type="pct"/>
            <w:noWrap w:val="0"/>
            <w:vAlign w:val="center"/>
          </w:tcPr>
          <w:p>
            <w:pPr>
              <w:pStyle w:val="36"/>
            </w:pPr>
            <w:r>
              <w:t>NNW</w:t>
            </w:r>
          </w:p>
        </w:tc>
        <w:tc>
          <w:tcPr>
            <w:tcW w:w="850" w:type="pct"/>
            <w:noWrap w:val="0"/>
            <w:vAlign w:val="center"/>
          </w:tcPr>
          <w:p>
            <w:pPr>
              <w:pStyle w:val="36"/>
            </w:pPr>
            <w:r>
              <w:rPr>
                <w:rFonts w:hint="eastAsia"/>
              </w:rPr>
              <w:t>5420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32</w:t>
            </w:r>
          </w:p>
        </w:tc>
        <w:tc>
          <w:tcPr>
            <w:tcW w:w="1020" w:type="pct"/>
            <w:noWrap w:val="0"/>
            <w:vAlign w:val="center"/>
          </w:tcPr>
          <w:p>
            <w:pPr>
              <w:pStyle w:val="36"/>
            </w:pPr>
            <w:r>
              <w:rPr>
                <w:rFonts w:hint="eastAsia"/>
              </w:rPr>
              <w:t>太行村</w:t>
            </w:r>
          </w:p>
        </w:tc>
        <w:tc>
          <w:tcPr>
            <w:tcW w:w="788" w:type="pct"/>
            <w:noWrap w:val="0"/>
            <w:vAlign w:val="center"/>
          </w:tcPr>
          <w:p>
            <w:pPr>
              <w:pStyle w:val="36"/>
            </w:pPr>
            <w:r>
              <w:t>居住区</w:t>
            </w:r>
          </w:p>
        </w:tc>
        <w:tc>
          <w:tcPr>
            <w:tcW w:w="786" w:type="pct"/>
            <w:noWrap w:val="0"/>
            <w:vAlign w:val="center"/>
          </w:tcPr>
          <w:p>
            <w:pPr>
              <w:pStyle w:val="36"/>
            </w:pPr>
            <w:r>
              <w:rPr>
                <w:rFonts w:hint="eastAsia"/>
              </w:rPr>
              <w:t>3</w:t>
            </w:r>
            <w:r>
              <w:t>20</w:t>
            </w:r>
          </w:p>
        </w:tc>
        <w:tc>
          <w:tcPr>
            <w:tcW w:w="704" w:type="pct"/>
            <w:noWrap w:val="0"/>
            <w:vAlign w:val="center"/>
          </w:tcPr>
          <w:p>
            <w:pPr>
              <w:pStyle w:val="36"/>
            </w:pPr>
            <w:r>
              <w:t>NW</w:t>
            </w:r>
          </w:p>
        </w:tc>
        <w:tc>
          <w:tcPr>
            <w:tcW w:w="850" w:type="pct"/>
            <w:noWrap w:val="0"/>
            <w:vAlign w:val="center"/>
          </w:tcPr>
          <w:p>
            <w:pPr>
              <w:pStyle w:val="36"/>
            </w:pPr>
            <w:r>
              <w:rPr>
                <w:rFonts w:hint="eastAsia"/>
              </w:rPr>
              <w:t>4640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33</w:t>
            </w:r>
          </w:p>
        </w:tc>
        <w:tc>
          <w:tcPr>
            <w:tcW w:w="1020" w:type="pct"/>
            <w:noWrap w:val="0"/>
            <w:vAlign w:val="center"/>
          </w:tcPr>
          <w:p>
            <w:pPr>
              <w:pStyle w:val="36"/>
            </w:pPr>
            <w:r>
              <w:rPr>
                <w:rFonts w:hint="eastAsia"/>
              </w:rPr>
              <w:t>潘庄村</w:t>
            </w:r>
          </w:p>
        </w:tc>
        <w:tc>
          <w:tcPr>
            <w:tcW w:w="788" w:type="pct"/>
            <w:noWrap w:val="0"/>
            <w:vAlign w:val="center"/>
          </w:tcPr>
          <w:p>
            <w:pPr>
              <w:pStyle w:val="36"/>
            </w:pPr>
            <w:r>
              <w:t>居住区</w:t>
            </w:r>
          </w:p>
        </w:tc>
        <w:tc>
          <w:tcPr>
            <w:tcW w:w="786" w:type="pct"/>
            <w:noWrap w:val="0"/>
            <w:vAlign w:val="center"/>
          </w:tcPr>
          <w:p>
            <w:pPr>
              <w:pStyle w:val="36"/>
            </w:pPr>
            <w:r>
              <w:rPr>
                <w:rFonts w:hint="eastAsia"/>
              </w:rPr>
              <w:t>4</w:t>
            </w:r>
            <w:r>
              <w:t>20</w:t>
            </w:r>
          </w:p>
        </w:tc>
        <w:tc>
          <w:tcPr>
            <w:tcW w:w="704" w:type="pct"/>
            <w:noWrap w:val="0"/>
            <w:vAlign w:val="center"/>
          </w:tcPr>
          <w:p>
            <w:pPr>
              <w:pStyle w:val="36"/>
            </w:pPr>
            <w:r>
              <w:t>W</w:t>
            </w:r>
          </w:p>
        </w:tc>
        <w:tc>
          <w:tcPr>
            <w:tcW w:w="850" w:type="pct"/>
            <w:noWrap w:val="0"/>
            <w:vAlign w:val="center"/>
          </w:tcPr>
          <w:p>
            <w:pPr>
              <w:pStyle w:val="36"/>
            </w:pPr>
            <w:r>
              <w:rPr>
                <w:rFonts w:hint="eastAsia"/>
              </w:rPr>
              <w:t>4500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34</w:t>
            </w:r>
          </w:p>
        </w:tc>
        <w:tc>
          <w:tcPr>
            <w:tcW w:w="1020" w:type="pct"/>
            <w:noWrap w:val="0"/>
            <w:vAlign w:val="center"/>
          </w:tcPr>
          <w:p>
            <w:pPr>
              <w:pStyle w:val="36"/>
            </w:pPr>
            <w:r>
              <w:rPr>
                <w:rFonts w:hint="eastAsia"/>
              </w:rPr>
              <w:t>张庄村</w:t>
            </w:r>
          </w:p>
        </w:tc>
        <w:tc>
          <w:tcPr>
            <w:tcW w:w="788" w:type="pct"/>
            <w:noWrap w:val="0"/>
            <w:vAlign w:val="top"/>
          </w:tcPr>
          <w:p>
            <w:pPr>
              <w:pStyle w:val="36"/>
            </w:pPr>
            <w:r>
              <w:t>居住区</w:t>
            </w:r>
          </w:p>
        </w:tc>
        <w:tc>
          <w:tcPr>
            <w:tcW w:w="786" w:type="pct"/>
            <w:noWrap w:val="0"/>
            <w:vAlign w:val="center"/>
          </w:tcPr>
          <w:p>
            <w:pPr>
              <w:pStyle w:val="36"/>
            </w:pPr>
            <w:r>
              <w:rPr>
                <w:rFonts w:hint="eastAsia"/>
              </w:rPr>
              <w:t>8</w:t>
            </w:r>
            <w:r>
              <w:t>50</w:t>
            </w:r>
          </w:p>
        </w:tc>
        <w:tc>
          <w:tcPr>
            <w:tcW w:w="704" w:type="pct"/>
            <w:noWrap w:val="0"/>
            <w:vAlign w:val="center"/>
          </w:tcPr>
          <w:p>
            <w:pPr>
              <w:pStyle w:val="36"/>
            </w:pPr>
            <w:r>
              <w:t>W</w:t>
            </w:r>
          </w:p>
        </w:tc>
        <w:tc>
          <w:tcPr>
            <w:tcW w:w="850" w:type="pct"/>
            <w:noWrap w:val="0"/>
            <w:vAlign w:val="center"/>
          </w:tcPr>
          <w:p>
            <w:pPr>
              <w:pStyle w:val="36"/>
            </w:pPr>
            <w:r>
              <w:rPr>
                <w:rFonts w:hint="eastAsia"/>
              </w:rPr>
              <w:t>3780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35</w:t>
            </w:r>
          </w:p>
        </w:tc>
        <w:tc>
          <w:tcPr>
            <w:tcW w:w="1020" w:type="pct"/>
            <w:noWrap w:val="0"/>
            <w:vAlign w:val="center"/>
          </w:tcPr>
          <w:p>
            <w:pPr>
              <w:pStyle w:val="36"/>
            </w:pPr>
            <w:r>
              <w:rPr>
                <w:rFonts w:hint="eastAsia"/>
              </w:rPr>
              <w:t>王固碾村</w:t>
            </w:r>
          </w:p>
        </w:tc>
        <w:tc>
          <w:tcPr>
            <w:tcW w:w="788" w:type="pct"/>
            <w:noWrap w:val="0"/>
            <w:vAlign w:val="top"/>
          </w:tcPr>
          <w:p>
            <w:pPr>
              <w:pStyle w:val="36"/>
            </w:pPr>
            <w:r>
              <w:t>居住区</w:t>
            </w:r>
          </w:p>
        </w:tc>
        <w:tc>
          <w:tcPr>
            <w:tcW w:w="786" w:type="pct"/>
            <w:noWrap w:val="0"/>
            <w:vAlign w:val="center"/>
          </w:tcPr>
          <w:p>
            <w:pPr>
              <w:pStyle w:val="36"/>
            </w:pPr>
            <w:r>
              <w:rPr>
                <w:rFonts w:hint="eastAsia"/>
              </w:rPr>
              <w:t>4</w:t>
            </w:r>
            <w:r>
              <w:t>00</w:t>
            </w:r>
          </w:p>
        </w:tc>
        <w:tc>
          <w:tcPr>
            <w:tcW w:w="704" w:type="pct"/>
            <w:noWrap w:val="0"/>
            <w:vAlign w:val="center"/>
          </w:tcPr>
          <w:p>
            <w:pPr>
              <w:pStyle w:val="36"/>
            </w:pPr>
            <w:r>
              <w:t>WSW</w:t>
            </w:r>
          </w:p>
        </w:tc>
        <w:tc>
          <w:tcPr>
            <w:tcW w:w="850" w:type="pct"/>
            <w:noWrap w:val="0"/>
            <w:vAlign w:val="center"/>
          </w:tcPr>
          <w:p>
            <w:pPr>
              <w:pStyle w:val="36"/>
            </w:pPr>
            <w:r>
              <w:rPr>
                <w:rFonts w:hint="eastAsia"/>
              </w:rPr>
              <w:t>4330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36</w:t>
            </w:r>
          </w:p>
        </w:tc>
        <w:tc>
          <w:tcPr>
            <w:tcW w:w="1020" w:type="pct"/>
            <w:noWrap w:val="0"/>
            <w:vAlign w:val="center"/>
          </w:tcPr>
          <w:p>
            <w:pPr>
              <w:pStyle w:val="36"/>
            </w:pPr>
            <w:r>
              <w:rPr>
                <w:rFonts w:hint="eastAsia"/>
              </w:rPr>
              <w:t>白屯村</w:t>
            </w:r>
          </w:p>
        </w:tc>
        <w:tc>
          <w:tcPr>
            <w:tcW w:w="788" w:type="pct"/>
            <w:noWrap w:val="0"/>
            <w:vAlign w:val="top"/>
          </w:tcPr>
          <w:p>
            <w:pPr>
              <w:pStyle w:val="36"/>
            </w:pPr>
            <w:r>
              <w:t>居住区</w:t>
            </w:r>
          </w:p>
        </w:tc>
        <w:tc>
          <w:tcPr>
            <w:tcW w:w="786" w:type="pct"/>
            <w:noWrap w:val="0"/>
            <w:vAlign w:val="center"/>
          </w:tcPr>
          <w:p>
            <w:pPr>
              <w:pStyle w:val="36"/>
            </w:pPr>
            <w:r>
              <w:rPr>
                <w:rFonts w:hint="eastAsia"/>
              </w:rPr>
              <w:t>1</w:t>
            </w:r>
            <w:r>
              <w:t>500</w:t>
            </w:r>
          </w:p>
        </w:tc>
        <w:tc>
          <w:tcPr>
            <w:tcW w:w="704" w:type="pct"/>
            <w:noWrap w:val="0"/>
            <w:vAlign w:val="center"/>
          </w:tcPr>
          <w:p>
            <w:pPr>
              <w:pStyle w:val="36"/>
            </w:pPr>
            <w:r>
              <w:t>SW</w:t>
            </w:r>
          </w:p>
        </w:tc>
        <w:tc>
          <w:tcPr>
            <w:tcW w:w="850" w:type="pct"/>
            <w:noWrap w:val="0"/>
            <w:vAlign w:val="center"/>
          </w:tcPr>
          <w:p>
            <w:pPr>
              <w:pStyle w:val="36"/>
            </w:pPr>
            <w:r>
              <w:rPr>
                <w:rFonts w:hint="eastAsia"/>
              </w:rPr>
              <w:t>4</w:t>
            </w:r>
            <w:r>
              <w:t>230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37</w:t>
            </w:r>
          </w:p>
        </w:tc>
        <w:tc>
          <w:tcPr>
            <w:tcW w:w="1020" w:type="pct"/>
            <w:noWrap w:val="0"/>
            <w:vAlign w:val="center"/>
          </w:tcPr>
          <w:p>
            <w:pPr>
              <w:pStyle w:val="36"/>
            </w:pPr>
            <w:r>
              <w:rPr>
                <w:rFonts w:hint="eastAsia"/>
              </w:rPr>
              <w:t>王助镇</w:t>
            </w:r>
          </w:p>
        </w:tc>
        <w:tc>
          <w:tcPr>
            <w:tcW w:w="788" w:type="pct"/>
            <w:noWrap w:val="0"/>
            <w:vAlign w:val="top"/>
          </w:tcPr>
          <w:p>
            <w:pPr>
              <w:pStyle w:val="36"/>
            </w:pPr>
            <w:r>
              <w:t>居住区</w:t>
            </w:r>
          </w:p>
        </w:tc>
        <w:tc>
          <w:tcPr>
            <w:tcW w:w="786" w:type="pct"/>
            <w:noWrap w:val="0"/>
            <w:vAlign w:val="center"/>
          </w:tcPr>
          <w:p>
            <w:pPr>
              <w:pStyle w:val="36"/>
            </w:pPr>
            <w:r>
              <w:rPr>
                <w:rFonts w:hint="eastAsia"/>
              </w:rPr>
              <w:t>2</w:t>
            </w:r>
            <w:r>
              <w:t>100</w:t>
            </w:r>
          </w:p>
        </w:tc>
        <w:tc>
          <w:tcPr>
            <w:tcW w:w="704" w:type="pct"/>
            <w:noWrap w:val="0"/>
            <w:vAlign w:val="center"/>
          </w:tcPr>
          <w:p>
            <w:pPr>
              <w:pStyle w:val="36"/>
            </w:pPr>
            <w:r>
              <w:t>S</w:t>
            </w:r>
          </w:p>
        </w:tc>
        <w:tc>
          <w:tcPr>
            <w:tcW w:w="850" w:type="pct"/>
            <w:noWrap w:val="0"/>
            <w:vAlign w:val="center"/>
          </w:tcPr>
          <w:p>
            <w:pPr>
              <w:pStyle w:val="36"/>
            </w:pPr>
            <w:r>
              <w:rPr>
                <w:rFonts w:hint="eastAsia"/>
              </w:rPr>
              <w:t>3640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w:t>
            </w:r>
            <w:r>
              <w:t>8</w:t>
            </w:r>
          </w:p>
        </w:tc>
        <w:tc>
          <w:tcPr>
            <w:tcW w:w="1020" w:type="pct"/>
            <w:noWrap w:val="0"/>
            <w:vAlign w:val="center"/>
          </w:tcPr>
          <w:p>
            <w:pPr>
              <w:pStyle w:val="36"/>
            </w:pPr>
            <w:r>
              <w:rPr>
                <w:rFonts w:hint="eastAsia"/>
              </w:rPr>
              <w:t>大村</w:t>
            </w:r>
          </w:p>
        </w:tc>
        <w:tc>
          <w:tcPr>
            <w:tcW w:w="788" w:type="pct"/>
            <w:noWrap w:val="0"/>
            <w:vAlign w:val="top"/>
          </w:tcPr>
          <w:p>
            <w:pPr>
              <w:pStyle w:val="36"/>
            </w:pPr>
            <w:r>
              <w:t>居住区</w:t>
            </w:r>
          </w:p>
        </w:tc>
        <w:tc>
          <w:tcPr>
            <w:tcW w:w="786" w:type="pct"/>
            <w:noWrap w:val="0"/>
            <w:vAlign w:val="center"/>
          </w:tcPr>
          <w:p>
            <w:pPr>
              <w:pStyle w:val="36"/>
            </w:pPr>
            <w:r>
              <w:rPr>
                <w:rFonts w:hint="eastAsia"/>
              </w:rPr>
              <w:t>4</w:t>
            </w:r>
            <w:r>
              <w:t>00</w:t>
            </w:r>
          </w:p>
        </w:tc>
        <w:tc>
          <w:tcPr>
            <w:tcW w:w="704" w:type="pct"/>
            <w:noWrap w:val="0"/>
            <w:vAlign w:val="center"/>
          </w:tcPr>
          <w:p>
            <w:pPr>
              <w:pStyle w:val="36"/>
            </w:pPr>
            <w:r>
              <w:t>S</w:t>
            </w:r>
          </w:p>
        </w:tc>
        <w:tc>
          <w:tcPr>
            <w:tcW w:w="850" w:type="pct"/>
            <w:noWrap w:val="0"/>
            <w:vAlign w:val="center"/>
          </w:tcPr>
          <w:p>
            <w:pPr>
              <w:pStyle w:val="36"/>
            </w:pPr>
            <w:r>
              <w:rPr>
                <w:rFonts w:hint="eastAsia"/>
              </w:rPr>
              <w:t>4235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3</w:t>
            </w:r>
            <w:r>
              <w:t>9</w:t>
            </w:r>
          </w:p>
        </w:tc>
        <w:tc>
          <w:tcPr>
            <w:tcW w:w="1020" w:type="pct"/>
            <w:noWrap w:val="0"/>
            <w:vAlign w:val="center"/>
          </w:tcPr>
          <w:p>
            <w:pPr>
              <w:pStyle w:val="36"/>
            </w:pPr>
            <w:r>
              <w:rPr>
                <w:rFonts w:hint="eastAsia"/>
              </w:rPr>
              <w:t>崔寨村</w:t>
            </w:r>
          </w:p>
        </w:tc>
        <w:tc>
          <w:tcPr>
            <w:tcW w:w="788" w:type="pct"/>
            <w:noWrap w:val="0"/>
            <w:vAlign w:val="top"/>
          </w:tcPr>
          <w:p>
            <w:pPr>
              <w:pStyle w:val="36"/>
            </w:pPr>
            <w:r>
              <w:t>居住区</w:t>
            </w:r>
          </w:p>
        </w:tc>
        <w:tc>
          <w:tcPr>
            <w:tcW w:w="786" w:type="pct"/>
            <w:noWrap w:val="0"/>
            <w:vAlign w:val="center"/>
          </w:tcPr>
          <w:p>
            <w:pPr>
              <w:pStyle w:val="36"/>
            </w:pPr>
            <w:r>
              <w:rPr>
                <w:rFonts w:hint="eastAsia"/>
              </w:rPr>
              <w:t>3</w:t>
            </w:r>
            <w:r>
              <w:t>50</w:t>
            </w:r>
          </w:p>
        </w:tc>
        <w:tc>
          <w:tcPr>
            <w:tcW w:w="704" w:type="pct"/>
            <w:noWrap w:val="0"/>
            <w:vAlign w:val="center"/>
          </w:tcPr>
          <w:p>
            <w:pPr>
              <w:pStyle w:val="36"/>
            </w:pPr>
            <w:r>
              <w:t>S</w:t>
            </w:r>
          </w:p>
        </w:tc>
        <w:tc>
          <w:tcPr>
            <w:tcW w:w="850" w:type="pct"/>
            <w:noWrap w:val="0"/>
            <w:vAlign w:val="center"/>
          </w:tcPr>
          <w:p>
            <w:pPr>
              <w:pStyle w:val="36"/>
            </w:pPr>
            <w:r>
              <w:rPr>
                <w:rFonts w:hint="eastAsia"/>
              </w:rPr>
              <w:t>3</w:t>
            </w:r>
            <w:r>
              <w:t>3</w:t>
            </w:r>
            <w:r>
              <w:rPr>
                <w:rFonts w:hint="eastAsia"/>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0</w:t>
            </w:r>
          </w:p>
        </w:tc>
        <w:tc>
          <w:tcPr>
            <w:tcW w:w="1020" w:type="pct"/>
            <w:noWrap w:val="0"/>
            <w:vAlign w:val="center"/>
          </w:tcPr>
          <w:p>
            <w:pPr>
              <w:pStyle w:val="36"/>
            </w:pPr>
            <w:r>
              <w:rPr>
                <w:rFonts w:hint="eastAsia"/>
              </w:rPr>
              <w:t>冯寨村</w:t>
            </w:r>
          </w:p>
        </w:tc>
        <w:tc>
          <w:tcPr>
            <w:tcW w:w="788" w:type="pct"/>
            <w:noWrap w:val="0"/>
            <w:vAlign w:val="top"/>
          </w:tcPr>
          <w:p>
            <w:pPr>
              <w:pStyle w:val="36"/>
            </w:pPr>
            <w:r>
              <w:t>居住区</w:t>
            </w:r>
          </w:p>
        </w:tc>
        <w:tc>
          <w:tcPr>
            <w:tcW w:w="786" w:type="pct"/>
            <w:noWrap w:val="0"/>
            <w:vAlign w:val="center"/>
          </w:tcPr>
          <w:p>
            <w:pPr>
              <w:pStyle w:val="36"/>
            </w:pPr>
            <w:r>
              <w:rPr>
                <w:rFonts w:hint="eastAsia"/>
              </w:rPr>
              <w:t>2</w:t>
            </w:r>
            <w:r>
              <w:t>60</w:t>
            </w:r>
          </w:p>
        </w:tc>
        <w:tc>
          <w:tcPr>
            <w:tcW w:w="704" w:type="pct"/>
            <w:noWrap w:val="0"/>
            <w:vAlign w:val="center"/>
          </w:tcPr>
          <w:p>
            <w:pPr>
              <w:pStyle w:val="36"/>
            </w:pPr>
            <w:r>
              <w:t>S</w:t>
            </w:r>
          </w:p>
        </w:tc>
        <w:tc>
          <w:tcPr>
            <w:tcW w:w="850" w:type="pct"/>
            <w:noWrap w:val="0"/>
            <w:vAlign w:val="center"/>
          </w:tcPr>
          <w:p>
            <w:pPr>
              <w:pStyle w:val="36"/>
            </w:pPr>
            <w:r>
              <w:rPr>
                <w:rFonts w:hint="eastAsia"/>
              </w:rPr>
              <w:t>3170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1</w:t>
            </w:r>
          </w:p>
        </w:tc>
        <w:tc>
          <w:tcPr>
            <w:tcW w:w="1020" w:type="pct"/>
            <w:noWrap w:val="0"/>
            <w:vAlign w:val="center"/>
          </w:tcPr>
          <w:p>
            <w:pPr>
              <w:pStyle w:val="36"/>
            </w:pPr>
            <w:r>
              <w:rPr>
                <w:rFonts w:hint="eastAsia"/>
              </w:rPr>
              <w:t>赤田寨村</w:t>
            </w:r>
          </w:p>
        </w:tc>
        <w:tc>
          <w:tcPr>
            <w:tcW w:w="788" w:type="pct"/>
            <w:noWrap w:val="0"/>
            <w:vAlign w:val="top"/>
          </w:tcPr>
          <w:p>
            <w:pPr>
              <w:pStyle w:val="36"/>
            </w:pPr>
            <w:r>
              <w:t>居住区</w:t>
            </w:r>
          </w:p>
        </w:tc>
        <w:tc>
          <w:tcPr>
            <w:tcW w:w="786" w:type="pct"/>
            <w:noWrap w:val="0"/>
            <w:vAlign w:val="center"/>
          </w:tcPr>
          <w:p>
            <w:pPr>
              <w:pStyle w:val="36"/>
            </w:pPr>
            <w:r>
              <w:rPr>
                <w:rFonts w:hint="eastAsia"/>
              </w:rPr>
              <w:t>6</w:t>
            </w:r>
            <w:r>
              <w:t>00</w:t>
            </w:r>
          </w:p>
        </w:tc>
        <w:tc>
          <w:tcPr>
            <w:tcW w:w="704" w:type="pct"/>
            <w:noWrap w:val="0"/>
            <w:vAlign w:val="center"/>
          </w:tcPr>
          <w:p>
            <w:pPr>
              <w:pStyle w:val="36"/>
            </w:pPr>
            <w:r>
              <w:t>S</w:t>
            </w:r>
          </w:p>
        </w:tc>
        <w:tc>
          <w:tcPr>
            <w:tcW w:w="850" w:type="pct"/>
            <w:noWrap w:val="0"/>
            <w:vAlign w:val="center"/>
          </w:tcPr>
          <w:p>
            <w:pPr>
              <w:pStyle w:val="36"/>
            </w:pPr>
            <w:r>
              <w:rPr>
                <w:rFonts w:hint="eastAsia"/>
              </w:rPr>
              <w:t>4</w:t>
            </w:r>
            <w:r>
              <w:t>1</w:t>
            </w:r>
            <w:r>
              <w:rPr>
                <w:rFonts w:hint="eastAsia"/>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2</w:t>
            </w:r>
          </w:p>
        </w:tc>
        <w:tc>
          <w:tcPr>
            <w:tcW w:w="1020" w:type="pct"/>
            <w:noWrap w:val="0"/>
            <w:vAlign w:val="center"/>
          </w:tcPr>
          <w:p>
            <w:pPr>
              <w:pStyle w:val="36"/>
            </w:pPr>
            <w:r>
              <w:rPr>
                <w:rFonts w:hint="eastAsia"/>
              </w:rPr>
              <w:t>后南旺村</w:t>
            </w:r>
          </w:p>
        </w:tc>
        <w:tc>
          <w:tcPr>
            <w:tcW w:w="788" w:type="pct"/>
            <w:noWrap w:val="0"/>
            <w:vAlign w:val="top"/>
          </w:tcPr>
          <w:p>
            <w:pPr>
              <w:pStyle w:val="36"/>
            </w:pPr>
            <w:r>
              <w:t>居住区</w:t>
            </w:r>
          </w:p>
        </w:tc>
        <w:tc>
          <w:tcPr>
            <w:tcW w:w="786" w:type="pct"/>
            <w:noWrap w:val="0"/>
            <w:vAlign w:val="center"/>
          </w:tcPr>
          <w:p>
            <w:pPr>
              <w:pStyle w:val="36"/>
            </w:pPr>
            <w:r>
              <w:rPr>
                <w:rFonts w:hint="eastAsia"/>
              </w:rPr>
              <w:t>4</w:t>
            </w:r>
            <w:r>
              <w:t>00</w:t>
            </w:r>
          </w:p>
        </w:tc>
        <w:tc>
          <w:tcPr>
            <w:tcW w:w="704" w:type="pct"/>
            <w:noWrap w:val="0"/>
            <w:vAlign w:val="center"/>
          </w:tcPr>
          <w:p>
            <w:pPr>
              <w:pStyle w:val="36"/>
            </w:pPr>
            <w:r>
              <w:t>SSE</w:t>
            </w:r>
          </w:p>
        </w:tc>
        <w:tc>
          <w:tcPr>
            <w:tcW w:w="850" w:type="pct"/>
            <w:noWrap w:val="0"/>
            <w:vAlign w:val="center"/>
          </w:tcPr>
          <w:p>
            <w:pPr>
              <w:pStyle w:val="36"/>
            </w:pPr>
            <w:r>
              <w:rPr>
                <w:rFonts w:hint="eastAsia"/>
              </w:rPr>
              <w:t>3870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3</w:t>
            </w:r>
          </w:p>
        </w:tc>
        <w:tc>
          <w:tcPr>
            <w:tcW w:w="1020" w:type="pct"/>
            <w:noWrap w:val="0"/>
            <w:vAlign w:val="center"/>
          </w:tcPr>
          <w:p>
            <w:pPr>
              <w:pStyle w:val="36"/>
            </w:pPr>
            <w:r>
              <w:rPr>
                <w:rFonts w:hint="eastAsia"/>
              </w:rPr>
              <w:t>前南旺村</w:t>
            </w:r>
          </w:p>
        </w:tc>
        <w:tc>
          <w:tcPr>
            <w:tcW w:w="788" w:type="pct"/>
            <w:noWrap w:val="0"/>
            <w:vAlign w:val="top"/>
          </w:tcPr>
          <w:p>
            <w:pPr>
              <w:pStyle w:val="36"/>
            </w:pPr>
            <w:r>
              <w:t>居住区</w:t>
            </w:r>
          </w:p>
        </w:tc>
        <w:tc>
          <w:tcPr>
            <w:tcW w:w="786" w:type="pct"/>
            <w:noWrap w:val="0"/>
            <w:vAlign w:val="center"/>
          </w:tcPr>
          <w:p>
            <w:pPr>
              <w:pStyle w:val="36"/>
            </w:pPr>
            <w:r>
              <w:rPr>
                <w:rFonts w:hint="eastAsia"/>
              </w:rPr>
              <w:t>8</w:t>
            </w:r>
            <w:r>
              <w:t>00</w:t>
            </w:r>
          </w:p>
        </w:tc>
        <w:tc>
          <w:tcPr>
            <w:tcW w:w="704" w:type="pct"/>
            <w:noWrap w:val="0"/>
            <w:vAlign w:val="center"/>
          </w:tcPr>
          <w:p>
            <w:pPr>
              <w:pStyle w:val="36"/>
            </w:pPr>
            <w:r>
              <w:t>SSE</w:t>
            </w:r>
          </w:p>
        </w:tc>
        <w:tc>
          <w:tcPr>
            <w:tcW w:w="850" w:type="pct"/>
            <w:noWrap w:val="0"/>
            <w:vAlign w:val="center"/>
          </w:tcPr>
          <w:p>
            <w:pPr>
              <w:pStyle w:val="36"/>
            </w:pPr>
            <w:r>
              <w:rPr>
                <w:rFonts w:hint="eastAsia"/>
              </w:rPr>
              <w:t>4270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4</w:t>
            </w:r>
          </w:p>
        </w:tc>
        <w:tc>
          <w:tcPr>
            <w:tcW w:w="1020" w:type="pct"/>
            <w:noWrap w:val="0"/>
            <w:vAlign w:val="center"/>
          </w:tcPr>
          <w:p>
            <w:pPr>
              <w:pStyle w:val="36"/>
            </w:pPr>
            <w:r>
              <w:rPr>
                <w:rFonts w:hint="eastAsia"/>
              </w:rPr>
              <w:t>郭寨村</w:t>
            </w:r>
          </w:p>
        </w:tc>
        <w:tc>
          <w:tcPr>
            <w:tcW w:w="788" w:type="pct"/>
            <w:noWrap w:val="0"/>
            <w:vAlign w:val="top"/>
          </w:tcPr>
          <w:p>
            <w:pPr>
              <w:pStyle w:val="36"/>
            </w:pPr>
            <w:r>
              <w:t>居住区</w:t>
            </w:r>
          </w:p>
        </w:tc>
        <w:tc>
          <w:tcPr>
            <w:tcW w:w="786" w:type="pct"/>
            <w:noWrap w:val="0"/>
            <w:vAlign w:val="center"/>
          </w:tcPr>
          <w:p>
            <w:pPr>
              <w:pStyle w:val="36"/>
            </w:pPr>
            <w:r>
              <w:rPr>
                <w:rFonts w:hint="eastAsia"/>
              </w:rPr>
              <w:t>1</w:t>
            </w:r>
            <w:r>
              <w:t>000</w:t>
            </w:r>
          </w:p>
        </w:tc>
        <w:tc>
          <w:tcPr>
            <w:tcW w:w="704" w:type="pct"/>
            <w:noWrap w:val="0"/>
            <w:vAlign w:val="center"/>
          </w:tcPr>
          <w:p>
            <w:pPr>
              <w:pStyle w:val="36"/>
            </w:pPr>
            <w:r>
              <w:t>SE</w:t>
            </w:r>
          </w:p>
        </w:tc>
        <w:tc>
          <w:tcPr>
            <w:tcW w:w="850" w:type="pct"/>
            <w:noWrap w:val="0"/>
            <w:vAlign w:val="center"/>
          </w:tcPr>
          <w:p>
            <w:pPr>
              <w:pStyle w:val="36"/>
            </w:pPr>
            <w:r>
              <w:rPr>
                <w:rFonts w:hint="eastAsia"/>
              </w:rPr>
              <w:t>4060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5</w:t>
            </w:r>
          </w:p>
        </w:tc>
        <w:tc>
          <w:tcPr>
            <w:tcW w:w="1020" w:type="pct"/>
            <w:noWrap w:val="0"/>
            <w:vAlign w:val="center"/>
          </w:tcPr>
          <w:p>
            <w:pPr>
              <w:pStyle w:val="36"/>
            </w:pPr>
            <w:r>
              <w:rPr>
                <w:rFonts w:hint="eastAsia"/>
              </w:rPr>
              <w:t>建业壹号城邦</w:t>
            </w:r>
          </w:p>
        </w:tc>
        <w:tc>
          <w:tcPr>
            <w:tcW w:w="788" w:type="pct"/>
            <w:noWrap w:val="0"/>
            <w:vAlign w:val="center"/>
          </w:tcPr>
          <w:p>
            <w:pPr>
              <w:pStyle w:val="36"/>
            </w:pPr>
            <w:r>
              <w:t>居住区</w:t>
            </w:r>
          </w:p>
        </w:tc>
        <w:tc>
          <w:tcPr>
            <w:tcW w:w="786" w:type="pct"/>
            <w:noWrap w:val="0"/>
            <w:vAlign w:val="center"/>
          </w:tcPr>
          <w:p>
            <w:pPr>
              <w:pStyle w:val="36"/>
            </w:pPr>
            <w:r>
              <w:t>1</w:t>
            </w:r>
            <w:r>
              <w:rPr>
                <w:rFonts w:hint="eastAsia"/>
              </w:rPr>
              <w:t>5</w:t>
            </w:r>
            <w:r>
              <w:t>000</w:t>
            </w:r>
          </w:p>
        </w:tc>
        <w:tc>
          <w:tcPr>
            <w:tcW w:w="704" w:type="pct"/>
            <w:noWrap w:val="0"/>
            <w:vAlign w:val="center"/>
          </w:tcPr>
          <w:p>
            <w:pPr>
              <w:pStyle w:val="36"/>
            </w:pPr>
            <w:r>
              <w:rPr>
                <w:rFonts w:hint="eastAsia"/>
              </w:rPr>
              <w:t>N</w:t>
            </w:r>
            <w:r>
              <w:t>NE</w:t>
            </w:r>
          </w:p>
        </w:tc>
        <w:tc>
          <w:tcPr>
            <w:tcW w:w="850" w:type="pct"/>
            <w:noWrap w:val="0"/>
            <w:vAlign w:val="center"/>
          </w:tcPr>
          <w:p>
            <w:pPr>
              <w:pStyle w:val="36"/>
            </w:pPr>
            <w:r>
              <w:rPr>
                <w:rFonts w:hint="eastAsia"/>
              </w:rPr>
              <w:t>4540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6</w:t>
            </w:r>
          </w:p>
        </w:tc>
        <w:tc>
          <w:tcPr>
            <w:tcW w:w="1020" w:type="pct"/>
            <w:noWrap w:val="0"/>
            <w:vAlign w:val="center"/>
          </w:tcPr>
          <w:p>
            <w:pPr>
              <w:pStyle w:val="36"/>
            </w:pPr>
            <w:r>
              <w:rPr>
                <w:rFonts w:hint="eastAsia"/>
              </w:rPr>
              <w:t>濮上生态园</w:t>
            </w:r>
          </w:p>
        </w:tc>
        <w:tc>
          <w:tcPr>
            <w:tcW w:w="788" w:type="pct"/>
            <w:noWrap w:val="0"/>
            <w:vAlign w:val="center"/>
          </w:tcPr>
          <w:p>
            <w:pPr>
              <w:pStyle w:val="36"/>
            </w:pPr>
            <w:r>
              <w:rPr>
                <w:rFonts w:hint="eastAsia"/>
              </w:rPr>
              <w:t>其他</w:t>
            </w:r>
          </w:p>
        </w:tc>
        <w:tc>
          <w:tcPr>
            <w:tcW w:w="786" w:type="pct"/>
            <w:noWrap w:val="0"/>
            <w:vAlign w:val="center"/>
          </w:tcPr>
          <w:p>
            <w:pPr>
              <w:pStyle w:val="36"/>
            </w:pPr>
            <w:r>
              <w:rPr>
                <w:rFonts w:hint="eastAsia"/>
              </w:rPr>
              <w:t>2</w:t>
            </w:r>
            <w:r>
              <w:t>00</w:t>
            </w:r>
          </w:p>
        </w:tc>
        <w:tc>
          <w:tcPr>
            <w:tcW w:w="704" w:type="pct"/>
            <w:noWrap w:val="0"/>
            <w:vAlign w:val="center"/>
          </w:tcPr>
          <w:p>
            <w:pPr>
              <w:pStyle w:val="36"/>
            </w:pPr>
            <w:r>
              <w:rPr>
                <w:rFonts w:hint="eastAsia"/>
              </w:rPr>
              <w:t>N</w:t>
            </w:r>
            <w:r>
              <w:t>W</w:t>
            </w:r>
          </w:p>
        </w:tc>
        <w:tc>
          <w:tcPr>
            <w:tcW w:w="850" w:type="pct"/>
            <w:noWrap w:val="0"/>
            <w:vAlign w:val="center"/>
          </w:tcPr>
          <w:p>
            <w:pPr>
              <w:pStyle w:val="36"/>
            </w:pPr>
            <w:r>
              <w:rPr>
                <w:rFonts w:hint="eastAsia"/>
              </w:rPr>
              <w:t>3370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rPr>
                <w:rFonts w:hint="eastAsia"/>
              </w:rPr>
              <w:t>4</w:t>
            </w:r>
            <w:r>
              <w:t>7</w:t>
            </w:r>
          </w:p>
        </w:tc>
        <w:tc>
          <w:tcPr>
            <w:tcW w:w="1020" w:type="pct"/>
            <w:noWrap w:val="0"/>
            <w:vAlign w:val="center"/>
          </w:tcPr>
          <w:p>
            <w:pPr>
              <w:pStyle w:val="36"/>
            </w:pPr>
            <w:r>
              <w:t>濮阳市</w:t>
            </w:r>
            <w:r>
              <w:rPr>
                <w:rFonts w:hint="eastAsia"/>
              </w:rPr>
              <w:t>华龙区人民路街道</w:t>
            </w:r>
          </w:p>
        </w:tc>
        <w:tc>
          <w:tcPr>
            <w:tcW w:w="788" w:type="pct"/>
            <w:noWrap w:val="0"/>
            <w:vAlign w:val="center"/>
          </w:tcPr>
          <w:p>
            <w:pPr>
              <w:pStyle w:val="36"/>
            </w:pPr>
            <w:r>
              <w:t>居住区</w:t>
            </w:r>
          </w:p>
        </w:tc>
        <w:tc>
          <w:tcPr>
            <w:tcW w:w="786" w:type="pct"/>
            <w:noWrap w:val="0"/>
            <w:vAlign w:val="center"/>
          </w:tcPr>
          <w:p>
            <w:pPr>
              <w:pStyle w:val="36"/>
            </w:pPr>
            <w:r>
              <w:t>3000</w:t>
            </w:r>
            <w:r>
              <w:rPr>
                <w:rFonts w:hint="eastAsia"/>
              </w:rPr>
              <w:t>0</w:t>
            </w:r>
          </w:p>
        </w:tc>
        <w:tc>
          <w:tcPr>
            <w:tcW w:w="704" w:type="pct"/>
            <w:noWrap w:val="0"/>
            <w:vAlign w:val="center"/>
          </w:tcPr>
          <w:p>
            <w:pPr>
              <w:pStyle w:val="36"/>
            </w:pPr>
            <w:r>
              <w:t>E</w:t>
            </w:r>
          </w:p>
        </w:tc>
        <w:tc>
          <w:tcPr>
            <w:tcW w:w="850" w:type="pct"/>
            <w:noWrap w:val="0"/>
            <w:vAlign w:val="center"/>
          </w:tcPr>
          <w:p>
            <w:pPr>
              <w:pStyle w:val="36"/>
            </w:pPr>
            <w:r>
              <w:rPr>
                <w:rFonts w:hint="eastAsia"/>
              </w:rPr>
              <w:t>3</w:t>
            </w:r>
            <w:r>
              <w:t>860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2251" w:type="pct"/>
            <w:gridSpan w:val="3"/>
            <w:noWrap w:val="0"/>
            <w:vAlign w:val="center"/>
          </w:tcPr>
          <w:p>
            <w:pPr>
              <w:pStyle w:val="36"/>
            </w:pPr>
            <w:r>
              <w:rPr>
                <w:rFonts w:hint="eastAsia"/>
              </w:rPr>
              <w:t>合计</w:t>
            </w:r>
          </w:p>
        </w:tc>
        <w:tc>
          <w:tcPr>
            <w:tcW w:w="786" w:type="pct"/>
            <w:noWrap w:val="0"/>
            <w:vAlign w:val="center"/>
          </w:tcPr>
          <w:p>
            <w:pPr>
              <w:pStyle w:val="36"/>
            </w:pPr>
            <w:r>
              <w:fldChar w:fldCharType="begin"/>
            </w:r>
            <w:r>
              <w:instrText xml:space="preserve"> =SUM(ABOVE) \* MERGEFORMAT </w:instrText>
            </w:r>
            <w:r>
              <w:fldChar w:fldCharType="separate"/>
            </w:r>
            <w:r>
              <w:t>80701</w:t>
            </w:r>
            <w:r>
              <w:fldChar w:fldCharType="end"/>
            </w:r>
          </w:p>
        </w:tc>
        <w:tc>
          <w:tcPr>
            <w:tcW w:w="704" w:type="pct"/>
            <w:noWrap w:val="0"/>
            <w:vAlign w:val="center"/>
          </w:tcPr>
          <w:p>
            <w:pPr>
              <w:pStyle w:val="36"/>
            </w:pPr>
            <w:r>
              <w:rPr>
                <w:rFonts w:hint="eastAsia"/>
              </w:rPr>
              <w:t>/</w:t>
            </w:r>
          </w:p>
        </w:tc>
        <w:tc>
          <w:tcPr>
            <w:tcW w:w="850" w:type="pct"/>
            <w:noWrap w:val="0"/>
            <w:vAlign w:val="center"/>
          </w:tcPr>
          <w:p>
            <w:pPr>
              <w:pStyle w:val="36"/>
            </w:pPr>
            <w:r>
              <w:rPr>
                <w:rFonts w:hint="eastAsia"/>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restart"/>
            <w:noWrap w:val="0"/>
            <w:vAlign w:val="center"/>
          </w:tcPr>
          <w:p>
            <w:pPr>
              <w:pStyle w:val="36"/>
              <w:rPr>
                <w:b/>
                <w:bCs/>
              </w:rPr>
            </w:pPr>
            <w:r>
              <w:rPr>
                <w:b/>
                <w:bCs/>
              </w:rPr>
              <w:t>地表水</w:t>
            </w:r>
          </w:p>
        </w:tc>
        <w:tc>
          <w:tcPr>
            <w:tcW w:w="4591" w:type="pct"/>
            <w:gridSpan w:val="6"/>
            <w:noWrap w:val="0"/>
            <w:vAlign w:val="center"/>
          </w:tcPr>
          <w:p>
            <w:pPr>
              <w:pStyle w:val="36"/>
              <w:rPr>
                <w:b/>
                <w:bCs/>
              </w:rPr>
            </w:pPr>
            <w:r>
              <w:rPr>
                <w:rFonts w:hint="eastAsia"/>
                <w:b/>
                <w:bCs/>
              </w:rPr>
              <w:t>周围</w:t>
            </w:r>
            <w:r>
              <w:rPr>
                <w:b/>
                <w:bCs/>
              </w:rPr>
              <w:t>水体</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rPr>
                <w:b/>
                <w:bCs/>
              </w:rPr>
            </w:pPr>
            <w:r>
              <w:rPr>
                <w:b/>
                <w:bCs/>
              </w:rPr>
              <w:t>序号</w:t>
            </w:r>
          </w:p>
        </w:tc>
        <w:tc>
          <w:tcPr>
            <w:tcW w:w="1020" w:type="pct"/>
            <w:noWrap w:val="0"/>
            <w:vAlign w:val="center"/>
          </w:tcPr>
          <w:p>
            <w:pPr>
              <w:pStyle w:val="36"/>
              <w:rPr>
                <w:b/>
                <w:bCs/>
              </w:rPr>
            </w:pPr>
            <w:r>
              <w:rPr>
                <w:b/>
                <w:bCs/>
              </w:rPr>
              <w:t>受纳水体名称</w:t>
            </w:r>
          </w:p>
        </w:tc>
        <w:tc>
          <w:tcPr>
            <w:tcW w:w="1574" w:type="pct"/>
            <w:gridSpan w:val="2"/>
            <w:noWrap w:val="0"/>
            <w:vAlign w:val="center"/>
          </w:tcPr>
          <w:p>
            <w:pPr>
              <w:pStyle w:val="36"/>
              <w:rPr>
                <w:b/>
                <w:bCs/>
              </w:rPr>
            </w:pPr>
            <w:r>
              <w:rPr>
                <w:b/>
                <w:bCs/>
              </w:rPr>
              <w:t>排放点水域环境功能</w:t>
            </w:r>
          </w:p>
        </w:tc>
        <w:tc>
          <w:tcPr>
            <w:tcW w:w="704" w:type="pct"/>
            <w:noWrap w:val="0"/>
            <w:vAlign w:val="center"/>
          </w:tcPr>
          <w:p>
            <w:pPr>
              <w:pStyle w:val="36"/>
              <w:rPr>
                <w:b/>
                <w:bCs/>
              </w:rPr>
            </w:pPr>
            <w:r>
              <w:rPr>
                <w:rFonts w:hint="eastAsia"/>
                <w:b/>
                <w:bCs/>
              </w:rPr>
              <w:t>方位</w:t>
            </w:r>
          </w:p>
        </w:tc>
        <w:tc>
          <w:tcPr>
            <w:tcW w:w="850" w:type="pct"/>
            <w:noWrap w:val="0"/>
            <w:vAlign w:val="center"/>
          </w:tcPr>
          <w:p>
            <w:pPr>
              <w:pStyle w:val="36"/>
              <w:rPr>
                <w:b/>
                <w:bCs/>
              </w:rPr>
            </w:pPr>
            <w:r>
              <w:rPr>
                <w:rFonts w:hint="eastAsia"/>
                <w:b/>
                <w:bCs/>
              </w:rPr>
              <w:t>与项目边界</w:t>
            </w:r>
          </w:p>
          <w:p>
            <w:pPr>
              <w:pStyle w:val="36"/>
              <w:rPr>
                <w:b/>
                <w:bCs/>
              </w:rPr>
            </w:pPr>
            <w:r>
              <w:rPr>
                <w:b/>
                <w:bCs/>
              </w:rPr>
              <w:t>距离/m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pPr>
            <w:r>
              <w:t>1</w:t>
            </w:r>
          </w:p>
        </w:tc>
        <w:tc>
          <w:tcPr>
            <w:tcW w:w="1020" w:type="pct"/>
            <w:noWrap w:val="0"/>
            <w:vAlign w:val="center"/>
          </w:tcPr>
          <w:p>
            <w:pPr>
              <w:pStyle w:val="36"/>
            </w:pPr>
            <w:r>
              <w:rPr>
                <w:rFonts w:hint="eastAsia"/>
              </w:rPr>
              <w:t>濮清南干渠</w:t>
            </w:r>
          </w:p>
        </w:tc>
        <w:tc>
          <w:tcPr>
            <w:tcW w:w="1574" w:type="pct"/>
            <w:gridSpan w:val="2"/>
            <w:noWrap w:val="0"/>
            <w:vAlign w:val="center"/>
          </w:tcPr>
          <w:p>
            <w:pPr>
              <w:pStyle w:val="36"/>
              <w:rPr>
                <w:rFonts w:ascii="宋体" w:hAnsi="宋体"/>
              </w:rPr>
            </w:pPr>
            <w:r>
              <w:rPr>
                <w:rFonts w:hint="eastAsia" w:ascii="宋体" w:hAnsi="宋体"/>
              </w:rPr>
              <w:t>Ⅲ类</w:t>
            </w:r>
          </w:p>
        </w:tc>
        <w:tc>
          <w:tcPr>
            <w:tcW w:w="704" w:type="pct"/>
            <w:noWrap w:val="0"/>
            <w:vAlign w:val="center"/>
          </w:tcPr>
          <w:p>
            <w:pPr>
              <w:pStyle w:val="36"/>
            </w:pPr>
            <w:r>
              <w:rPr>
                <w:rFonts w:hint="eastAsia"/>
              </w:rPr>
              <w:t>W</w:t>
            </w:r>
          </w:p>
        </w:tc>
        <w:tc>
          <w:tcPr>
            <w:tcW w:w="850" w:type="pct"/>
            <w:noWrap w:val="0"/>
            <w:vAlign w:val="center"/>
          </w:tcPr>
          <w:p>
            <w:pPr>
              <w:pStyle w:val="36"/>
            </w:pPr>
            <w:r>
              <w:rPr>
                <w:rFonts w:hint="eastAsia"/>
              </w:rPr>
              <w:t>1290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restart"/>
            <w:noWrap w:val="0"/>
            <w:vAlign w:val="center"/>
          </w:tcPr>
          <w:p>
            <w:pPr>
              <w:pStyle w:val="36"/>
              <w:rPr>
                <w:b/>
                <w:bCs/>
              </w:rPr>
            </w:pPr>
            <w:r>
              <w:rPr>
                <w:rFonts w:hint="eastAsia"/>
                <w:b/>
                <w:bCs/>
              </w:rPr>
              <w:t>地下水</w:t>
            </w:r>
          </w:p>
        </w:tc>
        <w:tc>
          <w:tcPr>
            <w:tcW w:w="443" w:type="pct"/>
            <w:noWrap w:val="0"/>
            <w:vAlign w:val="center"/>
          </w:tcPr>
          <w:p>
            <w:pPr>
              <w:pStyle w:val="36"/>
              <w:rPr>
                <w:rFonts w:hint="eastAsia"/>
              </w:rPr>
            </w:pPr>
            <w:r>
              <w:rPr>
                <w:b/>
                <w:bCs/>
              </w:rPr>
              <w:t>序号</w:t>
            </w:r>
          </w:p>
        </w:tc>
        <w:tc>
          <w:tcPr>
            <w:tcW w:w="1020" w:type="pct"/>
            <w:noWrap w:val="0"/>
            <w:vAlign w:val="center"/>
          </w:tcPr>
          <w:p>
            <w:pPr>
              <w:pStyle w:val="36"/>
              <w:rPr>
                <w:rFonts w:hint="eastAsia"/>
              </w:rPr>
            </w:pPr>
            <w:r>
              <w:rPr>
                <w:b/>
                <w:bCs/>
              </w:rPr>
              <w:t>环境敏感区名称</w:t>
            </w:r>
          </w:p>
        </w:tc>
        <w:tc>
          <w:tcPr>
            <w:tcW w:w="1574" w:type="pct"/>
            <w:gridSpan w:val="2"/>
            <w:noWrap w:val="0"/>
            <w:vAlign w:val="center"/>
          </w:tcPr>
          <w:p>
            <w:pPr>
              <w:pStyle w:val="36"/>
              <w:rPr>
                <w:rFonts w:hint="eastAsia" w:ascii="宋体" w:hAnsi="宋体"/>
              </w:rPr>
            </w:pPr>
            <w:r>
              <w:rPr>
                <w:b/>
                <w:bCs/>
              </w:rPr>
              <w:t>环境敏感特征</w:t>
            </w:r>
          </w:p>
        </w:tc>
        <w:tc>
          <w:tcPr>
            <w:tcW w:w="704" w:type="pct"/>
            <w:noWrap w:val="0"/>
            <w:vAlign w:val="center"/>
          </w:tcPr>
          <w:p>
            <w:pPr>
              <w:pStyle w:val="36"/>
              <w:rPr>
                <w:rFonts w:hint="eastAsia"/>
              </w:rPr>
            </w:pPr>
            <w:r>
              <w:rPr>
                <w:b/>
                <w:bCs/>
              </w:rPr>
              <w:t>水质目标</w:t>
            </w:r>
          </w:p>
        </w:tc>
        <w:tc>
          <w:tcPr>
            <w:tcW w:w="850" w:type="pct"/>
            <w:noWrap w:val="0"/>
            <w:vAlign w:val="center"/>
          </w:tcPr>
          <w:p>
            <w:pPr>
              <w:pStyle w:val="36"/>
              <w:rPr>
                <w:rFonts w:hint="eastAsia"/>
              </w:rPr>
            </w:pPr>
            <w:r>
              <w:rPr>
                <w:rFonts w:hint="eastAsia"/>
                <w:b/>
                <w:bCs/>
              </w:rPr>
              <w:t>方位</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rPr>
                <w:rFonts w:hint="eastAsia"/>
              </w:rPr>
            </w:pPr>
            <w:r>
              <w:rPr>
                <w:szCs w:val="21"/>
              </w:rPr>
              <w:t>1</w:t>
            </w:r>
          </w:p>
        </w:tc>
        <w:tc>
          <w:tcPr>
            <w:tcW w:w="1020" w:type="pct"/>
            <w:noWrap w:val="0"/>
            <w:vAlign w:val="center"/>
          </w:tcPr>
          <w:p>
            <w:pPr>
              <w:pStyle w:val="36"/>
              <w:rPr>
                <w:rFonts w:hint="eastAsia"/>
              </w:rPr>
            </w:pPr>
            <w:r>
              <w:rPr>
                <w:rFonts w:hint="eastAsia"/>
                <w:szCs w:val="21"/>
              </w:rPr>
              <w:t>康呼村</w:t>
            </w:r>
          </w:p>
        </w:tc>
        <w:tc>
          <w:tcPr>
            <w:tcW w:w="1574" w:type="pct"/>
            <w:gridSpan w:val="2"/>
            <w:noWrap w:val="0"/>
            <w:vAlign w:val="center"/>
          </w:tcPr>
          <w:p>
            <w:pPr>
              <w:pStyle w:val="36"/>
              <w:rPr>
                <w:rFonts w:hint="eastAsia" w:ascii="宋体" w:hAnsi="宋体"/>
              </w:rPr>
            </w:pPr>
            <w:r>
              <w:rPr>
                <w:rFonts w:hint="eastAsia"/>
              </w:rPr>
              <w:t>分散式饮用水源地</w:t>
            </w:r>
          </w:p>
        </w:tc>
        <w:tc>
          <w:tcPr>
            <w:tcW w:w="704" w:type="pct"/>
            <w:noWrap w:val="0"/>
            <w:vAlign w:val="center"/>
          </w:tcPr>
          <w:p>
            <w:pPr>
              <w:pStyle w:val="36"/>
              <w:rPr>
                <w:rFonts w:hint="eastAsia"/>
              </w:rPr>
            </w:pPr>
            <w:r>
              <w:rPr>
                <w:rFonts w:hint="eastAsia" w:ascii="宋体" w:hAnsi="宋体" w:cs="宋体"/>
              </w:rPr>
              <w:t>Ⅲ</w:t>
            </w:r>
            <w:r>
              <w:t>类</w:t>
            </w:r>
          </w:p>
        </w:tc>
        <w:tc>
          <w:tcPr>
            <w:tcW w:w="850" w:type="pct"/>
            <w:noWrap w:val="0"/>
            <w:vAlign w:val="center"/>
          </w:tcPr>
          <w:p>
            <w:pPr>
              <w:pStyle w:val="36"/>
              <w:rPr>
                <w:rFonts w:hint="eastAsia"/>
              </w:rPr>
            </w:pPr>
            <w:r>
              <w:rPr>
                <w:rFonts w:hint="eastAsia"/>
              </w:rPr>
              <w:t>S</w:t>
            </w:r>
            <w:r>
              <w:t>SW</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pct"/>
            <w:vMerge w:val="continue"/>
            <w:noWrap w:val="0"/>
            <w:vAlign w:val="center"/>
          </w:tcPr>
          <w:p>
            <w:pPr>
              <w:pStyle w:val="36"/>
            </w:pPr>
          </w:p>
        </w:tc>
        <w:tc>
          <w:tcPr>
            <w:tcW w:w="443" w:type="pct"/>
            <w:noWrap w:val="0"/>
            <w:vAlign w:val="center"/>
          </w:tcPr>
          <w:p>
            <w:pPr>
              <w:pStyle w:val="36"/>
              <w:rPr>
                <w:rFonts w:hint="eastAsia"/>
              </w:rPr>
            </w:pPr>
            <w:r>
              <w:rPr>
                <w:szCs w:val="21"/>
              </w:rPr>
              <w:t>2</w:t>
            </w:r>
          </w:p>
        </w:tc>
        <w:tc>
          <w:tcPr>
            <w:tcW w:w="1020" w:type="pct"/>
            <w:noWrap w:val="0"/>
            <w:vAlign w:val="center"/>
          </w:tcPr>
          <w:p>
            <w:pPr>
              <w:pStyle w:val="36"/>
              <w:rPr>
                <w:rFonts w:hint="eastAsia"/>
              </w:rPr>
            </w:pPr>
            <w:r>
              <w:rPr>
                <w:szCs w:val="28"/>
              </w:rPr>
              <w:t>前漳消村</w:t>
            </w:r>
          </w:p>
        </w:tc>
        <w:tc>
          <w:tcPr>
            <w:tcW w:w="1574" w:type="pct"/>
            <w:gridSpan w:val="2"/>
            <w:noWrap w:val="0"/>
            <w:vAlign w:val="center"/>
          </w:tcPr>
          <w:p>
            <w:pPr>
              <w:pStyle w:val="36"/>
              <w:rPr>
                <w:rFonts w:hint="eastAsia" w:ascii="宋体" w:hAnsi="宋体"/>
              </w:rPr>
            </w:pPr>
            <w:r>
              <w:rPr>
                <w:rFonts w:hint="eastAsia"/>
              </w:rPr>
              <w:t>分散式饮用水源地</w:t>
            </w:r>
          </w:p>
        </w:tc>
        <w:tc>
          <w:tcPr>
            <w:tcW w:w="704" w:type="pct"/>
            <w:noWrap w:val="0"/>
            <w:vAlign w:val="center"/>
          </w:tcPr>
          <w:p>
            <w:pPr>
              <w:pStyle w:val="36"/>
              <w:rPr>
                <w:rFonts w:hint="eastAsia"/>
              </w:rPr>
            </w:pPr>
            <w:r>
              <w:rPr>
                <w:rFonts w:hint="eastAsia" w:ascii="宋体" w:hAnsi="宋体" w:cs="宋体"/>
              </w:rPr>
              <w:t>Ⅲ</w:t>
            </w:r>
            <w:r>
              <w:t>类</w:t>
            </w:r>
          </w:p>
        </w:tc>
        <w:tc>
          <w:tcPr>
            <w:tcW w:w="850" w:type="pct"/>
            <w:noWrap w:val="0"/>
            <w:vAlign w:val="center"/>
          </w:tcPr>
          <w:p>
            <w:pPr>
              <w:pStyle w:val="36"/>
              <w:rPr>
                <w:rFonts w:hint="eastAsia"/>
              </w:rPr>
            </w:pPr>
            <w:r>
              <w:t>ESE</w:t>
            </w:r>
          </w:p>
        </w:tc>
      </w:tr>
    </w:tbl>
    <w:p>
      <w:pPr>
        <w:pStyle w:val="4"/>
        <w:numPr>
          <w:ilvl w:val="1"/>
          <w:numId w:val="0"/>
        </w:numPr>
        <w:spacing w:before="0" w:after="0"/>
      </w:pPr>
      <w:r>
        <w:t>7</w:t>
      </w:r>
      <w:r>
        <w:rPr>
          <w:rFonts w:hint="eastAsia"/>
        </w:rPr>
        <w:t xml:space="preserve">.5  </w:t>
      </w:r>
      <w:r>
        <w:t>环境风险潜势初判</w:t>
      </w:r>
    </w:p>
    <w:p>
      <w:pPr>
        <w:pStyle w:val="8"/>
        <w:spacing w:line="520" w:lineRule="exact"/>
        <w:ind w:firstLine="560"/>
        <w:rPr>
          <w:color w:val="auto"/>
          <w:sz w:val="28"/>
          <w:szCs w:val="28"/>
        </w:rPr>
      </w:pPr>
      <w:r>
        <w:rPr>
          <w:color w:val="auto"/>
          <w:sz w:val="28"/>
          <w:szCs w:val="28"/>
        </w:rPr>
        <w:t>环境风险潜势初判需要根据工程危险物质及工艺系统危险性（P）和环境敏感程度（E）来综合判定，相应判断标准见</w:t>
      </w:r>
      <w:r>
        <w:rPr>
          <w:rFonts w:hint="eastAsia"/>
          <w:color w:val="auto"/>
          <w:sz w:val="28"/>
          <w:szCs w:val="28"/>
        </w:rPr>
        <w:t>表7</w:t>
      </w:r>
      <w:r>
        <w:rPr>
          <w:color w:val="auto"/>
          <w:sz w:val="28"/>
          <w:szCs w:val="28"/>
        </w:rPr>
        <w:t>.5</w:t>
      </w:r>
      <w:r>
        <w:rPr>
          <w:rFonts w:hint="eastAsia"/>
          <w:color w:val="auto"/>
          <w:sz w:val="28"/>
          <w:szCs w:val="28"/>
        </w:rPr>
        <w:t>-</w:t>
      </w:r>
      <w:r>
        <w:rPr>
          <w:color w:val="auto"/>
          <w:sz w:val="28"/>
          <w:szCs w:val="28"/>
        </w:rPr>
        <w:t>1。</w:t>
      </w:r>
    </w:p>
    <w:p>
      <w:pPr>
        <w:pStyle w:val="32"/>
        <w:tabs>
          <w:tab w:val="clear" w:pos="900"/>
        </w:tabs>
        <w:ind w:firstLine="679" w:firstLineChars="282"/>
      </w:pPr>
      <w:bookmarkStart w:id="249" w:name="_Ref4683696"/>
      <w:r>
        <w:t>表</w:t>
      </w:r>
      <w:bookmarkEnd w:id="249"/>
      <w:r>
        <w:t>7.5</w:t>
      </w:r>
      <w:r>
        <w:rPr>
          <w:rFonts w:hint="eastAsia"/>
        </w:rPr>
        <w:t>-</w:t>
      </w:r>
      <w:r>
        <w:t>1               环境风险潜势划分一览表</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1560"/>
        <w:gridCol w:w="1530"/>
        <w:gridCol w:w="1714"/>
        <w:gridCol w:w="17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50" w:type="pct"/>
            <w:vMerge w:val="restart"/>
            <w:noWrap w:val="0"/>
            <w:vAlign w:val="center"/>
          </w:tcPr>
          <w:p>
            <w:pPr>
              <w:pStyle w:val="36"/>
              <w:rPr>
                <w:lang w:val="zh-CN"/>
              </w:rPr>
            </w:pPr>
            <w:r>
              <w:rPr>
                <w:lang w:val="zh-CN"/>
              </w:rPr>
              <w:t>环境敏感程度（E）</w:t>
            </w:r>
          </w:p>
        </w:tc>
        <w:tc>
          <w:tcPr>
            <w:tcW w:w="3550" w:type="pct"/>
            <w:gridSpan w:val="4"/>
            <w:noWrap w:val="0"/>
            <w:vAlign w:val="center"/>
          </w:tcPr>
          <w:p>
            <w:pPr>
              <w:pStyle w:val="36"/>
              <w:ind w:firstLine="420"/>
              <w:rPr>
                <w:lang w:val="zh-CN"/>
              </w:rPr>
            </w:pPr>
            <w:r>
              <w:rPr>
                <w:lang w:val="zh-CN"/>
              </w:rPr>
              <w:t>危险物质及工艺系统危险性（P）</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50" w:type="pct"/>
            <w:vMerge w:val="continue"/>
            <w:noWrap w:val="0"/>
            <w:vAlign w:val="center"/>
          </w:tcPr>
          <w:p>
            <w:pPr>
              <w:pStyle w:val="36"/>
              <w:ind w:firstLine="420"/>
              <w:rPr>
                <w:lang w:val="zh-CN"/>
              </w:rPr>
            </w:pPr>
          </w:p>
        </w:tc>
        <w:tc>
          <w:tcPr>
            <w:tcW w:w="850" w:type="pct"/>
            <w:noWrap w:val="0"/>
            <w:vAlign w:val="center"/>
          </w:tcPr>
          <w:p>
            <w:pPr>
              <w:pStyle w:val="36"/>
              <w:jc w:val="both"/>
              <w:rPr>
                <w:lang w:val="zh-CN"/>
              </w:rPr>
            </w:pPr>
            <w:r>
              <w:rPr>
                <w:lang w:val="zh-CN"/>
              </w:rPr>
              <w:t>极高危害（P1）</w:t>
            </w:r>
          </w:p>
        </w:tc>
        <w:tc>
          <w:tcPr>
            <w:tcW w:w="834" w:type="pct"/>
            <w:noWrap w:val="0"/>
            <w:vAlign w:val="center"/>
          </w:tcPr>
          <w:p>
            <w:pPr>
              <w:pStyle w:val="36"/>
              <w:jc w:val="both"/>
              <w:rPr>
                <w:lang w:val="zh-CN"/>
              </w:rPr>
            </w:pPr>
            <w:r>
              <w:rPr>
                <w:lang w:val="zh-CN"/>
              </w:rPr>
              <w:t>高度危害（P2）</w:t>
            </w:r>
          </w:p>
        </w:tc>
        <w:tc>
          <w:tcPr>
            <w:tcW w:w="934" w:type="pct"/>
            <w:noWrap w:val="0"/>
            <w:vAlign w:val="center"/>
          </w:tcPr>
          <w:p>
            <w:pPr>
              <w:pStyle w:val="36"/>
              <w:jc w:val="both"/>
              <w:rPr>
                <w:lang w:val="zh-CN"/>
              </w:rPr>
            </w:pPr>
            <w:r>
              <w:rPr>
                <w:lang w:val="zh-CN"/>
              </w:rPr>
              <w:t>中度危害（P3）</w:t>
            </w:r>
          </w:p>
        </w:tc>
        <w:tc>
          <w:tcPr>
            <w:tcW w:w="932" w:type="pct"/>
            <w:noWrap w:val="0"/>
            <w:vAlign w:val="center"/>
          </w:tcPr>
          <w:p>
            <w:pPr>
              <w:pStyle w:val="36"/>
              <w:jc w:val="both"/>
              <w:rPr>
                <w:lang w:val="zh-CN"/>
              </w:rPr>
            </w:pPr>
            <w:r>
              <w:rPr>
                <w:lang w:val="zh-CN"/>
              </w:rPr>
              <w:t>轻度危害（P4）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50" w:type="pct"/>
            <w:noWrap w:val="0"/>
            <w:vAlign w:val="center"/>
          </w:tcPr>
          <w:p>
            <w:pPr>
              <w:pStyle w:val="36"/>
              <w:rPr>
                <w:lang w:val="zh-CN"/>
              </w:rPr>
            </w:pPr>
            <w:r>
              <w:rPr>
                <w:lang w:val="zh-CN"/>
              </w:rPr>
              <w:t>环境高度敏感区（E1）</w:t>
            </w:r>
          </w:p>
        </w:tc>
        <w:tc>
          <w:tcPr>
            <w:tcW w:w="850" w:type="pct"/>
            <w:noWrap w:val="0"/>
            <w:vAlign w:val="center"/>
          </w:tcPr>
          <w:p>
            <w:pPr>
              <w:pStyle w:val="36"/>
              <w:rPr>
                <w:lang w:val="zh-CN"/>
              </w:rPr>
            </w:pPr>
            <w:r>
              <w:rPr>
                <w:lang w:val="zh-CN"/>
              </w:rPr>
              <w:t>IV</w:t>
            </w:r>
            <w:r>
              <w:rPr>
                <w:vertAlign w:val="superscript"/>
                <w:lang w:val="zh-CN"/>
              </w:rPr>
              <w:t>+</w:t>
            </w:r>
          </w:p>
        </w:tc>
        <w:tc>
          <w:tcPr>
            <w:tcW w:w="834" w:type="pct"/>
            <w:noWrap w:val="0"/>
            <w:vAlign w:val="center"/>
          </w:tcPr>
          <w:p>
            <w:pPr>
              <w:pStyle w:val="36"/>
              <w:rPr>
                <w:lang w:val="zh-CN"/>
              </w:rPr>
            </w:pPr>
            <w:r>
              <w:rPr>
                <w:lang w:val="zh-CN"/>
              </w:rPr>
              <w:t>IV</w:t>
            </w:r>
          </w:p>
        </w:tc>
        <w:tc>
          <w:tcPr>
            <w:tcW w:w="934" w:type="pct"/>
            <w:noWrap w:val="0"/>
            <w:vAlign w:val="center"/>
          </w:tcPr>
          <w:p>
            <w:pPr>
              <w:pStyle w:val="36"/>
              <w:rPr>
                <w:lang w:val="zh-CN"/>
              </w:rPr>
            </w:pPr>
            <w:r>
              <w:rPr>
                <w:lang w:val="zh-CN"/>
              </w:rPr>
              <w:t>III*</w:t>
            </w:r>
          </w:p>
        </w:tc>
        <w:tc>
          <w:tcPr>
            <w:tcW w:w="932" w:type="pct"/>
            <w:noWrap w:val="0"/>
            <w:vAlign w:val="center"/>
          </w:tcPr>
          <w:p>
            <w:pPr>
              <w:pStyle w:val="36"/>
              <w:rPr>
                <w:lang w:val="zh-CN"/>
              </w:rPr>
            </w:pPr>
            <w:r>
              <w:rPr>
                <w:lang w:val="zh-CN"/>
              </w:rPr>
              <w:t>III</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50" w:type="pct"/>
            <w:noWrap w:val="0"/>
            <w:vAlign w:val="center"/>
          </w:tcPr>
          <w:p>
            <w:pPr>
              <w:pStyle w:val="36"/>
              <w:rPr>
                <w:lang w:val="zh-CN"/>
              </w:rPr>
            </w:pPr>
            <w:r>
              <w:rPr>
                <w:lang w:val="zh-CN"/>
              </w:rPr>
              <w:t>环境中度敏感区（E2）</w:t>
            </w:r>
          </w:p>
        </w:tc>
        <w:tc>
          <w:tcPr>
            <w:tcW w:w="850" w:type="pct"/>
            <w:noWrap w:val="0"/>
            <w:vAlign w:val="center"/>
          </w:tcPr>
          <w:p>
            <w:pPr>
              <w:pStyle w:val="36"/>
              <w:rPr>
                <w:lang w:val="zh-CN"/>
              </w:rPr>
            </w:pPr>
            <w:r>
              <w:rPr>
                <w:lang w:val="zh-CN"/>
              </w:rPr>
              <w:t>IV</w:t>
            </w:r>
          </w:p>
        </w:tc>
        <w:tc>
          <w:tcPr>
            <w:tcW w:w="834" w:type="pct"/>
            <w:noWrap w:val="0"/>
            <w:vAlign w:val="center"/>
          </w:tcPr>
          <w:p>
            <w:pPr>
              <w:pStyle w:val="36"/>
              <w:rPr>
                <w:lang w:val="zh-CN"/>
              </w:rPr>
            </w:pPr>
            <w:r>
              <w:rPr>
                <w:lang w:val="zh-CN"/>
              </w:rPr>
              <w:t>III</w:t>
            </w:r>
          </w:p>
        </w:tc>
        <w:tc>
          <w:tcPr>
            <w:tcW w:w="934" w:type="pct"/>
            <w:noWrap w:val="0"/>
            <w:vAlign w:val="center"/>
          </w:tcPr>
          <w:p>
            <w:pPr>
              <w:pStyle w:val="36"/>
              <w:rPr>
                <w:lang w:val="zh-CN"/>
              </w:rPr>
            </w:pPr>
            <w:r>
              <w:rPr>
                <w:lang w:val="zh-CN"/>
              </w:rPr>
              <w:t>III</w:t>
            </w:r>
          </w:p>
        </w:tc>
        <w:tc>
          <w:tcPr>
            <w:tcW w:w="932" w:type="pct"/>
            <w:noWrap w:val="0"/>
            <w:vAlign w:val="center"/>
          </w:tcPr>
          <w:p>
            <w:pPr>
              <w:pStyle w:val="36"/>
              <w:rPr>
                <w:lang w:val="zh-CN"/>
              </w:rPr>
            </w:pPr>
            <w:r>
              <w:rPr>
                <w:lang w:val="zh-CN"/>
              </w:rPr>
              <w:t>II</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50" w:type="pct"/>
            <w:noWrap w:val="0"/>
            <w:vAlign w:val="center"/>
          </w:tcPr>
          <w:p>
            <w:pPr>
              <w:pStyle w:val="36"/>
              <w:rPr>
                <w:lang w:val="zh-CN"/>
              </w:rPr>
            </w:pPr>
            <w:r>
              <w:rPr>
                <w:lang w:val="zh-CN"/>
              </w:rPr>
              <w:t>环境低度敏感区（E3）</w:t>
            </w:r>
          </w:p>
        </w:tc>
        <w:tc>
          <w:tcPr>
            <w:tcW w:w="850" w:type="pct"/>
            <w:noWrap w:val="0"/>
            <w:vAlign w:val="center"/>
          </w:tcPr>
          <w:p>
            <w:pPr>
              <w:pStyle w:val="36"/>
              <w:rPr>
                <w:lang w:val="zh-CN"/>
              </w:rPr>
            </w:pPr>
            <w:r>
              <w:rPr>
                <w:lang w:val="zh-CN"/>
              </w:rPr>
              <w:t>III</w:t>
            </w:r>
          </w:p>
        </w:tc>
        <w:tc>
          <w:tcPr>
            <w:tcW w:w="834" w:type="pct"/>
            <w:noWrap w:val="0"/>
            <w:vAlign w:val="center"/>
          </w:tcPr>
          <w:p>
            <w:pPr>
              <w:pStyle w:val="36"/>
              <w:rPr>
                <w:lang w:val="zh-CN"/>
              </w:rPr>
            </w:pPr>
            <w:r>
              <w:rPr>
                <w:lang w:val="zh-CN"/>
              </w:rPr>
              <w:t>III</w:t>
            </w:r>
          </w:p>
        </w:tc>
        <w:tc>
          <w:tcPr>
            <w:tcW w:w="934" w:type="pct"/>
            <w:noWrap w:val="0"/>
            <w:vAlign w:val="center"/>
          </w:tcPr>
          <w:p>
            <w:pPr>
              <w:pStyle w:val="36"/>
              <w:rPr>
                <w:lang w:val="zh-CN"/>
              </w:rPr>
            </w:pPr>
            <w:r>
              <w:rPr>
                <w:lang w:val="zh-CN"/>
              </w:rPr>
              <w:t>II</w:t>
            </w:r>
          </w:p>
        </w:tc>
        <w:tc>
          <w:tcPr>
            <w:tcW w:w="932" w:type="pct"/>
            <w:noWrap w:val="0"/>
            <w:vAlign w:val="center"/>
          </w:tcPr>
          <w:p>
            <w:pPr>
              <w:pStyle w:val="36"/>
              <w:rPr>
                <w:lang w:val="zh-CN"/>
              </w:rPr>
            </w:pPr>
            <w:r>
              <w:rPr>
                <w:lang w:val="zh-CN"/>
              </w:rPr>
              <w:t>I</w:t>
            </w:r>
          </w:p>
        </w:tc>
      </w:tr>
    </w:tbl>
    <w:p>
      <w:pPr>
        <w:pStyle w:val="31"/>
      </w:pPr>
      <w:bookmarkStart w:id="250" w:name="_Toc438537848"/>
      <w:bookmarkStart w:id="251" w:name="_Toc438072913"/>
      <w:r>
        <w:t>7.5.1  危险物质及工艺系统危险性（P）</w:t>
      </w:r>
    </w:p>
    <w:p>
      <w:pPr>
        <w:pStyle w:val="8"/>
        <w:spacing w:line="520" w:lineRule="exact"/>
        <w:ind w:firstLine="560"/>
        <w:rPr>
          <w:color w:val="auto"/>
          <w:sz w:val="28"/>
          <w:szCs w:val="28"/>
        </w:rPr>
      </w:pPr>
      <w:r>
        <w:rPr>
          <w:color w:val="auto"/>
          <w:sz w:val="28"/>
          <w:szCs w:val="28"/>
        </w:rPr>
        <w:t>根据导则，项目危险物质及工艺系统危险性等级（P）需要根据危险物质数量与临界量比值（Q）和行业及生产工艺（M）确定</w:t>
      </w:r>
      <w:r>
        <w:rPr>
          <w:rFonts w:hint="eastAsia"/>
          <w:color w:val="auto"/>
          <w:sz w:val="28"/>
          <w:szCs w:val="28"/>
        </w:rPr>
        <w:t>，见表7</w:t>
      </w:r>
      <w:r>
        <w:rPr>
          <w:color w:val="auto"/>
          <w:sz w:val="28"/>
          <w:szCs w:val="28"/>
        </w:rPr>
        <w:t>.5</w:t>
      </w:r>
      <w:r>
        <w:rPr>
          <w:rFonts w:hint="eastAsia"/>
          <w:color w:val="auto"/>
          <w:sz w:val="28"/>
          <w:szCs w:val="28"/>
        </w:rPr>
        <w:t>-</w:t>
      </w:r>
      <w:r>
        <w:rPr>
          <w:color w:val="auto"/>
          <w:sz w:val="28"/>
          <w:szCs w:val="28"/>
        </w:rPr>
        <w:t>2</w:t>
      </w:r>
      <w:r>
        <w:rPr>
          <w:rFonts w:hint="eastAsia"/>
          <w:color w:val="auto"/>
          <w:sz w:val="28"/>
          <w:szCs w:val="28"/>
        </w:rPr>
        <w:t>。</w:t>
      </w:r>
    </w:p>
    <w:p>
      <w:pPr>
        <w:pStyle w:val="32"/>
        <w:tabs>
          <w:tab w:val="clear" w:pos="900"/>
        </w:tabs>
        <w:ind w:firstLine="679" w:firstLineChars="282"/>
        <w:rPr>
          <w:rFonts w:hint="eastAsia"/>
        </w:rPr>
      </w:pPr>
      <w:r>
        <w:rPr>
          <w:rFonts w:hint="eastAsia"/>
        </w:rPr>
        <w:t>表7</w:t>
      </w:r>
      <w:r>
        <w:t>.5</w:t>
      </w:r>
      <w:r>
        <w:rPr>
          <w:rFonts w:hint="eastAsia"/>
        </w:rPr>
        <w:t>-</w:t>
      </w:r>
      <w:r>
        <w:t xml:space="preserve">2          </w:t>
      </w:r>
      <w:r>
        <w:rPr>
          <w:rFonts w:hint="eastAsia"/>
        </w:rPr>
        <w:t>危险物质及工艺系统危险性等级判断（P）</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4841"/>
        <w:gridCol w:w="1253"/>
        <w:gridCol w:w="976"/>
        <w:gridCol w:w="1022"/>
        <w:gridCol w:w="92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vMerge w:val="restart"/>
            <w:noWrap w:val="0"/>
            <w:vAlign w:val="center"/>
          </w:tcPr>
          <w:p>
            <w:pPr>
              <w:pStyle w:val="36"/>
              <w:rPr>
                <w:szCs w:val="21"/>
              </w:rPr>
            </w:pPr>
            <w:r>
              <w:rPr>
                <w:szCs w:val="21"/>
              </w:rPr>
              <w:t>危险物质数量与临界量比值（Q）</w:t>
            </w:r>
          </w:p>
        </w:tc>
        <w:tc>
          <w:tcPr>
            <w:tcW w:w="4173" w:type="dxa"/>
            <w:gridSpan w:val="4"/>
            <w:noWrap w:val="0"/>
            <w:vAlign w:val="center"/>
          </w:tcPr>
          <w:p>
            <w:pPr>
              <w:pStyle w:val="36"/>
              <w:rPr>
                <w:bCs/>
                <w:szCs w:val="21"/>
              </w:rPr>
            </w:pPr>
            <w:r>
              <w:rPr>
                <w:szCs w:val="21"/>
              </w:rPr>
              <w:t>行业及生产工艺（M）</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vMerge w:val="continue"/>
            <w:noWrap w:val="0"/>
            <w:vAlign w:val="center"/>
          </w:tcPr>
          <w:p>
            <w:pPr>
              <w:pStyle w:val="36"/>
              <w:rPr>
                <w:szCs w:val="21"/>
              </w:rPr>
            </w:pPr>
          </w:p>
        </w:tc>
        <w:tc>
          <w:tcPr>
            <w:tcW w:w="1253" w:type="dxa"/>
            <w:noWrap w:val="0"/>
            <w:vAlign w:val="center"/>
          </w:tcPr>
          <w:p>
            <w:pPr>
              <w:pStyle w:val="36"/>
              <w:rPr>
                <w:bCs/>
                <w:szCs w:val="21"/>
              </w:rPr>
            </w:pPr>
            <w:r>
              <w:rPr>
                <w:szCs w:val="21"/>
              </w:rPr>
              <w:t>M1</w:t>
            </w:r>
          </w:p>
        </w:tc>
        <w:tc>
          <w:tcPr>
            <w:tcW w:w="976" w:type="dxa"/>
            <w:noWrap w:val="0"/>
            <w:vAlign w:val="center"/>
          </w:tcPr>
          <w:p>
            <w:pPr>
              <w:pStyle w:val="36"/>
              <w:rPr>
                <w:bCs/>
                <w:szCs w:val="21"/>
              </w:rPr>
            </w:pPr>
            <w:r>
              <w:rPr>
                <w:szCs w:val="21"/>
              </w:rPr>
              <w:t>M2</w:t>
            </w:r>
          </w:p>
        </w:tc>
        <w:tc>
          <w:tcPr>
            <w:tcW w:w="1022" w:type="dxa"/>
            <w:noWrap w:val="0"/>
            <w:vAlign w:val="center"/>
          </w:tcPr>
          <w:p>
            <w:pPr>
              <w:pStyle w:val="36"/>
              <w:rPr>
                <w:bCs/>
                <w:szCs w:val="21"/>
              </w:rPr>
            </w:pPr>
            <w:r>
              <w:rPr>
                <w:szCs w:val="21"/>
              </w:rPr>
              <w:t>M3</w:t>
            </w:r>
          </w:p>
        </w:tc>
        <w:tc>
          <w:tcPr>
            <w:tcW w:w="922" w:type="dxa"/>
            <w:noWrap w:val="0"/>
            <w:vAlign w:val="center"/>
          </w:tcPr>
          <w:p>
            <w:pPr>
              <w:pStyle w:val="36"/>
              <w:rPr>
                <w:bCs/>
                <w:szCs w:val="21"/>
              </w:rPr>
            </w:pPr>
            <w:r>
              <w:rPr>
                <w:szCs w:val="21"/>
              </w:rPr>
              <w:t>M4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noWrap w:val="0"/>
            <w:vAlign w:val="center"/>
          </w:tcPr>
          <w:p>
            <w:pPr>
              <w:pStyle w:val="36"/>
              <w:rPr>
                <w:szCs w:val="21"/>
              </w:rPr>
            </w:pPr>
            <w:r>
              <w:rPr>
                <w:szCs w:val="21"/>
              </w:rPr>
              <w:t>Q≥100</w:t>
            </w:r>
          </w:p>
        </w:tc>
        <w:tc>
          <w:tcPr>
            <w:tcW w:w="1253" w:type="dxa"/>
            <w:noWrap w:val="0"/>
            <w:vAlign w:val="center"/>
          </w:tcPr>
          <w:p>
            <w:pPr>
              <w:pStyle w:val="36"/>
              <w:rPr>
                <w:szCs w:val="21"/>
              </w:rPr>
            </w:pPr>
            <w:r>
              <w:rPr>
                <w:szCs w:val="21"/>
              </w:rPr>
              <w:t>P1</w:t>
            </w:r>
          </w:p>
        </w:tc>
        <w:tc>
          <w:tcPr>
            <w:tcW w:w="976" w:type="dxa"/>
            <w:noWrap w:val="0"/>
            <w:vAlign w:val="center"/>
          </w:tcPr>
          <w:p>
            <w:pPr>
              <w:pStyle w:val="36"/>
              <w:rPr>
                <w:szCs w:val="21"/>
              </w:rPr>
            </w:pPr>
            <w:r>
              <w:rPr>
                <w:szCs w:val="21"/>
              </w:rPr>
              <w:t>P1</w:t>
            </w:r>
          </w:p>
        </w:tc>
        <w:tc>
          <w:tcPr>
            <w:tcW w:w="1022" w:type="dxa"/>
            <w:noWrap w:val="0"/>
            <w:vAlign w:val="center"/>
          </w:tcPr>
          <w:p>
            <w:pPr>
              <w:pStyle w:val="36"/>
              <w:rPr>
                <w:szCs w:val="21"/>
              </w:rPr>
            </w:pPr>
            <w:r>
              <w:rPr>
                <w:szCs w:val="21"/>
              </w:rPr>
              <w:t>P2</w:t>
            </w:r>
          </w:p>
        </w:tc>
        <w:tc>
          <w:tcPr>
            <w:tcW w:w="922" w:type="dxa"/>
            <w:noWrap w:val="0"/>
            <w:vAlign w:val="center"/>
          </w:tcPr>
          <w:p>
            <w:pPr>
              <w:pStyle w:val="36"/>
              <w:rPr>
                <w:szCs w:val="21"/>
              </w:rPr>
            </w:pPr>
            <w:r>
              <w:rPr>
                <w:szCs w:val="21"/>
              </w:rPr>
              <w:t>P3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noWrap w:val="0"/>
            <w:vAlign w:val="center"/>
          </w:tcPr>
          <w:p>
            <w:pPr>
              <w:pStyle w:val="36"/>
              <w:rPr>
                <w:szCs w:val="21"/>
              </w:rPr>
            </w:pPr>
            <w:r>
              <w:rPr>
                <w:szCs w:val="21"/>
              </w:rPr>
              <w:t>10≤Q＜100</w:t>
            </w:r>
          </w:p>
        </w:tc>
        <w:tc>
          <w:tcPr>
            <w:tcW w:w="1253" w:type="dxa"/>
            <w:noWrap w:val="0"/>
            <w:vAlign w:val="center"/>
          </w:tcPr>
          <w:p>
            <w:pPr>
              <w:pStyle w:val="36"/>
              <w:rPr>
                <w:szCs w:val="21"/>
              </w:rPr>
            </w:pPr>
            <w:r>
              <w:rPr>
                <w:szCs w:val="21"/>
              </w:rPr>
              <w:t>P1</w:t>
            </w:r>
          </w:p>
        </w:tc>
        <w:tc>
          <w:tcPr>
            <w:tcW w:w="976" w:type="dxa"/>
            <w:noWrap w:val="0"/>
            <w:vAlign w:val="center"/>
          </w:tcPr>
          <w:p>
            <w:pPr>
              <w:pStyle w:val="36"/>
              <w:rPr>
                <w:szCs w:val="21"/>
              </w:rPr>
            </w:pPr>
            <w:r>
              <w:rPr>
                <w:szCs w:val="21"/>
              </w:rPr>
              <w:t>P2</w:t>
            </w:r>
          </w:p>
        </w:tc>
        <w:tc>
          <w:tcPr>
            <w:tcW w:w="1022" w:type="dxa"/>
            <w:noWrap w:val="0"/>
            <w:vAlign w:val="center"/>
          </w:tcPr>
          <w:p>
            <w:pPr>
              <w:pStyle w:val="36"/>
              <w:rPr>
                <w:szCs w:val="21"/>
              </w:rPr>
            </w:pPr>
            <w:r>
              <w:rPr>
                <w:szCs w:val="21"/>
              </w:rPr>
              <w:t>P3</w:t>
            </w:r>
          </w:p>
        </w:tc>
        <w:tc>
          <w:tcPr>
            <w:tcW w:w="922" w:type="dxa"/>
            <w:noWrap w:val="0"/>
            <w:vAlign w:val="center"/>
          </w:tcPr>
          <w:p>
            <w:pPr>
              <w:pStyle w:val="36"/>
              <w:rPr>
                <w:szCs w:val="21"/>
              </w:rPr>
            </w:pPr>
            <w:r>
              <w:rPr>
                <w:szCs w:val="21"/>
              </w:rPr>
              <w:t>P4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noWrap w:val="0"/>
            <w:vAlign w:val="center"/>
          </w:tcPr>
          <w:p>
            <w:pPr>
              <w:pStyle w:val="36"/>
              <w:rPr>
                <w:szCs w:val="21"/>
              </w:rPr>
            </w:pPr>
            <w:r>
              <w:rPr>
                <w:szCs w:val="21"/>
              </w:rPr>
              <w:t>1≤Q＜10</w:t>
            </w:r>
          </w:p>
        </w:tc>
        <w:tc>
          <w:tcPr>
            <w:tcW w:w="1253" w:type="dxa"/>
            <w:noWrap w:val="0"/>
            <w:vAlign w:val="center"/>
          </w:tcPr>
          <w:p>
            <w:pPr>
              <w:pStyle w:val="36"/>
              <w:rPr>
                <w:szCs w:val="21"/>
              </w:rPr>
            </w:pPr>
            <w:r>
              <w:rPr>
                <w:szCs w:val="21"/>
              </w:rPr>
              <w:t>P2</w:t>
            </w:r>
          </w:p>
        </w:tc>
        <w:tc>
          <w:tcPr>
            <w:tcW w:w="976" w:type="dxa"/>
            <w:noWrap w:val="0"/>
            <w:vAlign w:val="center"/>
          </w:tcPr>
          <w:p>
            <w:pPr>
              <w:pStyle w:val="36"/>
              <w:rPr>
                <w:szCs w:val="21"/>
              </w:rPr>
            </w:pPr>
            <w:r>
              <w:rPr>
                <w:szCs w:val="21"/>
              </w:rPr>
              <w:t>P3</w:t>
            </w:r>
          </w:p>
        </w:tc>
        <w:tc>
          <w:tcPr>
            <w:tcW w:w="1022" w:type="dxa"/>
            <w:noWrap w:val="0"/>
            <w:vAlign w:val="center"/>
          </w:tcPr>
          <w:p>
            <w:pPr>
              <w:pStyle w:val="36"/>
              <w:rPr>
                <w:szCs w:val="21"/>
              </w:rPr>
            </w:pPr>
            <w:r>
              <w:rPr>
                <w:szCs w:val="21"/>
              </w:rPr>
              <w:t>P4</w:t>
            </w:r>
          </w:p>
        </w:tc>
        <w:tc>
          <w:tcPr>
            <w:tcW w:w="922" w:type="dxa"/>
            <w:noWrap w:val="0"/>
            <w:vAlign w:val="center"/>
          </w:tcPr>
          <w:p>
            <w:pPr>
              <w:pStyle w:val="36"/>
              <w:rPr>
                <w:szCs w:val="21"/>
              </w:rPr>
            </w:pPr>
            <w:r>
              <w:rPr>
                <w:szCs w:val="21"/>
              </w:rPr>
              <w:t>P4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4841" w:type="dxa"/>
            <w:noWrap w:val="0"/>
            <w:vAlign w:val="center"/>
          </w:tcPr>
          <w:p>
            <w:pPr>
              <w:pStyle w:val="36"/>
              <w:rPr>
                <w:szCs w:val="21"/>
              </w:rPr>
            </w:pPr>
            <w:r>
              <w:rPr>
                <w:szCs w:val="21"/>
              </w:rPr>
              <w:t>Q＜1</w:t>
            </w:r>
          </w:p>
        </w:tc>
        <w:tc>
          <w:tcPr>
            <w:tcW w:w="4173" w:type="dxa"/>
            <w:gridSpan w:val="4"/>
            <w:noWrap w:val="0"/>
            <w:vAlign w:val="center"/>
          </w:tcPr>
          <w:p>
            <w:pPr>
              <w:pStyle w:val="36"/>
              <w:rPr>
                <w:szCs w:val="21"/>
              </w:rPr>
            </w:pPr>
            <w:r>
              <w:rPr>
                <w:szCs w:val="21"/>
              </w:rPr>
              <w:t>直接判定环境风险潜势为Ⅰ</w:t>
            </w:r>
          </w:p>
        </w:tc>
      </w:tr>
    </w:tbl>
    <w:p/>
    <w:p>
      <w:pPr>
        <w:pStyle w:val="31"/>
      </w:pPr>
      <w:r>
        <w:t>7.5.2  危险物质数量与临界量比值（Q）</w:t>
      </w:r>
      <w:bookmarkEnd w:id="250"/>
      <w:bookmarkEnd w:id="251"/>
    </w:p>
    <w:p>
      <w:pPr>
        <w:pStyle w:val="8"/>
        <w:spacing w:line="520" w:lineRule="exact"/>
        <w:ind w:firstLine="560"/>
        <w:rPr>
          <w:color w:val="auto"/>
          <w:sz w:val="28"/>
          <w:szCs w:val="28"/>
        </w:rPr>
      </w:pPr>
      <w:r>
        <w:rPr>
          <w:color w:val="auto"/>
          <w:sz w:val="28"/>
          <w:szCs w:val="28"/>
        </w:rPr>
        <w:t>计算所涉及的每种危险物质在厂界内的最大存在总量与其在附录B中对应临界量的比值Q。在不同厂区的同一种物质，按其在厂界内的最大存在总量计算。</w:t>
      </w:r>
    </w:p>
    <w:p>
      <w:pPr>
        <w:pStyle w:val="8"/>
        <w:spacing w:line="520" w:lineRule="exact"/>
        <w:ind w:firstLine="560"/>
        <w:rPr>
          <w:color w:val="auto"/>
          <w:sz w:val="28"/>
          <w:szCs w:val="28"/>
        </w:rPr>
      </w:pPr>
      <w:r>
        <w:rPr>
          <w:color w:val="auto"/>
          <w:sz w:val="28"/>
          <w:szCs w:val="28"/>
        </w:rPr>
        <w:t>当只涉及一种危险物质时，计算该物质的总量与其临界量比值，即为Q；当存在多种危险物质时，则计算物质总量与其临界量比值（Q）。</w:t>
      </w:r>
    </w:p>
    <w:p>
      <w:pPr>
        <w:pStyle w:val="8"/>
        <w:spacing w:line="520" w:lineRule="exact"/>
        <w:ind w:firstLine="560"/>
        <w:rPr>
          <w:color w:val="auto"/>
          <w:sz w:val="28"/>
          <w:szCs w:val="28"/>
          <w:lang w:val="zh-CN"/>
        </w:rPr>
      </w:pPr>
      <w:r>
        <w:rPr>
          <w:color w:val="auto"/>
          <w:sz w:val="28"/>
          <w:szCs w:val="28"/>
          <w:lang w:val="zh-CN"/>
        </w:rPr>
        <w:t>评价针对本项目危险物质在场界内的最大存在总量与其临界量的比值Q，具体计算方法如下：</w:t>
      </w:r>
    </w:p>
    <w:p>
      <w:pPr>
        <w:ind w:firstLine="360"/>
        <w:jc w:val="center"/>
        <w:rPr>
          <w:lang w:val="zh-CN"/>
        </w:rPr>
      </w:pPr>
      <w:r>
        <w:drawing>
          <wp:inline distT="0" distB="0" distL="114300" distR="114300">
            <wp:extent cx="1742440" cy="538480"/>
            <wp:effectExtent l="0" t="0" r="0" b="0"/>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
                    <pic:cNvPicPr>
                      <a:picLocks noChangeAspect="1"/>
                    </pic:cNvPicPr>
                  </pic:nvPicPr>
                  <pic:blipFill>
                    <a:blip r:embed="rId127"/>
                    <a:stretch>
                      <a:fillRect/>
                    </a:stretch>
                  </pic:blipFill>
                  <pic:spPr>
                    <a:xfrm>
                      <a:off x="0" y="0"/>
                      <a:ext cx="1742440" cy="538480"/>
                    </a:xfrm>
                    <a:prstGeom prst="rect">
                      <a:avLst/>
                    </a:prstGeom>
                    <a:noFill/>
                    <a:ln>
                      <a:noFill/>
                    </a:ln>
                  </pic:spPr>
                </pic:pic>
              </a:graphicData>
            </a:graphic>
          </wp:inline>
        </w:drawing>
      </w:r>
    </w:p>
    <w:p>
      <w:pPr>
        <w:pStyle w:val="8"/>
        <w:spacing w:line="520" w:lineRule="exact"/>
        <w:ind w:firstLine="560"/>
        <w:rPr>
          <w:color w:val="auto"/>
          <w:sz w:val="28"/>
          <w:szCs w:val="28"/>
          <w:lang w:val="zh-CN"/>
        </w:rPr>
      </w:pPr>
      <w:r>
        <w:rPr>
          <w:color w:val="auto"/>
          <w:sz w:val="28"/>
          <w:szCs w:val="28"/>
          <w:lang w:val="zh-CN"/>
        </w:rPr>
        <w:t>式中：q</w:t>
      </w:r>
      <w:r>
        <w:rPr>
          <w:color w:val="auto"/>
          <w:sz w:val="28"/>
          <w:szCs w:val="28"/>
          <w:vertAlign w:val="subscript"/>
          <w:lang w:val="zh-CN"/>
        </w:rPr>
        <w:t>1</w:t>
      </w:r>
      <w:r>
        <w:rPr>
          <w:color w:val="auto"/>
          <w:sz w:val="28"/>
          <w:szCs w:val="28"/>
          <w:lang w:val="zh-CN"/>
        </w:rPr>
        <w:t>，q</w:t>
      </w:r>
      <w:r>
        <w:rPr>
          <w:color w:val="auto"/>
          <w:sz w:val="28"/>
          <w:szCs w:val="28"/>
          <w:vertAlign w:val="subscript"/>
          <w:lang w:val="zh-CN"/>
        </w:rPr>
        <w:t>2</w:t>
      </w:r>
      <w:r>
        <w:rPr>
          <w:color w:val="auto"/>
          <w:sz w:val="28"/>
          <w:szCs w:val="28"/>
          <w:lang w:val="zh-CN"/>
        </w:rPr>
        <w:t>，…，qn——每种危险物质的最大存在总量，t；</w:t>
      </w:r>
    </w:p>
    <w:p>
      <w:pPr>
        <w:pStyle w:val="8"/>
        <w:spacing w:line="520" w:lineRule="exact"/>
        <w:ind w:firstLine="560"/>
        <w:rPr>
          <w:color w:val="auto"/>
          <w:sz w:val="28"/>
          <w:szCs w:val="28"/>
          <w:lang w:val="zh-CN"/>
        </w:rPr>
      </w:pPr>
      <w:r>
        <w:rPr>
          <w:color w:val="auto"/>
          <w:sz w:val="28"/>
          <w:szCs w:val="28"/>
          <w:lang w:val="zh-CN"/>
        </w:rPr>
        <w:t>Q</w:t>
      </w:r>
      <w:r>
        <w:rPr>
          <w:color w:val="auto"/>
          <w:sz w:val="28"/>
          <w:szCs w:val="28"/>
          <w:vertAlign w:val="subscript"/>
          <w:lang w:val="zh-CN"/>
        </w:rPr>
        <w:t>1</w:t>
      </w:r>
      <w:r>
        <w:rPr>
          <w:color w:val="auto"/>
          <w:sz w:val="28"/>
          <w:szCs w:val="28"/>
          <w:lang w:val="zh-CN"/>
        </w:rPr>
        <w:t>，Q</w:t>
      </w:r>
      <w:r>
        <w:rPr>
          <w:color w:val="auto"/>
          <w:sz w:val="28"/>
          <w:szCs w:val="28"/>
          <w:vertAlign w:val="subscript"/>
          <w:lang w:val="zh-CN"/>
        </w:rPr>
        <w:t>2</w:t>
      </w:r>
      <w:r>
        <w:rPr>
          <w:color w:val="auto"/>
          <w:sz w:val="28"/>
          <w:szCs w:val="28"/>
          <w:lang w:val="zh-CN"/>
        </w:rPr>
        <w:t>，…，Qn——每种危险物质的临界量，t。</w:t>
      </w:r>
    </w:p>
    <w:p>
      <w:pPr>
        <w:pStyle w:val="8"/>
        <w:spacing w:line="520" w:lineRule="exact"/>
        <w:ind w:firstLine="560"/>
        <w:rPr>
          <w:color w:val="auto"/>
          <w:sz w:val="28"/>
          <w:szCs w:val="28"/>
        </w:rPr>
      </w:pPr>
      <w:r>
        <w:rPr>
          <w:color w:val="auto"/>
          <w:sz w:val="28"/>
          <w:szCs w:val="28"/>
        </w:rPr>
        <w:t>当Q＜1时，该项目环境风险潜势为</w:t>
      </w:r>
      <w:r>
        <w:rPr>
          <w:rFonts w:hint="eastAsia" w:ascii="宋体" w:hAnsi="宋体" w:cs="宋体"/>
          <w:color w:val="auto"/>
          <w:sz w:val="28"/>
          <w:szCs w:val="28"/>
        </w:rPr>
        <w:t>Ⅰ</w:t>
      </w:r>
      <w:r>
        <w:rPr>
          <w:color w:val="auto"/>
          <w:sz w:val="28"/>
          <w:szCs w:val="28"/>
        </w:rPr>
        <w:t>。</w:t>
      </w:r>
    </w:p>
    <w:p>
      <w:pPr>
        <w:pStyle w:val="8"/>
        <w:spacing w:line="520" w:lineRule="exact"/>
        <w:ind w:firstLine="560"/>
        <w:rPr>
          <w:color w:val="auto"/>
          <w:sz w:val="28"/>
          <w:szCs w:val="28"/>
        </w:rPr>
      </w:pPr>
      <w:r>
        <w:rPr>
          <w:color w:val="auto"/>
          <w:sz w:val="28"/>
          <w:szCs w:val="28"/>
        </w:rPr>
        <w:t>当Q≥1时，将Q值划分为：（1）1≤Q＜10；（2）10≤Q＜100；（3）Q≥100。</w:t>
      </w:r>
    </w:p>
    <w:p>
      <w:pPr>
        <w:pStyle w:val="8"/>
        <w:spacing w:line="520" w:lineRule="exact"/>
        <w:ind w:firstLine="560"/>
        <w:rPr>
          <w:color w:val="auto"/>
          <w:sz w:val="28"/>
          <w:szCs w:val="28"/>
        </w:rPr>
      </w:pPr>
      <w:r>
        <w:rPr>
          <w:color w:val="auto"/>
          <w:sz w:val="28"/>
          <w:szCs w:val="28"/>
        </w:rPr>
        <w:t>本项目危险物质厂界内最大存在量与其临界量的比值（Q）见</w:t>
      </w:r>
      <w:r>
        <w:rPr>
          <w:rFonts w:hint="eastAsia"/>
          <w:color w:val="auto"/>
          <w:sz w:val="28"/>
          <w:szCs w:val="28"/>
        </w:rPr>
        <w:t>表</w:t>
      </w:r>
      <w:r>
        <w:rPr>
          <w:color w:val="auto"/>
          <w:sz w:val="28"/>
          <w:szCs w:val="28"/>
        </w:rPr>
        <w:t>7</w:t>
      </w:r>
      <w:r>
        <w:rPr>
          <w:rFonts w:hint="eastAsia"/>
          <w:color w:val="auto"/>
          <w:sz w:val="28"/>
          <w:szCs w:val="28"/>
        </w:rPr>
        <w:t>.5-</w:t>
      </w:r>
      <w:r>
        <w:rPr>
          <w:color w:val="auto"/>
          <w:sz w:val="28"/>
          <w:szCs w:val="28"/>
        </w:rPr>
        <w:t>3</w:t>
      </w:r>
      <w:r>
        <w:rPr>
          <w:rFonts w:hint="eastAsia"/>
          <w:color w:val="auto"/>
          <w:sz w:val="28"/>
          <w:szCs w:val="28"/>
        </w:rPr>
        <w:t>。</w:t>
      </w:r>
    </w:p>
    <w:p>
      <w:pPr>
        <w:pStyle w:val="32"/>
        <w:tabs>
          <w:tab w:val="clear" w:pos="900"/>
        </w:tabs>
        <w:ind w:firstLine="679" w:firstLineChars="282"/>
      </w:pPr>
      <w:r>
        <w:rPr>
          <w:rFonts w:hint="eastAsia"/>
        </w:rPr>
        <w:t>表</w:t>
      </w:r>
      <w:r>
        <w:t>7</w:t>
      </w:r>
      <w:r>
        <w:rPr>
          <w:rFonts w:hint="eastAsia"/>
        </w:rPr>
        <w:t>.5-</w:t>
      </w:r>
      <w:r>
        <w:t>3</w:t>
      </w:r>
      <w:r>
        <w:rPr>
          <w:rFonts w:hint="eastAsia"/>
        </w:rPr>
        <w:t xml:space="preserve">              </w:t>
      </w:r>
      <w:r>
        <w:t xml:space="preserve">  建设项目Q值确定表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525"/>
        <w:gridCol w:w="1530"/>
        <w:gridCol w:w="1253"/>
        <w:gridCol w:w="1253"/>
        <w:gridCol w:w="976"/>
        <w:gridCol w:w="1721"/>
        <w:gridCol w:w="175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525" w:type="dxa"/>
            <w:vMerge w:val="restart"/>
            <w:noWrap w:val="0"/>
            <w:vAlign w:val="center"/>
          </w:tcPr>
          <w:p>
            <w:pPr>
              <w:pStyle w:val="36"/>
              <w:rPr>
                <w:b/>
                <w:bCs/>
                <w:szCs w:val="21"/>
              </w:rPr>
            </w:pPr>
            <w:r>
              <w:rPr>
                <w:b/>
                <w:bCs/>
                <w:szCs w:val="21"/>
              </w:rPr>
              <w:t>序号</w:t>
            </w:r>
          </w:p>
        </w:tc>
        <w:tc>
          <w:tcPr>
            <w:tcW w:w="1530" w:type="dxa"/>
            <w:vMerge w:val="restart"/>
            <w:noWrap w:val="0"/>
            <w:vAlign w:val="center"/>
          </w:tcPr>
          <w:p>
            <w:pPr>
              <w:pStyle w:val="36"/>
              <w:rPr>
                <w:b/>
                <w:bCs/>
                <w:szCs w:val="21"/>
              </w:rPr>
            </w:pPr>
            <w:r>
              <w:rPr>
                <w:b/>
                <w:bCs/>
                <w:szCs w:val="21"/>
              </w:rPr>
              <w:t>危险物质名称</w:t>
            </w:r>
          </w:p>
        </w:tc>
        <w:tc>
          <w:tcPr>
            <w:tcW w:w="1253" w:type="dxa"/>
            <w:vMerge w:val="restart"/>
            <w:noWrap w:val="0"/>
            <w:vAlign w:val="center"/>
          </w:tcPr>
          <w:p>
            <w:pPr>
              <w:pStyle w:val="36"/>
              <w:rPr>
                <w:b/>
                <w:bCs/>
                <w:szCs w:val="21"/>
              </w:rPr>
            </w:pPr>
            <w:r>
              <w:rPr>
                <w:b/>
                <w:bCs/>
                <w:szCs w:val="21"/>
              </w:rPr>
              <w:t>CAS号</w:t>
            </w:r>
          </w:p>
        </w:tc>
        <w:tc>
          <w:tcPr>
            <w:tcW w:w="1253" w:type="dxa"/>
            <w:vMerge w:val="restart"/>
            <w:noWrap w:val="0"/>
            <w:vAlign w:val="center"/>
          </w:tcPr>
          <w:p>
            <w:pPr>
              <w:pStyle w:val="36"/>
              <w:rPr>
                <w:b/>
                <w:bCs/>
                <w:szCs w:val="21"/>
              </w:rPr>
            </w:pPr>
            <w:r>
              <w:rPr>
                <w:b/>
                <w:bCs/>
                <w:szCs w:val="21"/>
              </w:rPr>
              <w:t>最大存在总量q</w:t>
            </w:r>
            <w:r>
              <w:rPr>
                <w:b/>
                <w:bCs/>
                <w:szCs w:val="21"/>
                <w:vertAlign w:val="subscript"/>
              </w:rPr>
              <w:t>n</w:t>
            </w:r>
            <w:r>
              <w:rPr>
                <w:b/>
                <w:bCs/>
                <w:szCs w:val="21"/>
              </w:rPr>
              <w:t>/t</w:t>
            </w:r>
          </w:p>
        </w:tc>
        <w:tc>
          <w:tcPr>
            <w:tcW w:w="2697" w:type="dxa"/>
            <w:gridSpan w:val="2"/>
            <w:noWrap w:val="0"/>
            <w:vAlign w:val="center"/>
          </w:tcPr>
          <w:p>
            <w:pPr>
              <w:pStyle w:val="36"/>
              <w:rPr>
                <w:b/>
                <w:bCs/>
                <w:szCs w:val="21"/>
              </w:rPr>
            </w:pPr>
            <w:r>
              <w:rPr>
                <w:b/>
                <w:bCs/>
                <w:szCs w:val="21"/>
              </w:rPr>
              <w:t>临界量</w:t>
            </w:r>
          </w:p>
        </w:tc>
        <w:tc>
          <w:tcPr>
            <w:tcW w:w="1756" w:type="dxa"/>
            <w:vMerge w:val="restart"/>
            <w:noWrap w:val="0"/>
            <w:vAlign w:val="center"/>
          </w:tcPr>
          <w:p>
            <w:pPr>
              <w:pStyle w:val="36"/>
              <w:rPr>
                <w:b/>
                <w:bCs/>
                <w:szCs w:val="21"/>
              </w:rPr>
            </w:pPr>
            <w:r>
              <w:rPr>
                <w:b/>
                <w:bCs/>
                <w:szCs w:val="21"/>
              </w:rPr>
              <w:t>该种危险物质Q值</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525" w:type="dxa"/>
            <w:vMerge w:val="continue"/>
            <w:noWrap w:val="0"/>
            <w:vAlign w:val="center"/>
          </w:tcPr>
          <w:p>
            <w:pPr>
              <w:pStyle w:val="36"/>
              <w:rPr>
                <w:szCs w:val="21"/>
              </w:rPr>
            </w:pPr>
          </w:p>
        </w:tc>
        <w:tc>
          <w:tcPr>
            <w:tcW w:w="1530" w:type="dxa"/>
            <w:vMerge w:val="continue"/>
            <w:noWrap w:val="0"/>
            <w:vAlign w:val="center"/>
          </w:tcPr>
          <w:p>
            <w:pPr>
              <w:pStyle w:val="36"/>
              <w:rPr>
                <w:szCs w:val="21"/>
              </w:rPr>
            </w:pPr>
          </w:p>
        </w:tc>
        <w:tc>
          <w:tcPr>
            <w:tcW w:w="1253" w:type="dxa"/>
            <w:vMerge w:val="continue"/>
            <w:noWrap w:val="0"/>
            <w:vAlign w:val="center"/>
          </w:tcPr>
          <w:p>
            <w:pPr>
              <w:pStyle w:val="36"/>
              <w:rPr>
                <w:szCs w:val="21"/>
              </w:rPr>
            </w:pPr>
          </w:p>
        </w:tc>
        <w:tc>
          <w:tcPr>
            <w:tcW w:w="1253" w:type="dxa"/>
            <w:vMerge w:val="continue"/>
            <w:noWrap w:val="0"/>
            <w:vAlign w:val="center"/>
          </w:tcPr>
          <w:p>
            <w:pPr>
              <w:pStyle w:val="36"/>
              <w:rPr>
                <w:szCs w:val="21"/>
              </w:rPr>
            </w:pPr>
          </w:p>
        </w:tc>
        <w:tc>
          <w:tcPr>
            <w:tcW w:w="976" w:type="dxa"/>
            <w:noWrap w:val="0"/>
            <w:vAlign w:val="center"/>
          </w:tcPr>
          <w:p>
            <w:pPr>
              <w:pStyle w:val="36"/>
              <w:rPr>
                <w:b/>
                <w:bCs/>
                <w:szCs w:val="21"/>
              </w:rPr>
            </w:pPr>
            <w:r>
              <w:rPr>
                <w:b/>
                <w:bCs/>
                <w:szCs w:val="21"/>
              </w:rPr>
              <w:t>Qn/t</w:t>
            </w:r>
          </w:p>
        </w:tc>
        <w:tc>
          <w:tcPr>
            <w:tcW w:w="1721" w:type="dxa"/>
            <w:noWrap w:val="0"/>
            <w:vAlign w:val="center"/>
          </w:tcPr>
          <w:p>
            <w:pPr>
              <w:pStyle w:val="36"/>
              <w:rPr>
                <w:b/>
                <w:bCs/>
                <w:szCs w:val="21"/>
              </w:rPr>
            </w:pPr>
            <w:r>
              <w:rPr>
                <w:b/>
                <w:bCs/>
                <w:szCs w:val="21"/>
              </w:rPr>
              <w:t>来源</w:t>
            </w:r>
          </w:p>
        </w:tc>
        <w:tc>
          <w:tcPr>
            <w:tcW w:w="1756" w:type="dxa"/>
            <w:vMerge w:val="continue"/>
            <w:noWrap w:val="0"/>
            <w:vAlign w:val="center"/>
          </w:tcPr>
          <w:p>
            <w:pPr>
              <w:pStyle w:val="36"/>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525" w:type="dxa"/>
            <w:noWrap w:val="0"/>
            <w:vAlign w:val="center"/>
          </w:tcPr>
          <w:p>
            <w:pPr>
              <w:pStyle w:val="36"/>
              <w:rPr>
                <w:szCs w:val="21"/>
              </w:rPr>
            </w:pPr>
            <w:r>
              <w:rPr>
                <w:szCs w:val="21"/>
              </w:rPr>
              <w:t>1</w:t>
            </w:r>
          </w:p>
        </w:tc>
        <w:tc>
          <w:tcPr>
            <w:tcW w:w="1530" w:type="dxa"/>
            <w:noWrap w:val="0"/>
            <w:vAlign w:val="center"/>
          </w:tcPr>
          <w:p>
            <w:pPr>
              <w:pStyle w:val="36"/>
              <w:rPr>
                <w:szCs w:val="21"/>
              </w:rPr>
            </w:pPr>
            <w:r>
              <w:rPr>
                <w:szCs w:val="21"/>
              </w:rPr>
              <w:t>氢</w:t>
            </w:r>
          </w:p>
        </w:tc>
        <w:tc>
          <w:tcPr>
            <w:tcW w:w="1253" w:type="dxa"/>
            <w:noWrap w:val="0"/>
            <w:vAlign w:val="center"/>
          </w:tcPr>
          <w:p>
            <w:pPr>
              <w:pStyle w:val="36"/>
              <w:rPr>
                <w:szCs w:val="21"/>
              </w:rPr>
            </w:pPr>
            <w:r>
              <w:rPr>
                <w:szCs w:val="21"/>
              </w:rPr>
              <w:t>1333-74-0</w:t>
            </w:r>
          </w:p>
        </w:tc>
        <w:tc>
          <w:tcPr>
            <w:tcW w:w="1253" w:type="dxa"/>
            <w:noWrap w:val="0"/>
            <w:vAlign w:val="center"/>
          </w:tcPr>
          <w:p>
            <w:pPr>
              <w:pStyle w:val="36"/>
              <w:rPr>
                <w:szCs w:val="21"/>
              </w:rPr>
            </w:pPr>
            <w:r>
              <w:rPr>
                <w:rFonts w:eastAsia="等线"/>
                <w:szCs w:val="21"/>
              </w:rPr>
              <w:t xml:space="preserve">0.01 </w:t>
            </w:r>
          </w:p>
        </w:tc>
        <w:tc>
          <w:tcPr>
            <w:tcW w:w="976" w:type="dxa"/>
            <w:noWrap w:val="0"/>
            <w:vAlign w:val="center"/>
          </w:tcPr>
          <w:p>
            <w:pPr>
              <w:pStyle w:val="36"/>
              <w:rPr>
                <w:szCs w:val="21"/>
              </w:rPr>
            </w:pPr>
            <w:r>
              <w:rPr>
                <w:rFonts w:eastAsia="等线"/>
                <w:szCs w:val="21"/>
              </w:rPr>
              <w:t>5</w:t>
            </w:r>
          </w:p>
        </w:tc>
        <w:tc>
          <w:tcPr>
            <w:tcW w:w="1721" w:type="dxa"/>
            <w:noWrap w:val="0"/>
            <w:vAlign w:val="center"/>
          </w:tcPr>
          <w:p>
            <w:pPr>
              <w:pStyle w:val="36"/>
              <w:rPr>
                <w:szCs w:val="21"/>
              </w:rPr>
            </w:pPr>
            <w:r>
              <w:rPr>
                <w:rFonts w:eastAsia="等线"/>
                <w:szCs w:val="21"/>
              </w:rPr>
              <w:t>GB18218-2018</w:t>
            </w:r>
          </w:p>
        </w:tc>
        <w:tc>
          <w:tcPr>
            <w:tcW w:w="1756" w:type="dxa"/>
            <w:noWrap w:val="0"/>
            <w:vAlign w:val="center"/>
          </w:tcPr>
          <w:p>
            <w:pPr>
              <w:pStyle w:val="36"/>
              <w:rPr>
                <w:szCs w:val="21"/>
              </w:rPr>
            </w:pPr>
            <w:r>
              <w:rPr>
                <w:rFonts w:eastAsia="等线"/>
                <w:szCs w:val="21"/>
              </w:rPr>
              <w:t xml:space="preserve">0.0028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525" w:type="dxa"/>
            <w:noWrap w:val="0"/>
            <w:vAlign w:val="center"/>
          </w:tcPr>
          <w:p>
            <w:pPr>
              <w:pStyle w:val="36"/>
              <w:rPr>
                <w:szCs w:val="21"/>
              </w:rPr>
            </w:pPr>
            <w:r>
              <w:rPr>
                <w:szCs w:val="21"/>
              </w:rPr>
              <w:t>2</w:t>
            </w:r>
          </w:p>
        </w:tc>
        <w:tc>
          <w:tcPr>
            <w:tcW w:w="1530" w:type="dxa"/>
            <w:noWrap w:val="0"/>
            <w:vAlign w:val="center"/>
          </w:tcPr>
          <w:p>
            <w:pPr>
              <w:pStyle w:val="36"/>
              <w:rPr>
                <w:szCs w:val="21"/>
              </w:rPr>
            </w:pPr>
            <w:r>
              <w:rPr>
                <w:rFonts w:hint="eastAsia"/>
                <w:szCs w:val="21"/>
              </w:rPr>
              <w:t>乙二醇</w:t>
            </w:r>
          </w:p>
        </w:tc>
        <w:tc>
          <w:tcPr>
            <w:tcW w:w="1253" w:type="dxa"/>
            <w:noWrap w:val="0"/>
            <w:vAlign w:val="center"/>
          </w:tcPr>
          <w:p>
            <w:pPr>
              <w:pStyle w:val="36"/>
              <w:rPr>
                <w:szCs w:val="21"/>
              </w:rPr>
            </w:pPr>
            <w:r>
              <w:rPr>
                <w:szCs w:val="21"/>
              </w:rPr>
              <w:t>107-21-1</w:t>
            </w:r>
          </w:p>
        </w:tc>
        <w:tc>
          <w:tcPr>
            <w:tcW w:w="1253" w:type="dxa"/>
            <w:noWrap w:val="0"/>
            <w:vAlign w:val="center"/>
          </w:tcPr>
          <w:p>
            <w:pPr>
              <w:pStyle w:val="36"/>
              <w:rPr>
                <w:szCs w:val="21"/>
              </w:rPr>
            </w:pPr>
            <w:r>
              <w:rPr>
                <w:rFonts w:eastAsia="等线"/>
                <w:szCs w:val="21"/>
              </w:rPr>
              <w:t xml:space="preserve">12.14 </w:t>
            </w:r>
          </w:p>
        </w:tc>
        <w:tc>
          <w:tcPr>
            <w:tcW w:w="976" w:type="dxa"/>
            <w:noWrap w:val="0"/>
            <w:vAlign w:val="center"/>
          </w:tcPr>
          <w:p>
            <w:pPr>
              <w:pStyle w:val="36"/>
              <w:rPr>
                <w:szCs w:val="21"/>
              </w:rPr>
            </w:pPr>
            <w:r>
              <w:rPr>
                <w:rFonts w:eastAsia="等线"/>
                <w:szCs w:val="21"/>
              </w:rPr>
              <w:t>5000</w:t>
            </w:r>
          </w:p>
        </w:tc>
        <w:tc>
          <w:tcPr>
            <w:tcW w:w="1721" w:type="dxa"/>
            <w:noWrap w:val="0"/>
            <w:vAlign w:val="center"/>
          </w:tcPr>
          <w:p>
            <w:pPr>
              <w:pStyle w:val="36"/>
              <w:rPr>
                <w:szCs w:val="21"/>
              </w:rPr>
            </w:pPr>
            <w:r>
              <w:rPr>
                <w:rFonts w:eastAsia="等线"/>
                <w:szCs w:val="21"/>
              </w:rPr>
              <w:t>GB18218-2018</w:t>
            </w:r>
          </w:p>
        </w:tc>
        <w:tc>
          <w:tcPr>
            <w:tcW w:w="1756" w:type="dxa"/>
            <w:noWrap w:val="0"/>
            <w:vAlign w:val="center"/>
          </w:tcPr>
          <w:p>
            <w:pPr>
              <w:pStyle w:val="36"/>
              <w:rPr>
                <w:szCs w:val="21"/>
              </w:rPr>
            </w:pPr>
            <w:r>
              <w:rPr>
                <w:rFonts w:eastAsia="等线"/>
                <w:szCs w:val="21"/>
              </w:rPr>
              <w:t xml:space="preserve">0.0024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525" w:type="dxa"/>
            <w:noWrap w:val="0"/>
            <w:vAlign w:val="center"/>
          </w:tcPr>
          <w:p>
            <w:pPr>
              <w:pStyle w:val="36"/>
              <w:rPr>
                <w:szCs w:val="21"/>
              </w:rPr>
            </w:pPr>
            <w:r>
              <w:rPr>
                <w:szCs w:val="21"/>
              </w:rPr>
              <w:t>3</w:t>
            </w:r>
          </w:p>
        </w:tc>
        <w:tc>
          <w:tcPr>
            <w:tcW w:w="1530" w:type="dxa"/>
            <w:noWrap w:val="0"/>
            <w:vAlign w:val="center"/>
          </w:tcPr>
          <w:p>
            <w:pPr>
              <w:pStyle w:val="36"/>
              <w:rPr>
                <w:szCs w:val="21"/>
              </w:rPr>
            </w:pPr>
            <w:r>
              <w:rPr>
                <w:rFonts w:hint="eastAsia"/>
                <w:szCs w:val="21"/>
              </w:rPr>
              <w:t>丙二醇</w:t>
            </w:r>
          </w:p>
        </w:tc>
        <w:tc>
          <w:tcPr>
            <w:tcW w:w="1253" w:type="dxa"/>
            <w:noWrap w:val="0"/>
            <w:vAlign w:val="center"/>
          </w:tcPr>
          <w:p>
            <w:pPr>
              <w:pStyle w:val="36"/>
              <w:rPr>
                <w:szCs w:val="21"/>
              </w:rPr>
            </w:pPr>
            <w:r>
              <w:rPr>
                <w:szCs w:val="21"/>
              </w:rPr>
              <w:t>57-55-6</w:t>
            </w:r>
          </w:p>
        </w:tc>
        <w:tc>
          <w:tcPr>
            <w:tcW w:w="1253" w:type="dxa"/>
            <w:noWrap w:val="0"/>
            <w:vAlign w:val="center"/>
          </w:tcPr>
          <w:p>
            <w:pPr>
              <w:pStyle w:val="36"/>
              <w:rPr>
                <w:szCs w:val="21"/>
              </w:rPr>
            </w:pPr>
            <w:r>
              <w:rPr>
                <w:rFonts w:eastAsia="等线"/>
                <w:szCs w:val="21"/>
              </w:rPr>
              <w:t xml:space="preserve">0.38 </w:t>
            </w:r>
          </w:p>
        </w:tc>
        <w:tc>
          <w:tcPr>
            <w:tcW w:w="976" w:type="dxa"/>
            <w:noWrap w:val="0"/>
            <w:vAlign w:val="center"/>
          </w:tcPr>
          <w:p>
            <w:pPr>
              <w:pStyle w:val="36"/>
              <w:rPr>
                <w:szCs w:val="21"/>
              </w:rPr>
            </w:pPr>
            <w:r>
              <w:rPr>
                <w:rFonts w:eastAsia="等线"/>
                <w:szCs w:val="21"/>
              </w:rPr>
              <w:t>5000</w:t>
            </w:r>
          </w:p>
        </w:tc>
        <w:tc>
          <w:tcPr>
            <w:tcW w:w="1721" w:type="dxa"/>
            <w:noWrap w:val="0"/>
            <w:vAlign w:val="center"/>
          </w:tcPr>
          <w:p>
            <w:pPr>
              <w:pStyle w:val="36"/>
              <w:rPr>
                <w:szCs w:val="21"/>
              </w:rPr>
            </w:pPr>
            <w:r>
              <w:rPr>
                <w:rFonts w:eastAsia="等线"/>
                <w:szCs w:val="21"/>
              </w:rPr>
              <w:t>GB18218-2018</w:t>
            </w:r>
          </w:p>
        </w:tc>
        <w:tc>
          <w:tcPr>
            <w:tcW w:w="1756" w:type="dxa"/>
            <w:noWrap w:val="0"/>
            <w:vAlign w:val="center"/>
          </w:tcPr>
          <w:p>
            <w:pPr>
              <w:pStyle w:val="36"/>
              <w:rPr>
                <w:szCs w:val="21"/>
              </w:rPr>
            </w:pPr>
            <w:r>
              <w:rPr>
                <w:rFonts w:eastAsia="等线"/>
                <w:szCs w:val="21"/>
              </w:rPr>
              <w:t xml:space="preserve">0.0001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9014" w:type="dxa"/>
            <w:gridSpan w:val="7"/>
            <w:noWrap w:val="0"/>
            <w:vAlign w:val="center"/>
          </w:tcPr>
          <w:p>
            <w:pPr>
              <w:pStyle w:val="36"/>
              <w:rPr>
                <w:szCs w:val="21"/>
              </w:rPr>
            </w:pPr>
            <w:r>
              <w:rPr>
                <w:szCs w:val="21"/>
              </w:rPr>
              <w:t>项目Q值∑为0.0053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jc w:val="center"/>
        </w:trPr>
        <w:tc>
          <w:tcPr>
            <w:tcW w:w="9014" w:type="dxa"/>
            <w:gridSpan w:val="7"/>
            <w:noWrap w:val="0"/>
            <w:vAlign w:val="center"/>
          </w:tcPr>
          <w:p>
            <w:pPr>
              <w:pStyle w:val="36"/>
              <w:jc w:val="left"/>
              <w:rPr>
                <w:rFonts w:hint="eastAsia"/>
                <w:szCs w:val="21"/>
              </w:rPr>
            </w:pPr>
            <w:r>
              <w:rPr>
                <w:szCs w:val="21"/>
              </w:rPr>
              <w:t>危险物质临界量数据优先采用HJ169-2018附录B，同时参考GB18218-2018</w:t>
            </w:r>
            <w:r>
              <w:rPr>
                <w:rFonts w:hint="eastAsia"/>
                <w:szCs w:val="21"/>
              </w:rPr>
              <w:t>，乙二醇、丙二醇临界量参照</w:t>
            </w:r>
            <w:r>
              <w:rPr>
                <w:szCs w:val="21"/>
              </w:rPr>
              <w:t>GB18218-2018</w:t>
            </w:r>
            <w:r>
              <w:rPr>
                <w:rFonts w:hint="eastAsia"/>
                <w:szCs w:val="21"/>
              </w:rPr>
              <w:t>易燃液体W</w:t>
            </w:r>
            <w:r>
              <w:rPr>
                <w:szCs w:val="21"/>
              </w:rPr>
              <w:t>5.4</w:t>
            </w:r>
          </w:p>
        </w:tc>
      </w:tr>
    </w:tbl>
    <w:p>
      <w:pPr>
        <w:pStyle w:val="8"/>
        <w:spacing w:line="500" w:lineRule="exact"/>
        <w:ind w:firstLine="560"/>
        <w:rPr>
          <w:rFonts w:hint="eastAsia"/>
          <w:color w:val="auto"/>
          <w:sz w:val="28"/>
          <w:szCs w:val="28"/>
        </w:rPr>
      </w:pPr>
      <w:r>
        <w:rPr>
          <w:rFonts w:hint="eastAsia"/>
          <w:color w:val="auto"/>
          <w:sz w:val="28"/>
          <w:szCs w:val="28"/>
        </w:rPr>
        <w:t>由表</w:t>
      </w:r>
      <w:r>
        <w:rPr>
          <w:color w:val="auto"/>
          <w:sz w:val="28"/>
          <w:szCs w:val="28"/>
        </w:rPr>
        <w:t>7</w:t>
      </w:r>
      <w:r>
        <w:rPr>
          <w:rFonts w:hint="eastAsia"/>
          <w:color w:val="auto"/>
          <w:sz w:val="28"/>
          <w:szCs w:val="28"/>
        </w:rPr>
        <w:t>.5-</w:t>
      </w:r>
      <w:r>
        <w:rPr>
          <w:color w:val="auto"/>
          <w:sz w:val="28"/>
          <w:szCs w:val="28"/>
        </w:rPr>
        <w:t>3</w:t>
      </w:r>
      <w:r>
        <w:rPr>
          <w:rFonts w:hint="eastAsia"/>
          <w:color w:val="auto"/>
          <w:sz w:val="28"/>
          <w:szCs w:val="28"/>
        </w:rPr>
        <w:t>可知，本项目危险物质数量与临界量比值</w:t>
      </w:r>
      <w:r>
        <w:rPr>
          <w:color w:val="auto"/>
          <w:sz w:val="28"/>
          <w:szCs w:val="28"/>
        </w:rPr>
        <w:t>Q＜1</w:t>
      </w:r>
      <w:r>
        <w:rPr>
          <w:rFonts w:hint="eastAsia"/>
          <w:color w:val="auto"/>
          <w:sz w:val="28"/>
          <w:szCs w:val="28"/>
        </w:rPr>
        <w:t>。</w:t>
      </w:r>
      <w:r>
        <w:rPr>
          <w:color w:val="auto"/>
          <w:sz w:val="28"/>
          <w:szCs w:val="28"/>
        </w:rPr>
        <w:t>根据《建设项目环境风险评价技术导则》（HJ169-2018）</w:t>
      </w:r>
      <w:r>
        <w:rPr>
          <w:rFonts w:hint="eastAsia"/>
          <w:color w:val="auto"/>
          <w:sz w:val="28"/>
          <w:szCs w:val="28"/>
        </w:rPr>
        <w:t>附录C</w:t>
      </w:r>
      <w:r>
        <w:rPr>
          <w:color w:val="auto"/>
          <w:sz w:val="28"/>
          <w:szCs w:val="28"/>
        </w:rPr>
        <w:t>，项目风险潜势级别为I级</w:t>
      </w:r>
      <w:r>
        <w:rPr>
          <w:rFonts w:hint="eastAsia"/>
          <w:color w:val="auto"/>
          <w:sz w:val="28"/>
          <w:szCs w:val="28"/>
        </w:rPr>
        <w:t>。</w:t>
      </w:r>
    </w:p>
    <w:p>
      <w:pPr>
        <w:pStyle w:val="4"/>
        <w:numPr>
          <w:ilvl w:val="1"/>
          <w:numId w:val="0"/>
        </w:numPr>
        <w:spacing w:before="0" w:after="0" w:line="500" w:lineRule="exact"/>
      </w:pPr>
      <w:bookmarkStart w:id="252" w:name="_Toc37869920"/>
      <w:r>
        <w:rPr>
          <w:rFonts w:hint="eastAsia"/>
        </w:rPr>
        <w:t>7</w:t>
      </w:r>
      <w:r>
        <w:t xml:space="preserve">.6  </w:t>
      </w:r>
      <w:r>
        <w:rPr>
          <w:rFonts w:hint="eastAsia"/>
        </w:rPr>
        <w:t>环境风险评价等级</w:t>
      </w:r>
      <w:bookmarkEnd w:id="252"/>
    </w:p>
    <w:p>
      <w:pPr>
        <w:pStyle w:val="8"/>
        <w:spacing w:line="500" w:lineRule="exact"/>
        <w:ind w:firstLine="560"/>
        <w:rPr>
          <w:color w:val="auto"/>
          <w:sz w:val="28"/>
          <w:szCs w:val="28"/>
        </w:rPr>
      </w:pPr>
      <w:r>
        <w:rPr>
          <w:color w:val="auto"/>
          <w:sz w:val="28"/>
          <w:szCs w:val="28"/>
        </w:rPr>
        <w:t>根据《建设项目环境风险评价技术导则》（HJ169-2018），项目风险潜势级别为I级，按照导则要求确定本项目环境风险评价为简单分析，评价等级确定依据见</w:t>
      </w:r>
      <w:r>
        <w:rPr>
          <w:rFonts w:hint="eastAsia"/>
          <w:color w:val="auto"/>
          <w:sz w:val="28"/>
          <w:szCs w:val="28"/>
        </w:rPr>
        <w:t>表7</w:t>
      </w:r>
      <w:r>
        <w:rPr>
          <w:color w:val="auto"/>
          <w:sz w:val="28"/>
          <w:szCs w:val="28"/>
        </w:rPr>
        <w:t>.6</w:t>
      </w:r>
      <w:r>
        <w:rPr>
          <w:rFonts w:hint="eastAsia"/>
          <w:color w:val="auto"/>
          <w:sz w:val="28"/>
          <w:szCs w:val="28"/>
        </w:rPr>
        <w:t>-</w:t>
      </w:r>
      <w:r>
        <w:rPr>
          <w:color w:val="auto"/>
          <w:sz w:val="28"/>
          <w:szCs w:val="28"/>
        </w:rPr>
        <w:t>1。</w:t>
      </w:r>
    </w:p>
    <w:p>
      <w:pPr>
        <w:pStyle w:val="32"/>
        <w:tabs>
          <w:tab w:val="clear" w:pos="900"/>
        </w:tabs>
        <w:ind w:firstLine="679" w:firstLineChars="282"/>
      </w:pPr>
      <w:r>
        <w:rPr>
          <w:rFonts w:hint="eastAsia"/>
        </w:rPr>
        <w:t>表7</w:t>
      </w:r>
      <w:r>
        <w:t>.6</w:t>
      </w:r>
      <w:r>
        <w:rPr>
          <w:rFonts w:hint="eastAsia"/>
        </w:rPr>
        <w:t>-</w:t>
      </w:r>
      <w:r>
        <w:t>1                    评价工作级别</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1615"/>
        <w:gridCol w:w="1919"/>
        <w:gridCol w:w="2345"/>
        <w:gridCol w:w="17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pct"/>
            <w:noWrap w:val="0"/>
            <w:vAlign w:val="center"/>
          </w:tcPr>
          <w:p>
            <w:pPr>
              <w:spacing w:line="360" w:lineRule="exact"/>
              <w:jc w:val="center"/>
              <w:rPr>
                <w:b/>
                <w:szCs w:val="21"/>
              </w:rPr>
            </w:pPr>
            <w:r>
              <w:rPr>
                <w:b/>
                <w:szCs w:val="21"/>
              </w:rPr>
              <w:t>环境风险潜势</w:t>
            </w:r>
          </w:p>
        </w:tc>
        <w:tc>
          <w:tcPr>
            <w:tcW w:w="880" w:type="pct"/>
            <w:noWrap w:val="0"/>
            <w:vAlign w:val="center"/>
          </w:tcPr>
          <w:p>
            <w:pPr>
              <w:spacing w:line="360" w:lineRule="exact"/>
              <w:jc w:val="center"/>
              <w:rPr>
                <w:b/>
                <w:szCs w:val="21"/>
              </w:rPr>
            </w:pPr>
            <w:r>
              <w:rPr>
                <w:b/>
                <w:szCs w:val="21"/>
              </w:rPr>
              <w:t>IV、IV</w:t>
            </w:r>
            <w:r>
              <w:rPr>
                <w:b/>
                <w:szCs w:val="21"/>
                <w:vertAlign w:val="superscript"/>
              </w:rPr>
              <w:t>+</w:t>
            </w:r>
          </w:p>
        </w:tc>
        <w:tc>
          <w:tcPr>
            <w:tcW w:w="1046" w:type="pct"/>
            <w:noWrap w:val="0"/>
            <w:vAlign w:val="center"/>
          </w:tcPr>
          <w:p>
            <w:pPr>
              <w:spacing w:line="360" w:lineRule="exact"/>
              <w:jc w:val="center"/>
              <w:rPr>
                <w:b/>
                <w:szCs w:val="21"/>
              </w:rPr>
            </w:pPr>
            <w:r>
              <w:rPr>
                <w:b/>
                <w:szCs w:val="21"/>
              </w:rPr>
              <w:t>III</w:t>
            </w:r>
          </w:p>
        </w:tc>
        <w:tc>
          <w:tcPr>
            <w:tcW w:w="1278" w:type="pct"/>
            <w:noWrap w:val="0"/>
            <w:vAlign w:val="center"/>
          </w:tcPr>
          <w:p>
            <w:pPr>
              <w:spacing w:line="360" w:lineRule="exact"/>
              <w:jc w:val="center"/>
              <w:rPr>
                <w:b/>
                <w:szCs w:val="21"/>
              </w:rPr>
            </w:pPr>
            <w:r>
              <w:rPr>
                <w:b/>
                <w:szCs w:val="21"/>
              </w:rPr>
              <w:t>II</w:t>
            </w:r>
          </w:p>
        </w:tc>
        <w:tc>
          <w:tcPr>
            <w:tcW w:w="930" w:type="pct"/>
            <w:noWrap w:val="0"/>
            <w:vAlign w:val="center"/>
          </w:tcPr>
          <w:p>
            <w:pPr>
              <w:spacing w:line="360" w:lineRule="exact"/>
              <w:jc w:val="center"/>
              <w:rPr>
                <w:b/>
                <w:szCs w:val="21"/>
              </w:rPr>
            </w:pPr>
            <w:r>
              <w:rPr>
                <w:b/>
                <w:szCs w:val="21"/>
              </w:rPr>
              <w:t>I</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866" w:type="pct"/>
            <w:shd w:val="clear" w:color="auto" w:fill="auto"/>
            <w:noWrap w:val="0"/>
            <w:vAlign w:val="center"/>
          </w:tcPr>
          <w:p>
            <w:pPr>
              <w:spacing w:line="360" w:lineRule="exact"/>
              <w:jc w:val="center"/>
              <w:rPr>
                <w:szCs w:val="21"/>
              </w:rPr>
            </w:pPr>
            <w:r>
              <w:rPr>
                <w:szCs w:val="21"/>
              </w:rPr>
              <w:t>评价工作等级</w:t>
            </w:r>
          </w:p>
        </w:tc>
        <w:tc>
          <w:tcPr>
            <w:tcW w:w="880" w:type="pct"/>
            <w:shd w:val="clear" w:color="auto" w:fill="auto"/>
            <w:noWrap w:val="0"/>
            <w:vAlign w:val="center"/>
          </w:tcPr>
          <w:p>
            <w:pPr>
              <w:spacing w:line="360" w:lineRule="exact"/>
              <w:jc w:val="center"/>
              <w:rPr>
                <w:szCs w:val="21"/>
              </w:rPr>
            </w:pPr>
            <w:r>
              <w:rPr>
                <w:szCs w:val="21"/>
              </w:rPr>
              <w:t>一</w:t>
            </w:r>
          </w:p>
        </w:tc>
        <w:tc>
          <w:tcPr>
            <w:tcW w:w="1046" w:type="pct"/>
            <w:shd w:val="clear" w:color="auto" w:fill="auto"/>
            <w:noWrap w:val="0"/>
            <w:vAlign w:val="center"/>
          </w:tcPr>
          <w:p>
            <w:pPr>
              <w:spacing w:line="360" w:lineRule="exact"/>
              <w:jc w:val="center"/>
              <w:rPr>
                <w:szCs w:val="21"/>
              </w:rPr>
            </w:pPr>
            <w:r>
              <w:rPr>
                <w:szCs w:val="21"/>
              </w:rPr>
              <w:t>二</w:t>
            </w:r>
          </w:p>
        </w:tc>
        <w:tc>
          <w:tcPr>
            <w:tcW w:w="1278" w:type="pct"/>
            <w:shd w:val="clear" w:color="auto" w:fill="auto"/>
            <w:noWrap w:val="0"/>
            <w:vAlign w:val="center"/>
          </w:tcPr>
          <w:p>
            <w:pPr>
              <w:spacing w:line="360" w:lineRule="exact"/>
              <w:jc w:val="center"/>
              <w:rPr>
                <w:szCs w:val="21"/>
              </w:rPr>
            </w:pPr>
            <w:r>
              <w:rPr>
                <w:szCs w:val="21"/>
              </w:rPr>
              <w:t>三</w:t>
            </w:r>
          </w:p>
        </w:tc>
        <w:tc>
          <w:tcPr>
            <w:tcW w:w="930" w:type="pct"/>
            <w:shd w:val="clear" w:color="auto" w:fill="BFBFBF"/>
            <w:noWrap w:val="0"/>
            <w:vAlign w:val="center"/>
          </w:tcPr>
          <w:p>
            <w:pPr>
              <w:spacing w:line="360" w:lineRule="exact"/>
              <w:jc w:val="center"/>
              <w:rPr>
                <w:szCs w:val="21"/>
              </w:rPr>
            </w:pPr>
            <w:r>
              <w:rPr>
                <w:szCs w:val="21"/>
              </w:rPr>
              <w:t>简单分析</w:t>
            </w:r>
            <w:r>
              <w:rPr>
                <w:szCs w:val="21"/>
                <w:vertAlign w:val="superscript"/>
              </w:rPr>
              <w: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pPr>
              <w:spacing w:line="360" w:lineRule="exact"/>
              <w:jc w:val="left"/>
              <w:rPr>
                <w:szCs w:val="21"/>
              </w:rPr>
            </w:pPr>
            <w:r>
              <w:rPr>
                <w:szCs w:val="21"/>
              </w:rPr>
              <w:t>a 是相对于详细评价工作内容而言，在描述危险物质、环境影响途径、环境危害后果、风险防范措施等方面给出定性的说明。见附录 A。</w:t>
            </w:r>
          </w:p>
        </w:tc>
      </w:tr>
    </w:tbl>
    <w:p>
      <w:pPr>
        <w:pStyle w:val="8"/>
        <w:spacing w:line="500" w:lineRule="exact"/>
        <w:ind w:firstLine="560"/>
        <w:rPr>
          <w:color w:val="auto"/>
          <w:sz w:val="28"/>
          <w:szCs w:val="28"/>
        </w:rPr>
      </w:pPr>
      <w:r>
        <w:rPr>
          <w:rFonts w:hint="eastAsia"/>
          <w:color w:val="auto"/>
          <w:sz w:val="28"/>
          <w:szCs w:val="28"/>
        </w:rPr>
        <w:t>根据项目评价工作级别，项目环境风险评价工作级别为简要分析，故本次评价工作内容主要是在描述危险物质、环境影响途径、环境危害后果、风险防范措施等方面给出定性的说明。</w:t>
      </w:r>
    </w:p>
    <w:p>
      <w:pPr>
        <w:pStyle w:val="4"/>
        <w:numPr>
          <w:ilvl w:val="1"/>
          <w:numId w:val="0"/>
        </w:numPr>
        <w:spacing w:before="0" w:after="0" w:line="500" w:lineRule="exact"/>
      </w:pPr>
      <w:r>
        <w:t>7</w:t>
      </w:r>
      <w:r>
        <w:rPr>
          <w:rFonts w:hint="eastAsia"/>
        </w:rPr>
        <w:t xml:space="preserve">.7  </w:t>
      </w:r>
      <w:r>
        <w:t>风险识别</w:t>
      </w:r>
    </w:p>
    <w:p>
      <w:pPr>
        <w:pStyle w:val="8"/>
        <w:spacing w:line="500" w:lineRule="exact"/>
        <w:ind w:firstLine="560"/>
        <w:rPr>
          <w:color w:val="auto"/>
          <w:sz w:val="28"/>
          <w:szCs w:val="28"/>
        </w:rPr>
      </w:pPr>
      <w:r>
        <w:rPr>
          <w:color w:val="auto"/>
          <w:sz w:val="28"/>
          <w:szCs w:val="28"/>
        </w:rPr>
        <w:t>风险识别的范围包括物质危险性识别、生产系统危险性识别及危险物质向环境转移的途径识别。</w:t>
      </w:r>
    </w:p>
    <w:p>
      <w:pPr>
        <w:pStyle w:val="31"/>
        <w:spacing w:line="500" w:lineRule="exact"/>
      </w:pPr>
      <w:r>
        <w:t>7</w:t>
      </w:r>
      <w:r>
        <w:rPr>
          <w:rFonts w:hint="eastAsia"/>
        </w:rPr>
        <w:t xml:space="preserve">.7.1  </w:t>
      </w:r>
      <w:r>
        <w:t>物质危险性识别</w:t>
      </w:r>
    </w:p>
    <w:p>
      <w:pPr>
        <w:pStyle w:val="8"/>
        <w:spacing w:line="500" w:lineRule="exact"/>
        <w:ind w:firstLine="560"/>
        <w:rPr>
          <w:color w:val="auto"/>
          <w:sz w:val="28"/>
          <w:szCs w:val="28"/>
        </w:rPr>
      </w:pPr>
      <w:r>
        <w:rPr>
          <w:color w:val="auto"/>
          <w:sz w:val="28"/>
          <w:szCs w:val="28"/>
        </w:rPr>
        <w:t>按照《建设项目环境风险评价技术导则》（HJ169-2018）附录B对项目所涉及的有毒有害、易燃易爆物质进行危险性识别和综合评价。本项目涉及的危险物质主要有</w:t>
      </w:r>
      <w:r>
        <w:rPr>
          <w:rFonts w:hint="eastAsia"/>
          <w:color w:val="auto"/>
          <w:sz w:val="28"/>
          <w:szCs w:val="28"/>
        </w:rPr>
        <w:t>氢气、乙二醇、1.2-丙二醇</w:t>
      </w:r>
      <w:r>
        <w:rPr>
          <w:color w:val="auto"/>
          <w:sz w:val="28"/>
          <w:szCs w:val="28"/>
        </w:rPr>
        <w:t>等，其危险性识别结果见</w:t>
      </w:r>
      <w:r>
        <w:rPr>
          <w:rFonts w:hint="eastAsia"/>
          <w:color w:val="auto"/>
          <w:sz w:val="28"/>
          <w:szCs w:val="28"/>
        </w:rPr>
        <w:t>表</w:t>
      </w:r>
      <w:r>
        <w:rPr>
          <w:color w:val="auto"/>
          <w:sz w:val="28"/>
          <w:szCs w:val="28"/>
        </w:rPr>
        <w:t>7.7</w:t>
      </w:r>
      <w:r>
        <w:rPr>
          <w:rFonts w:hint="eastAsia"/>
          <w:color w:val="auto"/>
          <w:sz w:val="28"/>
          <w:szCs w:val="28"/>
        </w:rPr>
        <w:t>-</w:t>
      </w:r>
      <w:r>
        <w:rPr>
          <w:color w:val="auto"/>
          <w:sz w:val="28"/>
          <w:szCs w:val="28"/>
        </w:rPr>
        <w:t>1。</w:t>
      </w:r>
    </w:p>
    <w:p>
      <w:pPr>
        <w:pStyle w:val="32"/>
        <w:tabs>
          <w:tab w:val="clear" w:pos="900"/>
        </w:tabs>
        <w:ind w:firstLine="679" w:firstLineChars="282"/>
      </w:pPr>
      <w:r>
        <w:rPr>
          <w:rFonts w:hint="eastAsia"/>
        </w:rPr>
        <w:t>表</w:t>
      </w:r>
      <w:r>
        <w:t>7.7</w:t>
      </w:r>
      <w:r>
        <w:rPr>
          <w:rFonts w:hint="eastAsia"/>
        </w:rPr>
        <w:t>-</w:t>
      </w:r>
      <w:r>
        <w:t>1              物质危险性识别结果一览表</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3783"/>
        <w:gridCol w:w="2249"/>
        <w:gridCol w:w="224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488" w:type="pct"/>
            <w:vMerge w:val="restart"/>
            <w:noWrap w:val="0"/>
            <w:vAlign w:val="center"/>
          </w:tcPr>
          <w:p>
            <w:pPr>
              <w:pStyle w:val="36"/>
              <w:rPr>
                <w:b/>
                <w:bCs/>
                <w:szCs w:val="21"/>
              </w:rPr>
            </w:pPr>
            <w:r>
              <w:rPr>
                <w:b/>
                <w:bCs/>
                <w:szCs w:val="21"/>
              </w:rPr>
              <w:t>序号</w:t>
            </w:r>
          </w:p>
        </w:tc>
        <w:tc>
          <w:tcPr>
            <w:tcW w:w="2062" w:type="pct"/>
            <w:vMerge w:val="restart"/>
            <w:noWrap w:val="0"/>
            <w:vAlign w:val="center"/>
          </w:tcPr>
          <w:p>
            <w:pPr>
              <w:pStyle w:val="36"/>
              <w:rPr>
                <w:b/>
                <w:bCs/>
                <w:szCs w:val="21"/>
              </w:rPr>
            </w:pPr>
            <w:r>
              <w:rPr>
                <w:b/>
                <w:bCs/>
                <w:szCs w:val="21"/>
              </w:rPr>
              <w:t>名称</w:t>
            </w:r>
          </w:p>
        </w:tc>
        <w:tc>
          <w:tcPr>
            <w:tcW w:w="2450" w:type="pct"/>
            <w:gridSpan w:val="2"/>
            <w:noWrap w:val="0"/>
            <w:vAlign w:val="center"/>
          </w:tcPr>
          <w:p>
            <w:pPr>
              <w:pStyle w:val="36"/>
              <w:rPr>
                <w:b/>
                <w:bCs/>
                <w:szCs w:val="21"/>
              </w:rPr>
            </w:pPr>
            <w:r>
              <w:rPr>
                <w:b/>
                <w:bCs/>
                <w:szCs w:val="21"/>
              </w:rPr>
              <w:t>危险特性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488" w:type="pct"/>
            <w:vMerge w:val="continue"/>
            <w:noWrap w:val="0"/>
            <w:vAlign w:val="center"/>
          </w:tcPr>
          <w:p>
            <w:pPr>
              <w:pStyle w:val="36"/>
              <w:rPr>
                <w:b/>
                <w:bCs/>
                <w:szCs w:val="21"/>
              </w:rPr>
            </w:pPr>
          </w:p>
        </w:tc>
        <w:tc>
          <w:tcPr>
            <w:tcW w:w="2062" w:type="pct"/>
            <w:vMerge w:val="continue"/>
            <w:noWrap w:val="0"/>
            <w:vAlign w:val="center"/>
          </w:tcPr>
          <w:p>
            <w:pPr>
              <w:pStyle w:val="36"/>
              <w:rPr>
                <w:b/>
                <w:bCs/>
                <w:szCs w:val="21"/>
              </w:rPr>
            </w:pPr>
          </w:p>
        </w:tc>
        <w:tc>
          <w:tcPr>
            <w:tcW w:w="1226" w:type="pct"/>
            <w:noWrap w:val="0"/>
            <w:vAlign w:val="center"/>
          </w:tcPr>
          <w:p>
            <w:pPr>
              <w:pStyle w:val="36"/>
              <w:rPr>
                <w:b/>
                <w:bCs/>
                <w:szCs w:val="21"/>
              </w:rPr>
            </w:pPr>
            <w:r>
              <w:rPr>
                <w:b/>
                <w:bCs/>
                <w:szCs w:val="21"/>
              </w:rPr>
              <w:t>有毒有害</w:t>
            </w:r>
          </w:p>
        </w:tc>
        <w:tc>
          <w:tcPr>
            <w:tcW w:w="1224" w:type="pct"/>
            <w:noWrap w:val="0"/>
            <w:vAlign w:val="center"/>
          </w:tcPr>
          <w:p>
            <w:pPr>
              <w:pStyle w:val="36"/>
              <w:rPr>
                <w:b/>
                <w:bCs/>
                <w:szCs w:val="21"/>
              </w:rPr>
            </w:pPr>
            <w:r>
              <w:rPr>
                <w:b/>
                <w:bCs/>
                <w:szCs w:val="21"/>
              </w:rPr>
              <w:t>易燃易爆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8" w:type="pct"/>
            <w:noWrap w:val="0"/>
            <w:vAlign w:val="center"/>
          </w:tcPr>
          <w:p>
            <w:pPr>
              <w:pStyle w:val="36"/>
              <w:rPr>
                <w:szCs w:val="21"/>
              </w:rPr>
            </w:pPr>
            <w:r>
              <w:rPr>
                <w:szCs w:val="21"/>
              </w:rPr>
              <w:t>1</w:t>
            </w:r>
          </w:p>
        </w:tc>
        <w:tc>
          <w:tcPr>
            <w:tcW w:w="2062" w:type="pct"/>
            <w:noWrap w:val="0"/>
            <w:vAlign w:val="center"/>
          </w:tcPr>
          <w:p>
            <w:pPr>
              <w:pStyle w:val="36"/>
              <w:rPr>
                <w:szCs w:val="21"/>
              </w:rPr>
            </w:pPr>
            <w:r>
              <w:rPr>
                <w:rFonts w:hint="eastAsia"/>
                <w:szCs w:val="21"/>
              </w:rPr>
              <w:t>氢气</w:t>
            </w:r>
          </w:p>
        </w:tc>
        <w:tc>
          <w:tcPr>
            <w:tcW w:w="1226" w:type="pct"/>
            <w:noWrap w:val="0"/>
            <w:vAlign w:val="center"/>
          </w:tcPr>
          <w:p>
            <w:pPr>
              <w:pStyle w:val="36"/>
              <w:rPr>
                <w:szCs w:val="21"/>
              </w:rPr>
            </w:pPr>
          </w:p>
        </w:tc>
        <w:tc>
          <w:tcPr>
            <w:tcW w:w="1224" w:type="pct"/>
            <w:noWrap w:val="0"/>
            <w:vAlign w:val="center"/>
          </w:tcPr>
          <w:p>
            <w:pPr>
              <w:pStyle w:val="36"/>
              <w:rPr>
                <w:szCs w:val="21"/>
              </w:rPr>
            </w:pPr>
            <w:r>
              <w:rPr>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8" w:type="pct"/>
            <w:noWrap w:val="0"/>
            <w:vAlign w:val="center"/>
          </w:tcPr>
          <w:p>
            <w:pPr>
              <w:pStyle w:val="36"/>
              <w:rPr>
                <w:szCs w:val="21"/>
              </w:rPr>
            </w:pPr>
            <w:r>
              <w:rPr>
                <w:szCs w:val="21"/>
              </w:rPr>
              <w:t>2</w:t>
            </w:r>
          </w:p>
        </w:tc>
        <w:tc>
          <w:tcPr>
            <w:tcW w:w="2062" w:type="pct"/>
            <w:noWrap w:val="0"/>
            <w:vAlign w:val="center"/>
          </w:tcPr>
          <w:p>
            <w:pPr>
              <w:pStyle w:val="36"/>
              <w:rPr>
                <w:szCs w:val="21"/>
              </w:rPr>
            </w:pPr>
            <w:r>
              <w:rPr>
                <w:rFonts w:hint="eastAsia"/>
                <w:szCs w:val="21"/>
              </w:rPr>
              <w:t>乙二醇</w:t>
            </w:r>
          </w:p>
        </w:tc>
        <w:tc>
          <w:tcPr>
            <w:tcW w:w="1226" w:type="pct"/>
            <w:noWrap w:val="0"/>
            <w:vAlign w:val="center"/>
          </w:tcPr>
          <w:p>
            <w:pPr>
              <w:pStyle w:val="36"/>
              <w:rPr>
                <w:szCs w:val="21"/>
              </w:rPr>
            </w:pPr>
          </w:p>
        </w:tc>
        <w:tc>
          <w:tcPr>
            <w:tcW w:w="1224" w:type="pct"/>
            <w:noWrap w:val="0"/>
            <w:vAlign w:val="center"/>
          </w:tcPr>
          <w:p>
            <w:pPr>
              <w:pStyle w:val="36"/>
              <w:rPr>
                <w:szCs w:val="21"/>
              </w:rPr>
            </w:pPr>
            <w:r>
              <w:rPr>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8" w:type="pct"/>
            <w:noWrap w:val="0"/>
            <w:vAlign w:val="center"/>
          </w:tcPr>
          <w:p>
            <w:pPr>
              <w:pStyle w:val="36"/>
              <w:rPr>
                <w:szCs w:val="21"/>
              </w:rPr>
            </w:pPr>
            <w:r>
              <w:rPr>
                <w:szCs w:val="21"/>
              </w:rPr>
              <w:t>3</w:t>
            </w:r>
          </w:p>
        </w:tc>
        <w:tc>
          <w:tcPr>
            <w:tcW w:w="2062" w:type="pct"/>
            <w:noWrap w:val="0"/>
            <w:vAlign w:val="center"/>
          </w:tcPr>
          <w:p>
            <w:pPr>
              <w:pStyle w:val="36"/>
              <w:rPr>
                <w:szCs w:val="21"/>
              </w:rPr>
            </w:pPr>
            <w:r>
              <w:rPr>
                <w:rFonts w:hint="eastAsia"/>
                <w:szCs w:val="21"/>
              </w:rPr>
              <w:t>1.2-丙二醇</w:t>
            </w:r>
          </w:p>
        </w:tc>
        <w:tc>
          <w:tcPr>
            <w:tcW w:w="1226" w:type="pct"/>
            <w:noWrap w:val="0"/>
            <w:vAlign w:val="center"/>
          </w:tcPr>
          <w:p>
            <w:pPr>
              <w:pStyle w:val="36"/>
              <w:rPr>
                <w:szCs w:val="21"/>
              </w:rPr>
            </w:pPr>
          </w:p>
        </w:tc>
        <w:tc>
          <w:tcPr>
            <w:tcW w:w="1224" w:type="pct"/>
            <w:noWrap w:val="0"/>
            <w:vAlign w:val="center"/>
          </w:tcPr>
          <w:p>
            <w:pPr>
              <w:pStyle w:val="36"/>
              <w:rPr>
                <w:szCs w:val="21"/>
              </w:rPr>
            </w:pPr>
            <w:r>
              <w:rPr>
                <w:szCs w:val="21"/>
              </w:rPr>
              <w:t>√</w:t>
            </w:r>
          </w:p>
        </w:tc>
      </w:tr>
    </w:tbl>
    <w:p>
      <w:pPr>
        <w:pStyle w:val="8"/>
        <w:spacing w:line="500" w:lineRule="exact"/>
        <w:ind w:firstLine="560"/>
        <w:rPr>
          <w:color w:val="auto"/>
          <w:sz w:val="28"/>
          <w:szCs w:val="28"/>
        </w:rPr>
      </w:pPr>
      <w:r>
        <w:rPr>
          <w:rFonts w:hint="eastAsia"/>
          <w:color w:val="auto"/>
          <w:sz w:val="28"/>
          <w:szCs w:val="28"/>
        </w:rPr>
        <w:t>项目环境风险类型主要是火灾、爆炸引发的次生污染物排放。</w:t>
      </w:r>
    </w:p>
    <w:p>
      <w:pPr>
        <w:pStyle w:val="31"/>
        <w:spacing w:line="500" w:lineRule="exact"/>
      </w:pPr>
      <w:r>
        <w:t>7</w:t>
      </w:r>
      <w:r>
        <w:rPr>
          <w:rFonts w:hint="eastAsia"/>
        </w:rPr>
        <w:t xml:space="preserve">.7.2  </w:t>
      </w:r>
      <w:r>
        <w:t>生产系统危险性识别</w:t>
      </w:r>
    </w:p>
    <w:p>
      <w:pPr>
        <w:pStyle w:val="29"/>
        <w:spacing w:line="500" w:lineRule="exact"/>
        <w:outlineLvl w:val="3"/>
      </w:pPr>
      <w:r>
        <w:t>7</w:t>
      </w:r>
      <w:r>
        <w:rPr>
          <w:rFonts w:hint="eastAsia"/>
        </w:rPr>
        <w:t xml:space="preserve">.7.2.1  </w:t>
      </w:r>
      <w:r>
        <w:t>危险单元及潜在风险源划分</w:t>
      </w:r>
    </w:p>
    <w:p>
      <w:pPr>
        <w:pStyle w:val="27"/>
        <w:spacing w:line="500" w:lineRule="exact"/>
        <w:ind w:firstLine="560"/>
        <w:rPr>
          <w:szCs w:val="28"/>
        </w:rPr>
      </w:pPr>
      <w:r>
        <w:rPr>
          <w:szCs w:val="28"/>
        </w:rPr>
        <w:t>根据项目工艺流程、平面布置及公辅设施情况将厂区划分为</w:t>
      </w:r>
      <w:r>
        <w:rPr>
          <w:rFonts w:hint="eastAsia"/>
          <w:szCs w:val="28"/>
        </w:rPr>
        <w:t>乙二醇合成单元、乙二醇精馏单元。</w:t>
      </w:r>
    </w:p>
    <w:p>
      <w:pPr>
        <w:pStyle w:val="8"/>
        <w:spacing w:line="500" w:lineRule="exact"/>
        <w:ind w:firstLine="560"/>
        <w:rPr>
          <w:color w:val="auto"/>
          <w:sz w:val="28"/>
          <w:szCs w:val="28"/>
        </w:rPr>
      </w:pPr>
      <w:r>
        <w:rPr>
          <w:color w:val="auto"/>
          <w:sz w:val="28"/>
          <w:szCs w:val="28"/>
        </w:rPr>
        <w:t>项目危险单元分布图见</w:t>
      </w:r>
      <w:r>
        <w:rPr>
          <w:rFonts w:hint="eastAsia"/>
          <w:color w:val="auto"/>
          <w:sz w:val="28"/>
          <w:szCs w:val="28"/>
        </w:rPr>
        <w:t>图</w:t>
      </w:r>
      <w:r>
        <w:rPr>
          <w:color w:val="auto"/>
          <w:sz w:val="28"/>
          <w:szCs w:val="28"/>
        </w:rPr>
        <w:t>7.7</w:t>
      </w:r>
      <w:r>
        <w:rPr>
          <w:rFonts w:hint="eastAsia"/>
          <w:color w:val="auto"/>
          <w:sz w:val="28"/>
          <w:szCs w:val="28"/>
        </w:rPr>
        <w:t>-</w:t>
      </w:r>
      <w:r>
        <w:rPr>
          <w:color w:val="auto"/>
          <w:sz w:val="28"/>
          <w:szCs w:val="28"/>
        </w:rPr>
        <w:t>1</w:t>
      </w:r>
      <w:r>
        <w:rPr>
          <w:rFonts w:hint="eastAsia"/>
          <w:color w:val="auto"/>
          <w:sz w:val="28"/>
          <w:szCs w:val="28"/>
        </w:rPr>
        <w:t>，</w:t>
      </w:r>
      <w:r>
        <w:rPr>
          <w:color w:val="auto"/>
          <w:sz w:val="28"/>
          <w:szCs w:val="28"/>
        </w:rPr>
        <w:t>项目各危险单元潜在风险源情况见</w:t>
      </w:r>
      <w:r>
        <w:rPr>
          <w:rFonts w:hint="eastAsia"/>
          <w:color w:val="auto"/>
          <w:sz w:val="28"/>
          <w:szCs w:val="28"/>
        </w:rPr>
        <w:t>表</w:t>
      </w:r>
      <w:r>
        <w:rPr>
          <w:color w:val="auto"/>
          <w:sz w:val="28"/>
          <w:szCs w:val="28"/>
        </w:rPr>
        <w:t>7.7</w:t>
      </w:r>
      <w:r>
        <w:rPr>
          <w:rFonts w:hint="eastAsia"/>
          <w:color w:val="auto"/>
          <w:sz w:val="28"/>
          <w:szCs w:val="28"/>
        </w:rPr>
        <w:t>-</w:t>
      </w:r>
      <w:r>
        <w:rPr>
          <w:color w:val="auto"/>
          <w:sz w:val="28"/>
          <w:szCs w:val="28"/>
        </w:rPr>
        <w:t>2。</w:t>
      </w:r>
    </w:p>
    <w:p>
      <w:pPr>
        <w:pStyle w:val="32"/>
        <w:tabs>
          <w:tab w:val="clear" w:pos="900"/>
        </w:tabs>
        <w:ind w:firstLine="679" w:firstLineChars="282"/>
        <w:rPr>
          <w:rFonts w:hint="eastAsia" w:eastAsia="黑体"/>
          <w:lang w:eastAsia="zh-CN"/>
        </w:rPr>
      </w:pPr>
      <w:r>
        <w:rPr>
          <w:rFonts w:hint="eastAsia"/>
          <w:lang w:eastAsia="zh-CN"/>
        </w:rPr>
        <w:t>（涉及商业机密未列出）</w:t>
      </w:r>
    </w:p>
    <w:p>
      <w:pPr>
        <w:pStyle w:val="8"/>
        <w:spacing w:line="520" w:lineRule="exact"/>
        <w:ind w:firstLine="560"/>
        <w:rPr>
          <w:color w:val="auto"/>
          <w:sz w:val="28"/>
          <w:szCs w:val="28"/>
        </w:rPr>
        <w:sectPr>
          <w:pgSz w:w="11906" w:h="16838"/>
          <w:pgMar w:top="1474" w:right="1474" w:bottom="1474" w:left="1474" w:header="851" w:footer="992" w:gutter="0"/>
          <w:pgNumType w:chapStyle="1"/>
          <w:cols w:space="720" w:num="1"/>
          <w:docGrid w:linePitch="312" w:charSpace="0"/>
        </w:sectPr>
      </w:pPr>
    </w:p>
    <w:p>
      <w:pPr>
        <w:pStyle w:val="8"/>
        <w:spacing w:line="240" w:lineRule="auto"/>
        <w:ind w:firstLine="0" w:firstLineChars="0"/>
        <w:jc w:val="center"/>
        <w:rPr>
          <w:color w:val="auto"/>
          <w:sz w:val="28"/>
          <w:szCs w:val="28"/>
        </w:rPr>
      </w:pPr>
    </w:p>
    <w:p>
      <w:pPr>
        <w:pStyle w:val="8"/>
        <w:spacing w:line="520" w:lineRule="exact"/>
        <w:rPr>
          <w:color w:val="auto"/>
          <w:sz w:val="28"/>
          <w:szCs w:val="28"/>
        </w:rPr>
      </w:pPr>
    </w:p>
    <w:p>
      <w:pPr>
        <w:pStyle w:val="8"/>
        <w:spacing w:line="520" w:lineRule="exact"/>
        <w:ind w:firstLine="560"/>
        <w:rPr>
          <w:color w:val="auto"/>
          <w:sz w:val="28"/>
          <w:szCs w:val="28"/>
        </w:rPr>
        <w:sectPr>
          <w:pgSz w:w="16838" w:h="11906" w:orient="landscape"/>
          <w:pgMar w:top="1474" w:right="1474" w:bottom="1474" w:left="1474" w:header="851" w:footer="992" w:gutter="0"/>
          <w:pgNumType w:chapStyle="1"/>
          <w:cols w:space="720" w:num="1"/>
          <w:docGrid w:linePitch="312" w:charSpace="0"/>
        </w:sectPr>
      </w:pPr>
    </w:p>
    <w:p>
      <w:pPr>
        <w:pStyle w:val="32"/>
        <w:tabs>
          <w:tab w:val="clear" w:pos="900"/>
        </w:tabs>
        <w:ind w:firstLine="679" w:firstLineChars="282"/>
      </w:pPr>
      <w:r>
        <w:rPr>
          <w:rFonts w:hint="eastAsia"/>
        </w:rPr>
        <w:t>表</w:t>
      </w:r>
      <w:r>
        <w:t>7.7</w:t>
      </w:r>
      <w:r>
        <w:rPr>
          <w:rFonts w:hint="eastAsia"/>
        </w:rPr>
        <w:t>-</w:t>
      </w:r>
      <w:r>
        <w:t>2         各危险单元潜在风险源及涉及危险物质一览表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409"/>
        <w:gridCol w:w="1222"/>
        <w:gridCol w:w="1658"/>
        <w:gridCol w:w="992"/>
        <w:gridCol w:w="2410"/>
        <w:gridCol w:w="1149"/>
        <w:gridCol w:w="117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jc w:val="center"/>
        </w:trPr>
        <w:tc>
          <w:tcPr>
            <w:tcW w:w="409" w:type="dxa"/>
            <w:noWrap w:val="0"/>
            <w:vAlign w:val="center"/>
          </w:tcPr>
          <w:p>
            <w:pPr>
              <w:pStyle w:val="36"/>
              <w:spacing w:line="240" w:lineRule="auto"/>
              <w:rPr>
                <w:b/>
                <w:bCs/>
                <w:szCs w:val="21"/>
              </w:rPr>
            </w:pPr>
            <w:r>
              <w:rPr>
                <w:b/>
                <w:bCs/>
                <w:szCs w:val="21"/>
              </w:rPr>
              <w:t>序号</w:t>
            </w:r>
          </w:p>
        </w:tc>
        <w:tc>
          <w:tcPr>
            <w:tcW w:w="1222" w:type="dxa"/>
            <w:noWrap w:val="0"/>
            <w:vAlign w:val="center"/>
          </w:tcPr>
          <w:p>
            <w:pPr>
              <w:pStyle w:val="36"/>
              <w:spacing w:line="240" w:lineRule="auto"/>
              <w:rPr>
                <w:b/>
                <w:bCs/>
                <w:szCs w:val="21"/>
              </w:rPr>
            </w:pPr>
            <w:r>
              <w:rPr>
                <w:b/>
                <w:bCs/>
                <w:szCs w:val="21"/>
              </w:rPr>
              <w:t>危险单元</w:t>
            </w:r>
          </w:p>
        </w:tc>
        <w:tc>
          <w:tcPr>
            <w:tcW w:w="1658" w:type="dxa"/>
            <w:noWrap w:val="0"/>
            <w:vAlign w:val="center"/>
          </w:tcPr>
          <w:p>
            <w:pPr>
              <w:pStyle w:val="36"/>
              <w:spacing w:line="240" w:lineRule="auto"/>
              <w:rPr>
                <w:b/>
                <w:bCs/>
                <w:szCs w:val="21"/>
              </w:rPr>
            </w:pPr>
            <w:r>
              <w:rPr>
                <w:b/>
                <w:bCs/>
                <w:szCs w:val="21"/>
              </w:rPr>
              <w:t>风险源</w:t>
            </w:r>
          </w:p>
        </w:tc>
        <w:tc>
          <w:tcPr>
            <w:tcW w:w="992" w:type="dxa"/>
            <w:noWrap w:val="0"/>
            <w:vAlign w:val="center"/>
          </w:tcPr>
          <w:p>
            <w:pPr>
              <w:pStyle w:val="36"/>
              <w:spacing w:line="240" w:lineRule="auto"/>
              <w:rPr>
                <w:b/>
                <w:bCs/>
                <w:szCs w:val="21"/>
              </w:rPr>
            </w:pPr>
            <w:r>
              <w:rPr>
                <w:b/>
                <w:bCs/>
                <w:szCs w:val="21"/>
              </w:rPr>
              <w:t>数量</w:t>
            </w:r>
          </w:p>
        </w:tc>
        <w:tc>
          <w:tcPr>
            <w:tcW w:w="2410" w:type="dxa"/>
            <w:noWrap w:val="0"/>
            <w:vAlign w:val="center"/>
          </w:tcPr>
          <w:p>
            <w:pPr>
              <w:pStyle w:val="36"/>
              <w:spacing w:line="240" w:lineRule="auto"/>
              <w:rPr>
                <w:b/>
                <w:bCs/>
                <w:szCs w:val="21"/>
              </w:rPr>
            </w:pPr>
            <w:r>
              <w:rPr>
                <w:rFonts w:hint="eastAsia"/>
                <w:b/>
                <w:bCs/>
                <w:szCs w:val="21"/>
              </w:rPr>
              <w:t>主要</w:t>
            </w:r>
            <w:r>
              <w:rPr>
                <w:b/>
                <w:bCs/>
                <w:szCs w:val="21"/>
              </w:rPr>
              <w:t>涉及物质</w:t>
            </w:r>
          </w:p>
        </w:tc>
        <w:tc>
          <w:tcPr>
            <w:tcW w:w="1149" w:type="dxa"/>
            <w:noWrap w:val="0"/>
            <w:vAlign w:val="center"/>
          </w:tcPr>
          <w:p>
            <w:pPr>
              <w:pStyle w:val="36"/>
              <w:spacing w:line="240" w:lineRule="auto"/>
              <w:rPr>
                <w:b/>
                <w:bCs/>
                <w:szCs w:val="21"/>
              </w:rPr>
            </w:pPr>
            <w:r>
              <w:rPr>
                <w:b/>
                <w:bCs/>
                <w:szCs w:val="21"/>
              </w:rPr>
              <w:t>主要</w:t>
            </w:r>
          </w:p>
          <w:p>
            <w:pPr>
              <w:pStyle w:val="36"/>
              <w:spacing w:line="240" w:lineRule="auto"/>
              <w:rPr>
                <w:b/>
                <w:bCs/>
                <w:szCs w:val="21"/>
              </w:rPr>
            </w:pPr>
            <w:r>
              <w:rPr>
                <w:b/>
                <w:bCs/>
                <w:szCs w:val="21"/>
              </w:rPr>
              <w:t>危险物质</w:t>
            </w:r>
          </w:p>
        </w:tc>
        <w:tc>
          <w:tcPr>
            <w:tcW w:w="1174" w:type="dxa"/>
            <w:noWrap w:val="0"/>
            <w:vAlign w:val="center"/>
          </w:tcPr>
          <w:p>
            <w:pPr>
              <w:pStyle w:val="36"/>
              <w:spacing w:line="240" w:lineRule="auto"/>
              <w:rPr>
                <w:b/>
                <w:bCs/>
                <w:szCs w:val="21"/>
              </w:rPr>
            </w:pPr>
            <w:r>
              <w:rPr>
                <w:b/>
                <w:bCs/>
                <w:szCs w:val="21"/>
              </w:rPr>
              <w:t>最大存在量（t）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restart"/>
            <w:noWrap w:val="0"/>
            <w:vAlign w:val="center"/>
          </w:tcPr>
          <w:p>
            <w:pPr>
              <w:pStyle w:val="36"/>
              <w:spacing w:line="240" w:lineRule="auto"/>
              <w:rPr>
                <w:szCs w:val="21"/>
              </w:rPr>
            </w:pPr>
            <w:r>
              <w:rPr>
                <w:szCs w:val="21"/>
              </w:rPr>
              <w:t>1</w:t>
            </w:r>
          </w:p>
        </w:tc>
        <w:tc>
          <w:tcPr>
            <w:tcW w:w="1222" w:type="dxa"/>
            <w:vMerge w:val="restart"/>
            <w:noWrap w:val="0"/>
            <w:vAlign w:val="center"/>
          </w:tcPr>
          <w:p>
            <w:pPr>
              <w:pStyle w:val="36"/>
              <w:spacing w:line="240" w:lineRule="auto"/>
              <w:rPr>
                <w:szCs w:val="21"/>
              </w:rPr>
            </w:pPr>
            <w:r>
              <w:rPr>
                <w:szCs w:val="21"/>
              </w:rPr>
              <w:t>乙二醇合成单元</w:t>
            </w:r>
          </w:p>
        </w:tc>
        <w:tc>
          <w:tcPr>
            <w:tcW w:w="1658" w:type="dxa"/>
            <w:noWrap w:val="0"/>
            <w:vAlign w:val="center"/>
          </w:tcPr>
          <w:p>
            <w:pPr>
              <w:pStyle w:val="36"/>
              <w:spacing w:line="240" w:lineRule="auto"/>
              <w:rPr>
                <w:szCs w:val="21"/>
              </w:rPr>
            </w:pPr>
            <w:r>
              <w:rPr>
                <w:szCs w:val="21"/>
              </w:rPr>
              <w:t>氢气进料管</w:t>
            </w:r>
          </w:p>
        </w:tc>
        <w:tc>
          <w:tcPr>
            <w:tcW w:w="992" w:type="dxa"/>
            <w:noWrap w:val="0"/>
            <w:vAlign w:val="center"/>
          </w:tcPr>
          <w:p>
            <w:pPr>
              <w:pStyle w:val="36"/>
              <w:spacing w:line="240" w:lineRule="auto"/>
              <w:rPr>
                <w:szCs w:val="21"/>
              </w:rPr>
            </w:pPr>
            <w:r>
              <w:rPr>
                <w:szCs w:val="21"/>
              </w:rPr>
              <w:t>/</w:t>
            </w:r>
          </w:p>
        </w:tc>
        <w:tc>
          <w:tcPr>
            <w:tcW w:w="2410" w:type="dxa"/>
            <w:noWrap w:val="0"/>
            <w:vAlign w:val="center"/>
          </w:tcPr>
          <w:p>
            <w:pPr>
              <w:pStyle w:val="36"/>
              <w:spacing w:line="240" w:lineRule="auto"/>
              <w:rPr>
                <w:szCs w:val="21"/>
              </w:rPr>
            </w:pPr>
            <w:r>
              <w:rPr>
                <w:szCs w:val="21"/>
              </w:rPr>
              <w:t>氢气</w:t>
            </w:r>
          </w:p>
        </w:tc>
        <w:tc>
          <w:tcPr>
            <w:tcW w:w="1149" w:type="dxa"/>
            <w:noWrap w:val="0"/>
            <w:vAlign w:val="center"/>
          </w:tcPr>
          <w:p>
            <w:pPr>
              <w:pStyle w:val="36"/>
              <w:spacing w:line="240" w:lineRule="auto"/>
              <w:rPr>
                <w:szCs w:val="21"/>
              </w:rPr>
            </w:pPr>
            <w:r>
              <w:rPr>
                <w:szCs w:val="21"/>
              </w:rPr>
              <w:t>氢气</w:t>
            </w:r>
          </w:p>
        </w:tc>
        <w:tc>
          <w:tcPr>
            <w:tcW w:w="1174" w:type="dxa"/>
            <w:noWrap w:val="0"/>
            <w:vAlign w:val="center"/>
          </w:tcPr>
          <w:p>
            <w:pPr>
              <w:pStyle w:val="36"/>
              <w:spacing w:line="240" w:lineRule="auto"/>
              <w:rPr>
                <w:szCs w:val="21"/>
              </w:rPr>
            </w:pPr>
            <w:r>
              <w:rPr>
                <w:szCs w:val="21"/>
              </w:rPr>
              <w:t>0.01</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restart"/>
            <w:noWrap w:val="0"/>
            <w:vAlign w:val="center"/>
          </w:tcPr>
          <w:p>
            <w:pPr>
              <w:pStyle w:val="36"/>
              <w:spacing w:line="240" w:lineRule="auto"/>
              <w:rPr>
                <w:szCs w:val="21"/>
              </w:rPr>
            </w:pPr>
            <w:r>
              <w:rPr>
                <w:szCs w:val="21"/>
              </w:rPr>
              <w:t>乙二醇合成釜</w:t>
            </w:r>
          </w:p>
        </w:tc>
        <w:tc>
          <w:tcPr>
            <w:tcW w:w="992" w:type="dxa"/>
            <w:vMerge w:val="restart"/>
            <w:noWrap w:val="0"/>
            <w:vAlign w:val="center"/>
          </w:tcPr>
          <w:p>
            <w:pPr>
              <w:pStyle w:val="36"/>
              <w:spacing w:line="240" w:lineRule="auto"/>
              <w:rPr>
                <w:szCs w:val="21"/>
              </w:rPr>
            </w:pPr>
            <w:r>
              <w:rPr>
                <w:szCs w:val="21"/>
              </w:rPr>
              <w:t>1个</w:t>
            </w:r>
          </w:p>
        </w:tc>
        <w:tc>
          <w:tcPr>
            <w:tcW w:w="2410" w:type="dxa"/>
            <w:vMerge w:val="restart"/>
            <w:noWrap w:val="0"/>
            <w:vAlign w:val="center"/>
          </w:tcPr>
          <w:p>
            <w:pPr>
              <w:pStyle w:val="36"/>
              <w:spacing w:line="240" w:lineRule="auto"/>
              <w:rPr>
                <w:szCs w:val="21"/>
              </w:rPr>
            </w:pPr>
            <w:r>
              <w:rPr>
                <w:szCs w:val="21"/>
              </w:rPr>
              <w:t>氢气、秸秆糖水溶液、粗乙二醇</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0.36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continue"/>
            <w:noWrap w:val="0"/>
            <w:vAlign w:val="center"/>
          </w:tcPr>
          <w:p>
            <w:pPr>
              <w:pStyle w:val="36"/>
              <w:spacing w:line="240" w:lineRule="auto"/>
              <w:rPr>
                <w:szCs w:val="21"/>
              </w:rPr>
            </w:pPr>
          </w:p>
        </w:tc>
        <w:tc>
          <w:tcPr>
            <w:tcW w:w="992" w:type="dxa"/>
            <w:vMerge w:val="continue"/>
            <w:noWrap w:val="0"/>
            <w:vAlign w:val="center"/>
          </w:tcPr>
          <w:p>
            <w:pPr>
              <w:pStyle w:val="36"/>
              <w:spacing w:line="240" w:lineRule="auto"/>
              <w:rPr>
                <w:szCs w:val="21"/>
              </w:rPr>
            </w:pPr>
          </w:p>
        </w:tc>
        <w:tc>
          <w:tcPr>
            <w:tcW w:w="2410" w:type="dxa"/>
            <w:vMerge w:val="continue"/>
            <w:noWrap w:val="0"/>
            <w:vAlign w:val="center"/>
          </w:tcPr>
          <w:p>
            <w:pPr>
              <w:pStyle w:val="36"/>
              <w:spacing w:line="240" w:lineRule="auto"/>
              <w:rPr>
                <w:szCs w:val="21"/>
              </w:rPr>
            </w:pPr>
          </w:p>
        </w:tc>
        <w:tc>
          <w:tcPr>
            <w:tcW w:w="1149" w:type="dxa"/>
            <w:noWrap w:val="0"/>
            <w:vAlign w:val="center"/>
          </w:tcPr>
          <w:p>
            <w:pPr>
              <w:pStyle w:val="36"/>
              <w:spacing w:line="240" w:lineRule="auto"/>
              <w:rPr>
                <w:szCs w:val="21"/>
              </w:rPr>
            </w:pPr>
            <w:r>
              <w:rPr>
                <w:szCs w:val="21"/>
              </w:rPr>
              <w:t>丙二醇</w:t>
            </w:r>
          </w:p>
        </w:tc>
        <w:tc>
          <w:tcPr>
            <w:tcW w:w="1174" w:type="dxa"/>
            <w:noWrap w:val="0"/>
            <w:vAlign w:val="center"/>
          </w:tcPr>
          <w:p>
            <w:pPr>
              <w:pStyle w:val="36"/>
              <w:spacing w:line="240" w:lineRule="auto"/>
              <w:rPr>
                <w:kern w:val="0"/>
                <w:szCs w:val="21"/>
              </w:rPr>
            </w:pPr>
            <w:r>
              <w:rPr>
                <w:kern w:val="0"/>
                <w:szCs w:val="21"/>
              </w:rPr>
              <w:t>0.09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restart"/>
            <w:noWrap w:val="0"/>
            <w:vAlign w:val="center"/>
          </w:tcPr>
          <w:p>
            <w:pPr>
              <w:pStyle w:val="36"/>
              <w:spacing w:line="240" w:lineRule="auto"/>
              <w:rPr>
                <w:szCs w:val="21"/>
              </w:rPr>
            </w:pPr>
            <w:r>
              <w:rPr>
                <w:szCs w:val="21"/>
              </w:rPr>
              <w:t>2</w:t>
            </w:r>
          </w:p>
        </w:tc>
        <w:tc>
          <w:tcPr>
            <w:tcW w:w="1222" w:type="dxa"/>
            <w:vMerge w:val="restart"/>
            <w:noWrap w:val="0"/>
            <w:vAlign w:val="center"/>
          </w:tcPr>
          <w:p>
            <w:pPr>
              <w:pStyle w:val="36"/>
              <w:spacing w:line="240" w:lineRule="auto"/>
              <w:rPr>
                <w:szCs w:val="21"/>
              </w:rPr>
            </w:pPr>
            <w:r>
              <w:rPr>
                <w:szCs w:val="21"/>
              </w:rPr>
              <w:t>乙二醇精馏单元</w:t>
            </w:r>
          </w:p>
        </w:tc>
        <w:tc>
          <w:tcPr>
            <w:tcW w:w="1658" w:type="dxa"/>
            <w:vMerge w:val="restart"/>
            <w:noWrap w:val="0"/>
            <w:vAlign w:val="center"/>
          </w:tcPr>
          <w:p>
            <w:pPr>
              <w:pStyle w:val="36"/>
              <w:spacing w:line="240" w:lineRule="auto"/>
              <w:rPr>
                <w:szCs w:val="21"/>
              </w:rPr>
            </w:pPr>
            <w:r>
              <w:rPr>
                <w:szCs w:val="21"/>
              </w:rPr>
              <w:t>高压闪蒸分离罐</w:t>
            </w:r>
          </w:p>
        </w:tc>
        <w:tc>
          <w:tcPr>
            <w:tcW w:w="992" w:type="dxa"/>
            <w:vMerge w:val="restart"/>
            <w:noWrap w:val="0"/>
            <w:vAlign w:val="center"/>
          </w:tcPr>
          <w:p>
            <w:pPr>
              <w:pStyle w:val="36"/>
              <w:spacing w:line="240" w:lineRule="auto"/>
              <w:rPr>
                <w:szCs w:val="21"/>
              </w:rPr>
            </w:pPr>
            <w:r>
              <w:rPr>
                <w:szCs w:val="21"/>
              </w:rPr>
              <w:t>1个</w:t>
            </w:r>
          </w:p>
        </w:tc>
        <w:tc>
          <w:tcPr>
            <w:tcW w:w="2410" w:type="dxa"/>
            <w:vMerge w:val="restart"/>
            <w:noWrap w:val="0"/>
            <w:vAlign w:val="center"/>
          </w:tcPr>
          <w:p>
            <w:pPr>
              <w:pStyle w:val="36"/>
              <w:spacing w:line="240" w:lineRule="auto"/>
              <w:rPr>
                <w:szCs w:val="21"/>
              </w:rPr>
            </w:pPr>
            <w:r>
              <w:rPr>
                <w:szCs w:val="21"/>
              </w:rPr>
              <w:t>乙二醇、丙二醇、轻馏分、重组分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0.36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continue"/>
            <w:noWrap w:val="0"/>
            <w:vAlign w:val="center"/>
          </w:tcPr>
          <w:p>
            <w:pPr>
              <w:pStyle w:val="36"/>
              <w:spacing w:line="240" w:lineRule="auto"/>
              <w:rPr>
                <w:szCs w:val="21"/>
              </w:rPr>
            </w:pPr>
          </w:p>
        </w:tc>
        <w:tc>
          <w:tcPr>
            <w:tcW w:w="992" w:type="dxa"/>
            <w:vMerge w:val="continue"/>
            <w:noWrap w:val="0"/>
            <w:vAlign w:val="center"/>
          </w:tcPr>
          <w:p>
            <w:pPr>
              <w:pStyle w:val="36"/>
              <w:spacing w:line="240" w:lineRule="auto"/>
              <w:rPr>
                <w:szCs w:val="21"/>
              </w:rPr>
            </w:pPr>
          </w:p>
        </w:tc>
        <w:tc>
          <w:tcPr>
            <w:tcW w:w="2410" w:type="dxa"/>
            <w:vMerge w:val="continue"/>
            <w:noWrap w:val="0"/>
            <w:vAlign w:val="center"/>
          </w:tcPr>
          <w:p>
            <w:pPr>
              <w:pStyle w:val="36"/>
              <w:spacing w:line="240" w:lineRule="auto"/>
              <w:rPr>
                <w:szCs w:val="21"/>
              </w:rPr>
            </w:pPr>
          </w:p>
        </w:tc>
        <w:tc>
          <w:tcPr>
            <w:tcW w:w="1149" w:type="dxa"/>
            <w:noWrap w:val="0"/>
            <w:vAlign w:val="center"/>
          </w:tcPr>
          <w:p>
            <w:pPr>
              <w:pStyle w:val="36"/>
              <w:spacing w:line="240" w:lineRule="auto"/>
              <w:rPr>
                <w:szCs w:val="21"/>
              </w:rPr>
            </w:pPr>
            <w:r>
              <w:rPr>
                <w:szCs w:val="21"/>
              </w:rPr>
              <w:t>丙二醇</w:t>
            </w:r>
          </w:p>
        </w:tc>
        <w:tc>
          <w:tcPr>
            <w:tcW w:w="1174" w:type="dxa"/>
            <w:noWrap w:val="0"/>
            <w:vAlign w:val="center"/>
          </w:tcPr>
          <w:p>
            <w:pPr>
              <w:pStyle w:val="36"/>
              <w:spacing w:line="240" w:lineRule="auto"/>
              <w:rPr>
                <w:szCs w:val="21"/>
              </w:rPr>
            </w:pPr>
            <w:r>
              <w:rPr>
                <w:kern w:val="0"/>
                <w:szCs w:val="21"/>
              </w:rPr>
              <w:t>0.09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restart"/>
            <w:noWrap w:val="0"/>
            <w:vAlign w:val="center"/>
          </w:tcPr>
          <w:p>
            <w:pPr>
              <w:pStyle w:val="36"/>
              <w:spacing w:line="240" w:lineRule="auto"/>
              <w:rPr>
                <w:szCs w:val="21"/>
              </w:rPr>
            </w:pPr>
            <w:r>
              <w:rPr>
                <w:szCs w:val="21"/>
              </w:rPr>
              <w:t>低压闪蒸分离罐</w:t>
            </w:r>
          </w:p>
        </w:tc>
        <w:tc>
          <w:tcPr>
            <w:tcW w:w="992" w:type="dxa"/>
            <w:vMerge w:val="restart"/>
            <w:noWrap w:val="0"/>
            <w:vAlign w:val="center"/>
          </w:tcPr>
          <w:p>
            <w:pPr>
              <w:pStyle w:val="36"/>
              <w:spacing w:line="240" w:lineRule="auto"/>
              <w:rPr>
                <w:szCs w:val="21"/>
              </w:rPr>
            </w:pPr>
            <w:r>
              <w:rPr>
                <w:szCs w:val="21"/>
              </w:rPr>
              <w:t>1个</w:t>
            </w:r>
          </w:p>
        </w:tc>
        <w:tc>
          <w:tcPr>
            <w:tcW w:w="2410" w:type="dxa"/>
            <w:vMerge w:val="restart"/>
            <w:noWrap w:val="0"/>
            <w:vAlign w:val="center"/>
          </w:tcPr>
          <w:p>
            <w:pPr>
              <w:pStyle w:val="36"/>
              <w:spacing w:line="240" w:lineRule="auto"/>
              <w:rPr>
                <w:szCs w:val="21"/>
              </w:rPr>
            </w:pPr>
            <w:r>
              <w:rPr>
                <w:szCs w:val="21"/>
              </w:rPr>
              <w:t>乙二醇、丙二醇、轻馏分、重组分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0.35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continue"/>
            <w:noWrap w:val="0"/>
            <w:vAlign w:val="center"/>
          </w:tcPr>
          <w:p>
            <w:pPr>
              <w:pStyle w:val="36"/>
              <w:spacing w:line="240" w:lineRule="auto"/>
              <w:rPr>
                <w:szCs w:val="21"/>
              </w:rPr>
            </w:pPr>
          </w:p>
        </w:tc>
        <w:tc>
          <w:tcPr>
            <w:tcW w:w="992" w:type="dxa"/>
            <w:vMerge w:val="continue"/>
            <w:noWrap w:val="0"/>
            <w:vAlign w:val="center"/>
          </w:tcPr>
          <w:p>
            <w:pPr>
              <w:pStyle w:val="36"/>
              <w:spacing w:line="240" w:lineRule="auto"/>
              <w:rPr>
                <w:szCs w:val="21"/>
              </w:rPr>
            </w:pPr>
          </w:p>
        </w:tc>
        <w:tc>
          <w:tcPr>
            <w:tcW w:w="2410" w:type="dxa"/>
            <w:vMerge w:val="continue"/>
            <w:noWrap w:val="0"/>
            <w:vAlign w:val="center"/>
          </w:tcPr>
          <w:p>
            <w:pPr>
              <w:pStyle w:val="36"/>
              <w:spacing w:line="240" w:lineRule="auto"/>
              <w:rPr>
                <w:szCs w:val="21"/>
              </w:rPr>
            </w:pPr>
          </w:p>
        </w:tc>
        <w:tc>
          <w:tcPr>
            <w:tcW w:w="1149" w:type="dxa"/>
            <w:noWrap w:val="0"/>
            <w:vAlign w:val="center"/>
          </w:tcPr>
          <w:p>
            <w:pPr>
              <w:pStyle w:val="36"/>
              <w:spacing w:line="240" w:lineRule="auto"/>
              <w:rPr>
                <w:szCs w:val="21"/>
              </w:rPr>
            </w:pPr>
            <w:r>
              <w:rPr>
                <w:szCs w:val="21"/>
              </w:rPr>
              <w:t>丙二醇</w:t>
            </w:r>
          </w:p>
        </w:tc>
        <w:tc>
          <w:tcPr>
            <w:tcW w:w="1174" w:type="dxa"/>
            <w:noWrap w:val="0"/>
            <w:vAlign w:val="center"/>
          </w:tcPr>
          <w:p>
            <w:pPr>
              <w:pStyle w:val="36"/>
              <w:spacing w:line="240" w:lineRule="auto"/>
              <w:rPr>
                <w:szCs w:val="21"/>
              </w:rPr>
            </w:pPr>
            <w:r>
              <w:rPr>
                <w:kern w:val="0"/>
                <w:szCs w:val="21"/>
              </w:rPr>
              <w:t>0.09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restart"/>
            <w:noWrap w:val="0"/>
            <w:vAlign w:val="center"/>
          </w:tcPr>
          <w:p>
            <w:pPr>
              <w:pStyle w:val="36"/>
              <w:spacing w:line="240" w:lineRule="auto"/>
              <w:rPr>
                <w:szCs w:val="21"/>
              </w:rPr>
            </w:pPr>
            <w:r>
              <w:rPr>
                <w:szCs w:val="21"/>
              </w:rPr>
              <w:t>脱轻塔</w:t>
            </w:r>
          </w:p>
        </w:tc>
        <w:tc>
          <w:tcPr>
            <w:tcW w:w="992" w:type="dxa"/>
            <w:vMerge w:val="restart"/>
            <w:noWrap w:val="0"/>
            <w:vAlign w:val="center"/>
          </w:tcPr>
          <w:p>
            <w:pPr>
              <w:pStyle w:val="36"/>
              <w:spacing w:line="240" w:lineRule="auto"/>
              <w:rPr>
                <w:szCs w:val="21"/>
              </w:rPr>
            </w:pPr>
            <w:r>
              <w:rPr>
                <w:szCs w:val="21"/>
              </w:rPr>
              <w:t>1个</w:t>
            </w:r>
          </w:p>
        </w:tc>
        <w:tc>
          <w:tcPr>
            <w:tcW w:w="2410" w:type="dxa"/>
            <w:vMerge w:val="restart"/>
            <w:noWrap w:val="0"/>
            <w:vAlign w:val="center"/>
          </w:tcPr>
          <w:p>
            <w:pPr>
              <w:pStyle w:val="36"/>
              <w:spacing w:line="240" w:lineRule="auto"/>
              <w:rPr>
                <w:szCs w:val="21"/>
              </w:rPr>
            </w:pPr>
            <w:r>
              <w:rPr>
                <w:szCs w:val="21"/>
              </w:rPr>
              <w:t>乙二醇、丙二醇、轻馏分、重组分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0.29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continue"/>
            <w:noWrap w:val="0"/>
            <w:vAlign w:val="center"/>
          </w:tcPr>
          <w:p>
            <w:pPr>
              <w:pStyle w:val="36"/>
              <w:spacing w:line="240" w:lineRule="auto"/>
              <w:rPr>
                <w:szCs w:val="21"/>
              </w:rPr>
            </w:pPr>
          </w:p>
        </w:tc>
        <w:tc>
          <w:tcPr>
            <w:tcW w:w="992" w:type="dxa"/>
            <w:vMerge w:val="continue"/>
            <w:noWrap w:val="0"/>
            <w:vAlign w:val="center"/>
          </w:tcPr>
          <w:p>
            <w:pPr>
              <w:pStyle w:val="36"/>
              <w:spacing w:line="240" w:lineRule="auto"/>
              <w:rPr>
                <w:szCs w:val="21"/>
              </w:rPr>
            </w:pPr>
          </w:p>
        </w:tc>
        <w:tc>
          <w:tcPr>
            <w:tcW w:w="2410" w:type="dxa"/>
            <w:vMerge w:val="continue"/>
            <w:noWrap w:val="0"/>
            <w:vAlign w:val="center"/>
          </w:tcPr>
          <w:p>
            <w:pPr>
              <w:pStyle w:val="36"/>
              <w:spacing w:line="240" w:lineRule="auto"/>
              <w:rPr>
                <w:szCs w:val="21"/>
              </w:rPr>
            </w:pPr>
          </w:p>
        </w:tc>
        <w:tc>
          <w:tcPr>
            <w:tcW w:w="1149" w:type="dxa"/>
            <w:noWrap w:val="0"/>
            <w:vAlign w:val="center"/>
          </w:tcPr>
          <w:p>
            <w:pPr>
              <w:pStyle w:val="36"/>
              <w:spacing w:line="240" w:lineRule="auto"/>
              <w:rPr>
                <w:szCs w:val="21"/>
              </w:rPr>
            </w:pPr>
            <w:r>
              <w:rPr>
                <w:szCs w:val="21"/>
              </w:rPr>
              <w:t>丙二醇</w:t>
            </w:r>
          </w:p>
        </w:tc>
        <w:tc>
          <w:tcPr>
            <w:tcW w:w="1174" w:type="dxa"/>
            <w:noWrap w:val="0"/>
            <w:vAlign w:val="center"/>
          </w:tcPr>
          <w:p>
            <w:pPr>
              <w:pStyle w:val="36"/>
              <w:spacing w:line="240" w:lineRule="auto"/>
              <w:rPr>
                <w:szCs w:val="21"/>
              </w:rPr>
            </w:pPr>
            <w:r>
              <w:rPr>
                <w:kern w:val="0"/>
                <w:szCs w:val="21"/>
              </w:rPr>
              <w:t>0.08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restart"/>
            <w:noWrap w:val="0"/>
            <w:vAlign w:val="center"/>
          </w:tcPr>
          <w:p>
            <w:pPr>
              <w:pStyle w:val="36"/>
              <w:spacing w:line="240" w:lineRule="auto"/>
              <w:rPr>
                <w:szCs w:val="21"/>
              </w:rPr>
            </w:pPr>
            <w:r>
              <w:rPr>
                <w:szCs w:val="21"/>
              </w:rPr>
              <w:t>丙二醇精制塔</w:t>
            </w:r>
          </w:p>
        </w:tc>
        <w:tc>
          <w:tcPr>
            <w:tcW w:w="992" w:type="dxa"/>
            <w:vMerge w:val="restart"/>
            <w:noWrap w:val="0"/>
            <w:vAlign w:val="center"/>
          </w:tcPr>
          <w:p>
            <w:pPr>
              <w:pStyle w:val="36"/>
              <w:spacing w:line="240" w:lineRule="auto"/>
              <w:rPr>
                <w:szCs w:val="21"/>
              </w:rPr>
            </w:pPr>
            <w:r>
              <w:rPr>
                <w:szCs w:val="21"/>
              </w:rPr>
              <w:t>1个</w:t>
            </w:r>
          </w:p>
        </w:tc>
        <w:tc>
          <w:tcPr>
            <w:tcW w:w="2410" w:type="dxa"/>
            <w:vMerge w:val="restart"/>
            <w:noWrap w:val="0"/>
            <w:vAlign w:val="center"/>
          </w:tcPr>
          <w:p>
            <w:pPr>
              <w:pStyle w:val="36"/>
              <w:spacing w:line="240" w:lineRule="auto"/>
              <w:rPr>
                <w:szCs w:val="21"/>
              </w:rPr>
            </w:pPr>
            <w:r>
              <w:rPr>
                <w:szCs w:val="21"/>
              </w:rPr>
              <w:t>乙二醇、丙二醇、轻馏分、重组分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0.09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vMerge w:val="continue"/>
            <w:noWrap w:val="0"/>
            <w:vAlign w:val="center"/>
          </w:tcPr>
          <w:p>
            <w:pPr>
              <w:pStyle w:val="36"/>
              <w:spacing w:line="240" w:lineRule="auto"/>
              <w:rPr>
                <w:szCs w:val="21"/>
              </w:rPr>
            </w:pPr>
          </w:p>
        </w:tc>
        <w:tc>
          <w:tcPr>
            <w:tcW w:w="992" w:type="dxa"/>
            <w:vMerge w:val="continue"/>
            <w:noWrap w:val="0"/>
            <w:vAlign w:val="center"/>
          </w:tcPr>
          <w:p>
            <w:pPr>
              <w:pStyle w:val="36"/>
              <w:spacing w:line="240" w:lineRule="auto"/>
              <w:rPr>
                <w:szCs w:val="21"/>
              </w:rPr>
            </w:pPr>
          </w:p>
        </w:tc>
        <w:tc>
          <w:tcPr>
            <w:tcW w:w="2410" w:type="dxa"/>
            <w:vMerge w:val="continue"/>
            <w:noWrap w:val="0"/>
            <w:vAlign w:val="center"/>
          </w:tcPr>
          <w:p>
            <w:pPr>
              <w:pStyle w:val="36"/>
              <w:spacing w:line="240" w:lineRule="auto"/>
              <w:rPr>
                <w:szCs w:val="21"/>
              </w:rPr>
            </w:pPr>
          </w:p>
        </w:tc>
        <w:tc>
          <w:tcPr>
            <w:tcW w:w="1149" w:type="dxa"/>
            <w:noWrap w:val="0"/>
            <w:vAlign w:val="center"/>
          </w:tcPr>
          <w:p>
            <w:pPr>
              <w:pStyle w:val="36"/>
              <w:spacing w:line="240" w:lineRule="auto"/>
              <w:rPr>
                <w:szCs w:val="21"/>
              </w:rPr>
            </w:pPr>
            <w:r>
              <w:rPr>
                <w:szCs w:val="21"/>
              </w:rPr>
              <w:t>丙二醇</w:t>
            </w:r>
          </w:p>
        </w:tc>
        <w:tc>
          <w:tcPr>
            <w:tcW w:w="1174" w:type="dxa"/>
            <w:noWrap w:val="0"/>
            <w:vAlign w:val="center"/>
          </w:tcPr>
          <w:p>
            <w:pPr>
              <w:pStyle w:val="36"/>
              <w:spacing w:line="240" w:lineRule="auto"/>
              <w:rPr>
                <w:szCs w:val="21"/>
              </w:rPr>
            </w:pPr>
            <w:r>
              <w:rPr>
                <w:kern w:val="0"/>
                <w:szCs w:val="21"/>
              </w:rPr>
              <w:t>0.02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noWrap w:val="0"/>
            <w:vAlign w:val="center"/>
          </w:tcPr>
          <w:p>
            <w:pPr>
              <w:pStyle w:val="36"/>
              <w:spacing w:line="240" w:lineRule="auto"/>
              <w:rPr>
                <w:szCs w:val="21"/>
              </w:rPr>
            </w:pPr>
            <w:r>
              <w:rPr>
                <w:szCs w:val="21"/>
              </w:rPr>
              <w:t>粗乙二醇罐</w:t>
            </w:r>
          </w:p>
        </w:tc>
        <w:tc>
          <w:tcPr>
            <w:tcW w:w="992" w:type="dxa"/>
            <w:noWrap w:val="0"/>
            <w:vAlign w:val="center"/>
          </w:tcPr>
          <w:p>
            <w:pPr>
              <w:pStyle w:val="36"/>
              <w:spacing w:line="240" w:lineRule="auto"/>
              <w:rPr>
                <w:szCs w:val="21"/>
              </w:rPr>
            </w:pPr>
            <w:r>
              <w:rPr>
                <w:szCs w:val="21"/>
              </w:rPr>
              <w:t>1个</w:t>
            </w:r>
            <w:r>
              <w:rPr>
                <w:rFonts w:hint="eastAsia"/>
                <w:szCs w:val="21"/>
              </w:rPr>
              <w:t>（</w:t>
            </w:r>
            <w:r>
              <w:rPr>
                <w:szCs w:val="21"/>
              </w:rPr>
              <w:t>14m</w:t>
            </w:r>
            <w:r>
              <w:rPr>
                <w:szCs w:val="21"/>
                <w:vertAlign w:val="superscript"/>
              </w:rPr>
              <w:t>3</w:t>
            </w:r>
            <w:r>
              <w:rPr>
                <w:rFonts w:hint="eastAsia"/>
                <w:szCs w:val="21"/>
              </w:rPr>
              <w:t>）</w:t>
            </w:r>
          </w:p>
        </w:tc>
        <w:tc>
          <w:tcPr>
            <w:tcW w:w="2410" w:type="dxa"/>
            <w:noWrap w:val="0"/>
            <w:vAlign w:val="center"/>
          </w:tcPr>
          <w:p>
            <w:pPr>
              <w:pStyle w:val="36"/>
              <w:spacing w:line="240" w:lineRule="auto"/>
              <w:rPr>
                <w:szCs w:val="21"/>
              </w:rPr>
            </w:pPr>
            <w:r>
              <w:rPr>
                <w:szCs w:val="21"/>
              </w:rPr>
              <w:t>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 xml:space="preserve">8.62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noWrap w:val="0"/>
            <w:vAlign w:val="center"/>
          </w:tcPr>
          <w:p>
            <w:pPr>
              <w:pStyle w:val="36"/>
              <w:spacing w:line="240" w:lineRule="auto"/>
              <w:rPr>
                <w:szCs w:val="21"/>
              </w:rPr>
            </w:pPr>
            <w:r>
              <w:rPr>
                <w:szCs w:val="21"/>
              </w:rPr>
              <w:t>脱重塔</w:t>
            </w:r>
          </w:p>
        </w:tc>
        <w:tc>
          <w:tcPr>
            <w:tcW w:w="992" w:type="dxa"/>
            <w:noWrap w:val="0"/>
            <w:vAlign w:val="center"/>
          </w:tcPr>
          <w:p>
            <w:pPr>
              <w:pStyle w:val="36"/>
              <w:spacing w:line="240" w:lineRule="auto"/>
              <w:rPr>
                <w:szCs w:val="21"/>
              </w:rPr>
            </w:pPr>
            <w:r>
              <w:rPr>
                <w:szCs w:val="21"/>
              </w:rPr>
              <w:t>1个</w:t>
            </w:r>
          </w:p>
        </w:tc>
        <w:tc>
          <w:tcPr>
            <w:tcW w:w="2410" w:type="dxa"/>
            <w:noWrap w:val="0"/>
            <w:vAlign w:val="center"/>
          </w:tcPr>
          <w:p>
            <w:pPr>
              <w:pStyle w:val="36"/>
              <w:spacing w:line="240" w:lineRule="auto"/>
              <w:rPr>
                <w:szCs w:val="21"/>
              </w:rPr>
            </w:pPr>
            <w:r>
              <w:rPr>
                <w:szCs w:val="21"/>
              </w:rPr>
              <w:t>乙二醇、轻馏分、重组分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 xml:space="preserve">0.09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noWrap w:val="0"/>
            <w:vAlign w:val="center"/>
          </w:tcPr>
          <w:p>
            <w:pPr>
              <w:pStyle w:val="36"/>
              <w:spacing w:line="240" w:lineRule="auto"/>
              <w:rPr>
                <w:szCs w:val="21"/>
              </w:rPr>
            </w:pPr>
            <w:r>
              <w:rPr>
                <w:szCs w:val="21"/>
              </w:rPr>
              <w:t>乙二醇精制塔</w:t>
            </w:r>
          </w:p>
        </w:tc>
        <w:tc>
          <w:tcPr>
            <w:tcW w:w="992" w:type="dxa"/>
            <w:noWrap w:val="0"/>
            <w:vAlign w:val="center"/>
          </w:tcPr>
          <w:p>
            <w:pPr>
              <w:pStyle w:val="36"/>
              <w:spacing w:line="240" w:lineRule="auto"/>
              <w:rPr>
                <w:szCs w:val="21"/>
              </w:rPr>
            </w:pPr>
            <w:r>
              <w:rPr>
                <w:szCs w:val="21"/>
              </w:rPr>
              <w:t>1个</w:t>
            </w:r>
          </w:p>
        </w:tc>
        <w:tc>
          <w:tcPr>
            <w:tcW w:w="2410" w:type="dxa"/>
            <w:noWrap w:val="0"/>
            <w:vAlign w:val="center"/>
          </w:tcPr>
          <w:p>
            <w:pPr>
              <w:pStyle w:val="36"/>
              <w:spacing w:line="240" w:lineRule="auto"/>
              <w:rPr>
                <w:szCs w:val="21"/>
              </w:rPr>
            </w:pPr>
            <w:r>
              <w:rPr>
                <w:szCs w:val="21"/>
              </w:rPr>
              <w:t>乙二醇、轻馏分</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 xml:space="preserve">0.09 </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409" w:type="dxa"/>
            <w:vMerge w:val="continue"/>
            <w:noWrap w:val="0"/>
            <w:vAlign w:val="center"/>
          </w:tcPr>
          <w:p>
            <w:pPr>
              <w:pStyle w:val="36"/>
              <w:spacing w:line="240" w:lineRule="auto"/>
              <w:rPr>
                <w:szCs w:val="21"/>
              </w:rPr>
            </w:pPr>
          </w:p>
        </w:tc>
        <w:tc>
          <w:tcPr>
            <w:tcW w:w="1222" w:type="dxa"/>
            <w:vMerge w:val="continue"/>
            <w:noWrap w:val="0"/>
            <w:vAlign w:val="center"/>
          </w:tcPr>
          <w:p>
            <w:pPr>
              <w:pStyle w:val="36"/>
              <w:spacing w:line="240" w:lineRule="auto"/>
              <w:rPr>
                <w:szCs w:val="21"/>
              </w:rPr>
            </w:pPr>
          </w:p>
        </w:tc>
        <w:tc>
          <w:tcPr>
            <w:tcW w:w="1658" w:type="dxa"/>
            <w:noWrap w:val="0"/>
            <w:vAlign w:val="center"/>
          </w:tcPr>
          <w:p>
            <w:pPr>
              <w:pStyle w:val="36"/>
              <w:spacing w:line="240" w:lineRule="auto"/>
              <w:rPr>
                <w:szCs w:val="21"/>
              </w:rPr>
            </w:pPr>
            <w:r>
              <w:rPr>
                <w:szCs w:val="21"/>
              </w:rPr>
              <w:t>乙二醇罐</w:t>
            </w:r>
          </w:p>
        </w:tc>
        <w:tc>
          <w:tcPr>
            <w:tcW w:w="992" w:type="dxa"/>
            <w:noWrap w:val="0"/>
            <w:vAlign w:val="center"/>
          </w:tcPr>
          <w:p>
            <w:pPr>
              <w:pStyle w:val="36"/>
              <w:spacing w:line="240" w:lineRule="auto"/>
              <w:rPr>
                <w:szCs w:val="21"/>
              </w:rPr>
            </w:pPr>
            <w:r>
              <w:rPr>
                <w:szCs w:val="21"/>
              </w:rPr>
              <w:t>1个</w:t>
            </w:r>
            <w:r>
              <w:rPr>
                <w:rFonts w:hint="eastAsia"/>
                <w:szCs w:val="21"/>
              </w:rPr>
              <w:t>（</w:t>
            </w:r>
            <w:r>
              <w:rPr>
                <w:szCs w:val="21"/>
              </w:rPr>
              <w:t>2m</w:t>
            </w:r>
            <w:r>
              <w:rPr>
                <w:szCs w:val="21"/>
                <w:vertAlign w:val="superscript"/>
              </w:rPr>
              <w:t>3</w:t>
            </w:r>
            <w:r>
              <w:rPr>
                <w:rFonts w:hint="eastAsia"/>
                <w:szCs w:val="21"/>
              </w:rPr>
              <w:t>）</w:t>
            </w:r>
            <w:r>
              <w:rPr>
                <w:szCs w:val="21"/>
              </w:rPr>
              <w:t xml:space="preserve"> </w:t>
            </w:r>
          </w:p>
        </w:tc>
        <w:tc>
          <w:tcPr>
            <w:tcW w:w="2410" w:type="dxa"/>
            <w:noWrap w:val="0"/>
            <w:vAlign w:val="center"/>
          </w:tcPr>
          <w:p>
            <w:pPr>
              <w:pStyle w:val="36"/>
              <w:spacing w:line="240" w:lineRule="auto"/>
              <w:rPr>
                <w:szCs w:val="21"/>
              </w:rPr>
            </w:pPr>
            <w:r>
              <w:rPr>
                <w:szCs w:val="21"/>
              </w:rPr>
              <w:t>乙二醇</w:t>
            </w:r>
          </w:p>
        </w:tc>
        <w:tc>
          <w:tcPr>
            <w:tcW w:w="1149" w:type="dxa"/>
            <w:noWrap w:val="0"/>
            <w:vAlign w:val="center"/>
          </w:tcPr>
          <w:p>
            <w:pPr>
              <w:pStyle w:val="36"/>
              <w:spacing w:line="240" w:lineRule="auto"/>
              <w:rPr>
                <w:szCs w:val="21"/>
              </w:rPr>
            </w:pPr>
            <w:r>
              <w:rPr>
                <w:szCs w:val="21"/>
              </w:rPr>
              <w:t>乙二醇</w:t>
            </w:r>
          </w:p>
        </w:tc>
        <w:tc>
          <w:tcPr>
            <w:tcW w:w="1174" w:type="dxa"/>
            <w:noWrap w:val="0"/>
            <w:vAlign w:val="center"/>
          </w:tcPr>
          <w:p>
            <w:pPr>
              <w:pStyle w:val="36"/>
              <w:spacing w:line="240" w:lineRule="auto"/>
              <w:rPr>
                <w:szCs w:val="21"/>
              </w:rPr>
            </w:pPr>
            <w:r>
              <w:rPr>
                <w:kern w:val="0"/>
                <w:szCs w:val="21"/>
              </w:rPr>
              <w:t xml:space="preserve">1.89 </w:t>
            </w:r>
          </w:p>
        </w:tc>
      </w:tr>
    </w:tbl>
    <w:p>
      <w:pPr>
        <w:pStyle w:val="29"/>
        <w:outlineLvl w:val="3"/>
      </w:pPr>
      <w:r>
        <w:t>7</w:t>
      </w:r>
      <w:r>
        <w:rPr>
          <w:rFonts w:hint="eastAsia"/>
        </w:rPr>
        <w:t xml:space="preserve">.7.2.2  </w:t>
      </w:r>
      <w:r>
        <w:t>风险源危险因素分析</w:t>
      </w:r>
    </w:p>
    <w:p>
      <w:pPr>
        <w:pStyle w:val="8"/>
        <w:spacing w:line="520" w:lineRule="exact"/>
        <w:ind w:firstLine="560"/>
        <w:rPr>
          <w:color w:val="auto"/>
          <w:sz w:val="28"/>
          <w:szCs w:val="28"/>
        </w:rPr>
        <w:sectPr>
          <w:pgSz w:w="11906" w:h="16838"/>
          <w:pgMar w:top="1474" w:right="1474" w:bottom="1474" w:left="1474" w:header="851" w:footer="992" w:gutter="0"/>
          <w:pgNumType w:chapStyle="1"/>
          <w:cols w:space="720" w:num="1"/>
          <w:docGrid w:linePitch="312" w:charSpace="0"/>
        </w:sectPr>
      </w:pPr>
      <w:r>
        <w:rPr>
          <w:color w:val="auto"/>
          <w:sz w:val="28"/>
          <w:szCs w:val="28"/>
        </w:rPr>
        <w:t>风险源的危险因素主要包括其潜在危险性、风险源存在的条件和转化为事故的触发因素等，</w:t>
      </w:r>
      <w:r>
        <w:rPr>
          <w:rFonts w:hint="eastAsia"/>
          <w:color w:val="auto"/>
          <w:sz w:val="28"/>
          <w:szCs w:val="28"/>
        </w:rPr>
        <w:t>根据本项目生产情况和风险特征，评价划分了</w:t>
      </w:r>
      <w:r>
        <w:rPr>
          <w:color w:val="auto"/>
          <w:sz w:val="28"/>
          <w:szCs w:val="28"/>
        </w:rPr>
        <w:t>本项目危险单元</w:t>
      </w:r>
      <w:r>
        <w:rPr>
          <w:rFonts w:hint="eastAsia"/>
          <w:color w:val="auto"/>
          <w:sz w:val="28"/>
          <w:szCs w:val="28"/>
        </w:rPr>
        <w:t>，并依据其潜在危险性、存在条件和转化为事故的触发因素等确定了重点风险源，各</w:t>
      </w:r>
      <w:r>
        <w:rPr>
          <w:color w:val="auto"/>
          <w:sz w:val="28"/>
          <w:szCs w:val="28"/>
        </w:rPr>
        <w:t>风险源的危险因素见</w:t>
      </w:r>
      <w:r>
        <w:rPr>
          <w:rFonts w:hint="eastAsia"/>
          <w:color w:val="auto"/>
          <w:sz w:val="28"/>
          <w:szCs w:val="28"/>
        </w:rPr>
        <w:t>表</w:t>
      </w:r>
      <w:r>
        <w:rPr>
          <w:color w:val="auto"/>
          <w:sz w:val="28"/>
          <w:szCs w:val="28"/>
        </w:rPr>
        <w:t>7.7</w:t>
      </w:r>
      <w:r>
        <w:rPr>
          <w:rFonts w:hint="eastAsia"/>
          <w:color w:val="auto"/>
          <w:sz w:val="28"/>
          <w:szCs w:val="28"/>
        </w:rPr>
        <w:t>-</w:t>
      </w:r>
      <w:r>
        <w:rPr>
          <w:color w:val="auto"/>
          <w:sz w:val="28"/>
          <w:szCs w:val="28"/>
        </w:rPr>
        <w:t>3</w:t>
      </w:r>
      <w:r>
        <w:rPr>
          <w:rFonts w:hint="eastAsia"/>
          <w:color w:val="auto"/>
          <w:sz w:val="28"/>
          <w:szCs w:val="28"/>
        </w:rPr>
        <w:t>。</w:t>
      </w:r>
    </w:p>
    <w:p>
      <w:pPr>
        <w:pStyle w:val="32"/>
        <w:tabs>
          <w:tab w:val="clear" w:pos="900"/>
        </w:tabs>
        <w:ind w:firstLine="679" w:firstLineChars="282"/>
      </w:pPr>
      <w:r>
        <w:rPr>
          <w:rFonts w:hint="eastAsia"/>
        </w:rPr>
        <w:t>表8</w:t>
      </w:r>
      <w:r>
        <w:t>.7</w:t>
      </w:r>
      <w:r>
        <w:rPr>
          <w:rFonts w:hint="eastAsia"/>
        </w:rPr>
        <w:t>-</w:t>
      </w:r>
      <w:r>
        <w:t>3                       潜在风险源危险性、存在条件和事故触发因素一览表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574"/>
        <w:gridCol w:w="1399"/>
        <w:gridCol w:w="2126"/>
        <w:gridCol w:w="1134"/>
        <w:gridCol w:w="2025"/>
        <w:gridCol w:w="1559"/>
        <w:gridCol w:w="2410"/>
        <w:gridCol w:w="2719"/>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jc w:val="center"/>
        </w:trPr>
        <w:tc>
          <w:tcPr>
            <w:tcW w:w="574" w:type="dxa"/>
            <w:vMerge w:val="restart"/>
            <w:noWrap w:val="0"/>
            <w:vAlign w:val="center"/>
          </w:tcPr>
          <w:p>
            <w:pPr>
              <w:pStyle w:val="36"/>
              <w:spacing w:line="240" w:lineRule="auto"/>
              <w:rPr>
                <w:b/>
                <w:bCs/>
                <w:szCs w:val="21"/>
              </w:rPr>
            </w:pPr>
            <w:r>
              <w:rPr>
                <w:b/>
                <w:bCs/>
                <w:szCs w:val="21"/>
              </w:rPr>
              <w:t>序号</w:t>
            </w:r>
          </w:p>
        </w:tc>
        <w:tc>
          <w:tcPr>
            <w:tcW w:w="1399" w:type="dxa"/>
            <w:vMerge w:val="restart"/>
            <w:noWrap w:val="0"/>
            <w:vAlign w:val="center"/>
          </w:tcPr>
          <w:p>
            <w:pPr>
              <w:pStyle w:val="36"/>
              <w:spacing w:line="240" w:lineRule="auto"/>
              <w:rPr>
                <w:b/>
                <w:bCs/>
                <w:szCs w:val="21"/>
              </w:rPr>
            </w:pPr>
            <w:r>
              <w:rPr>
                <w:b/>
                <w:bCs/>
                <w:szCs w:val="21"/>
              </w:rPr>
              <w:t>危险单元</w:t>
            </w:r>
          </w:p>
        </w:tc>
        <w:tc>
          <w:tcPr>
            <w:tcW w:w="2126" w:type="dxa"/>
            <w:vMerge w:val="restart"/>
            <w:noWrap w:val="0"/>
            <w:vAlign w:val="center"/>
          </w:tcPr>
          <w:p>
            <w:pPr>
              <w:pStyle w:val="36"/>
              <w:spacing w:line="240" w:lineRule="auto"/>
              <w:rPr>
                <w:b/>
                <w:bCs/>
                <w:szCs w:val="21"/>
              </w:rPr>
            </w:pPr>
            <w:r>
              <w:rPr>
                <w:b/>
                <w:bCs/>
                <w:szCs w:val="21"/>
              </w:rPr>
              <w:t>风险源</w:t>
            </w:r>
          </w:p>
        </w:tc>
        <w:tc>
          <w:tcPr>
            <w:tcW w:w="1134" w:type="dxa"/>
            <w:vMerge w:val="restart"/>
            <w:noWrap w:val="0"/>
            <w:vAlign w:val="center"/>
          </w:tcPr>
          <w:p>
            <w:pPr>
              <w:pStyle w:val="36"/>
              <w:spacing w:line="240" w:lineRule="auto"/>
              <w:rPr>
                <w:rFonts w:hint="eastAsia"/>
                <w:b/>
                <w:bCs/>
                <w:szCs w:val="21"/>
              </w:rPr>
            </w:pPr>
            <w:r>
              <w:rPr>
                <w:rFonts w:hint="eastAsia"/>
                <w:b/>
                <w:bCs/>
                <w:szCs w:val="21"/>
              </w:rPr>
              <w:t>是否重点风险源</w:t>
            </w:r>
          </w:p>
        </w:tc>
        <w:tc>
          <w:tcPr>
            <w:tcW w:w="3584" w:type="dxa"/>
            <w:gridSpan w:val="2"/>
            <w:noWrap w:val="0"/>
            <w:vAlign w:val="center"/>
          </w:tcPr>
          <w:p>
            <w:pPr>
              <w:pStyle w:val="36"/>
              <w:spacing w:line="240" w:lineRule="auto"/>
              <w:rPr>
                <w:b/>
                <w:bCs/>
                <w:szCs w:val="21"/>
              </w:rPr>
            </w:pPr>
            <w:r>
              <w:rPr>
                <w:b/>
                <w:bCs/>
              </w:rPr>
              <w:t>危险性</w:t>
            </w:r>
          </w:p>
        </w:tc>
        <w:tc>
          <w:tcPr>
            <w:tcW w:w="2410" w:type="dxa"/>
            <w:vMerge w:val="restart"/>
            <w:noWrap w:val="0"/>
            <w:vAlign w:val="center"/>
          </w:tcPr>
          <w:p>
            <w:pPr>
              <w:pStyle w:val="36"/>
              <w:spacing w:line="240" w:lineRule="auto"/>
              <w:rPr>
                <w:b/>
                <w:bCs/>
                <w:szCs w:val="21"/>
              </w:rPr>
            </w:pPr>
            <w:r>
              <w:rPr>
                <w:rFonts w:hint="eastAsia"/>
                <w:b/>
                <w:bCs/>
                <w:szCs w:val="21"/>
              </w:rPr>
              <w:t>存在条件</w:t>
            </w:r>
          </w:p>
        </w:tc>
        <w:tc>
          <w:tcPr>
            <w:tcW w:w="2719" w:type="dxa"/>
            <w:vMerge w:val="restart"/>
            <w:noWrap w:val="0"/>
            <w:vAlign w:val="center"/>
          </w:tcPr>
          <w:p>
            <w:pPr>
              <w:pStyle w:val="36"/>
              <w:spacing w:line="240" w:lineRule="auto"/>
              <w:rPr>
                <w:b/>
                <w:bCs/>
                <w:szCs w:val="21"/>
              </w:rPr>
            </w:pPr>
            <w:r>
              <w:rPr>
                <w:b/>
                <w:bCs/>
              </w:rPr>
              <w:t>转化为事故的触发因素</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jc w:val="center"/>
        </w:trPr>
        <w:tc>
          <w:tcPr>
            <w:tcW w:w="574" w:type="dxa"/>
            <w:vMerge w:val="continue"/>
            <w:noWrap w:val="0"/>
            <w:vAlign w:val="center"/>
          </w:tcPr>
          <w:p>
            <w:pPr>
              <w:pStyle w:val="36"/>
              <w:spacing w:line="240" w:lineRule="auto"/>
              <w:rPr>
                <w:b/>
                <w:bCs/>
                <w:szCs w:val="21"/>
              </w:rPr>
            </w:pPr>
          </w:p>
        </w:tc>
        <w:tc>
          <w:tcPr>
            <w:tcW w:w="1399" w:type="dxa"/>
            <w:vMerge w:val="continue"/>
            <w:noWrap w:val="0"/>
            <w:vAlign w:val="center"/>
          </w:tcPr>
          <w:p>
            <w:pPr>
              <w:pStyle w:val="36"/>
              <w:spacing w:line="240" w:lineRule="auto"/>
              <w:rPr>
                <w:b/>
                <w:bCs/>
                <w:szCs w:val="21"/>
              </w:rPr>
            </w:pPr>
          </w:p>
        </w:tc>
        <w:tc>
          <w:tcPr>
            <w:tcW w:w="2126" w:type="dxa"/>
            <w:vMerge w:val="continue"/>
            <w:noWrap w:val="0"/>
            <w:vAlign w:val="center"/>
          </w:tcPr>
          <w:p>
            <w:pPr>
              <w:pStyle w:val="36"/>
              <w:spacing w:line="240" w:lineRule="auto"/>
              <w:rPr>
                <w:b/>
                <w:bCs/>
                <w:szCs w:val="21"/>
              </w:rPr>
            </w:pPr>
          </w:p>
        </w:tc>
        <w:tc>
          <w:tcPr>
            <w:tcW w:w="1134" w:type="dxa"/>
            <w:vMerge w:val="continue"/>
            <w:noWrap w:val="0"/>
            <w:vAlign w:val="center"/>
          </w:tcPr>
          <w:p>
            <w:pPr>
              <w:pStyle w:val="36"/>
              <w:spacing w:line="240" w:lineRule="auto"/>
              <w:rPr>
                <w:rFonts w:hint="eastAsia"/>
                <w:b/>
                <w:bCs/>
                <w:szCs w:val="21"/>
              </w:rPr>
            </w:pPr>
          </w:p>
        </w:tc>
        <w:tc>
          <w:tcPr>
            <w:tcW w:w="2025" w:type="dxa"/>
            <w:noWrap w:val="0"/>
            <w:vAlign w:val="center"/>
          </w:tcPr>
          <w:p>
            <w:pPr>
              <w:pStyle w:val="36"/>
              <w:spacing w:line="240" w:lineRule="auto"/>
              <w:rPr>
                <w:b/>
                <w:bCs/>
                <w:szCs w:val="21"/>
              </w:rPr>
            </w:pPr>
            <w:r>
              <w:rPr>
                <w:b/>
                <w:bCs/>
                <w:szCs w:val="21"/>
              </w:rPr>
              <w:t>主要危险物质</w:t>
            </w:r>
          </w:p>
        </w:tc>
        <w:tc>
          <w:tcPr>
            <w:tcW w:w="1559" w:type="dxa"/>
            <w:noWrap w:val="0"/>
            <w:vAlign w:val="center"/>
          </w:tcPr>
          <w:p>
            <w:pPr>
              <w:pStyle w:val="36"/>
              <w:spacing w:line="240" w:lineRule="auto"/>
              <w:rPr>
                <w:b/>
                <w:bCs/>
                <w:szCs w:val="21"/>
              </w:rPr>
            </w:pPr>
            <w:r>
              <w:rPr>
                <w:b/>
                <w:bCs/>
              </w:rPr>
              <w:t>危险性类别</w:t>
            </w:r>
          </w:p>
        </w:tc>
        <w:tc>
          <w:tcPr>
            <w:tcW w:w="2410" w:type="dxa"/>
            <w:vMerge w:val="continue"/>
            <w:noWrap w:val="0"/>
            <w:vAlign w:val="center"/>
          </w:tcPr>
          <w:p>
            <w:pPr>
              <w:pStyle w:val="36"/>
              <w:spacing w:line="240" w:lineRule="auto"/>
              <w:rPr>
                <w:b/>
                <w:bCs/>
                <w:szCs w:val="21"/>
              </w:rPr>
            </w:pPr>
          </w:p>
        </w:tc>
        <w:tc>
          <w:tcPr>
            <w:tcW w:w="2719" w:type="dxa"/>
            <w:vMerge w:val="continue"/>
            <w:noWrap w:val="0"/>
            <w:vAlign w:val="center"/>
          </w:tcPr>
          <w:p>
            <w:pPr>
              <w:pStyle w:val="36"/>
              <w:spacing w:line="240" w:lineRule="auto"/>
              <w:rPr>
                <w:rFonts w:hint="eastAsia"/>
                <w:b/>
                <w:bCs/>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restart"/>
            <w:noWrap w:val="0"/>
            <w:vAlign w:val="center"/>
          </w:tcPr>
          <w:p>
            <w:pPr>
              <w:pStyle w:val="36"/>
              <w:spacing w:line="240" w:lineRule="auto"/>
              <w:rPr>
                <w:szCs w:val="21"/>
              </w:rPr>
            </w:pPr>
            <w:r>
              <w:rPr>
                <w:szCs w:val="21"/>
              </w:rPr>
              <w:t>1</w:t>
            </w:r>
          </w:p>
        </w:tc>
        <w:tc>
          <w:tcPr>
            <w:tcW w:w="1399" w:type="dxa"/>
            <w:vMerge w:val="restart"/>
            <w:noWrap w:val="0"/>
            <w:vAlign w:val="center"/>
          </w:tcPr>
          <w:p>
            <w:pPr>
              <w:pStyle w:val="36"/>
              <w:spacing w:line="240" w:lineRule="auto"/>
              <w:rPr>
                <w:szCs w:val="21"/>
              </w:rPr>
            </w:pPr>
            <w:r>
              <w:rPr>
                <w:rFonts w:hint="eastAsia"/>
                <w:szCs w:val="21"/>
              </w:rPr>
              <w:t>乙二醇合成单元</w:t>
            </w:r>
          </w:p>
        </w:tc>
        <w:tc>
          <w:tcPr>
            <w:tcW w:w="2126" w:type="dxa"/>
            <w:noWrap w:val="0"/>
            <w:vAlign w:val="center"/>
          </w:tcPr>
          <w:p>
            <w:pPr>
              <w:pStyle w:val="36"/>
              <w:spacing w:line="240" w:lineRule="auto"/>
              <w:rPr>
                <w:szCs w:val="21"/>
              </w:rPr>
            </w:pPr>
            <w:r>
              <w:rPr>
                <w:rFonts w:hint="eastAsia"/>
                <w:szCs w:val="21"/>
              </w:rPr>
              <w:t>氢气进料管</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氢气</w:t>
            </w:r>
          </w:p>
        </w:tc>
        <w:tc>
          <w:tcPr>
            <w:tcW w:w="1559" w:type="dxa"/>
            <w:noWrap w:val="0"/>
            <w:vAlign w:val="center"/>
          </w:tcPr>
          <w:p>
            <w:pPr>
              <w:pStyle w:val="36"/>
              <w:spacing w:line="240" w:lineRule="auto"/>
              <w:rPr>
                <w:rFonts w:hint="eastAsia"/>
                <w:szCs w:val="21"/>
              </w:rPr>
            </w:pPr>
            <w:r>
              <w:t>易燃</w:t>
            </w:r>
          </w:p>
        </w:tc>
        <w:tc>
          <w:tcPr>
            <w:tcW w:w="2410" w:type="dxa"/>
            <w:noWrap w:val="0"/>
            <w:vAlign w:val="center"/>
          </w:tcPr>
          <w:p>
            <w:pPr>
              <w:pStyle w:val="36"/>
              <w:spacing w:line="240" w:lineRule="auto"/>
              <w:jc w:val="left"/>
              <w:rPr>
                <w:szCs w:val="21"/>
              </w:rPr>
            </w:pPr>
          </w:p>
        </w:tc>
        <w:tc>
          <w:tcPr>
            <w:tcW w:w="2719" w:type="dxa"/>
            <w:noWrap w:val="0"/>
            <w:vAlign w:val="center"/>
          </w:tcPr>
          <w:p>
            <w:pPr>
              <w:pStyle w:val="36"/>
              <w:spacing w:line="240" w:lineRule="auto"/>
              <w:jc w:val="left"/>
              <w:rPr>
                <w:szCs w:val="21"/>
              </w:rPr>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乙二醇合成釜</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rFonts w:hint="eastAsia"/>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pStyle w:val="36"/>
              <w:spacing w:line="240" w:lineRule="auto"/>
              <w:jc w:val="left"/>
              <w:rPr>
                <w:szCs w:val="21"/>
              </w:rPr>
            </w:pPr>
          </w:p>
        </w:tc>
        <w:tc>
          <w:tcPr>
            <w:tcW w:w="2719" w:type="dxa"/>
            <w:noWrap w:val="0"/>
            <w:vAlign w:val="center"/>
          </w:tcPr>
          <w:p>
            <w:pPr>
              <w:pStyle w:val="36"/>
              <w:spacing w:line="240" w:lineRule="auto"/>
              <w:jc w:val="left"/>
              <w:rPr>
                <w:szCs w:val="21"/>
              </w:rPr>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restart"/>
            <w:noWrap w:val="0"/>
            <w:vAlign w:val="center"/>
          </w:tcPr>
          <w:p>
            <w:pPr>
              <w:pStyle w:val="36"/>
              <w:spacing w:line="240" w:lineRule="auto"/>
              <w:rPr>
                <w:szCs w:val="21"/>
              </w:rPr>
            </w:pPr>
            <w:r>
              <w:rPr>
                <w:szCs w:val="21"/>
              </w:rPr>
              <w:t>2</w:t>
            </w:r>
          </w:p>
        </w:tc>
        <w:tc>
          <w:tcPr>
            <w:tcW w:w="1399" w:type="dxa"/>
            <w:vMerge w:val="restart"/>
            <w:noWrap w:val="0"/>
            <w:vAlign w:val="center"/>
          </w:tcPr>
          <w:p>
            <w:pPr>
              <w:pStyle w:val="36"/>
              <w:spacing w:line="240" w:lineRule="auto"/>
              <w:rPr>
                <w:szCs w:val="21"/>
              </w:rPr>
            </w:pPr>
            <w:r>
              <w:rPr>
                <w:rFonts w:hint="eastAsia"/>
                <w:szCs w:val="21"/>
              </w:rPr>
              <w:t>乙二醇精馏单元</w:t>
            </w:r>
          </w:p>
        </w:tc>
        <w:tc>
          <w:tcPr>
            <w:tcW w:w="2126" w:type="dxa"/>
            <w:noWrap w:val="0"/>
            <w:vAlign w:val="center"/>
          </w:tcPr>
          <w:p>
            <w:pPr>
              <w:pStyle w:val="36"/>
              <w:spacing w:line="240" w:lineRule="auto"/>
              <w:rPr>
                <w:szCs w:val="21"/>
              </w:rPr>
            </w:pPr>
            <w:r>
              <w:rPr>
                <w:rFonts w:hint="eastAsia"/>
                <w:szCs w:val="21"/>
              </w:rPr>
              <w:t>高压闪蒸分离罐</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pStyle w:val="36"/>
              <w:spacing w:line="240" w:lineRule="auto"/>
              <w:jc w:val="left"/>
              <w:rPr>
                <w:szCs w:val="21"/>
              </w:rPr>
            </w:pPr>
          </w:p>
        </w:tc>
        <w:tc>
          <w:tcPr>
            <w:tcW w:w="2719" w:type="dxa"/>
            <w:noWrap w:val="0"/>
            <w:vAlign w:val="center"/>
          </w:tcPr>
          <w:p>
            <w:pPr>
              <w:pStyle w:val="36"/>
              <w:spacing w:line="240" w:lineRule="auto"/>
              <w:jc w:val="left"/>
              <w:rPr>
                <w:szCs w:val="21"/>
              </w:rPr>
            </w:pPr>
            <w:r>
              <w:t>设备腐蚀老化、检修不当等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低压闪蒸分离罐</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pStyle w:val="36"/>
              <w:spacing w:line="240" w:lineRule="auto"/>
              <w:jc w:val="left"/>
              <w:rPr>
                <w:szCs w:val="21"/>
              </w:rPr>
            </w:pPr>
          </w:p>
        </w:tc>
        <w:tc>
          <w:tcPr>
            <w:tcW w:w="2719" w:type="dxa"/>
            <w:noWrap w:val="0"/>
            <w:vAlign w:val="center"/>
          </w:tcPr>
          <w:p>
            <w:pPr>
              <w:pStyle w:val="36"/>
              <w:spacing w:line="240" w:lineRule="auto"/>
              <w:jc w:val="left"/>
              <w:rPr>
                <w:szCs w:val="21"/>
              </w:rPr>
            </w:pPr>
            <w:r>
              <w:t>设备腐蚀老化、检修不当等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脱轻塔</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widowControl/>
              <w:jc w:val="left"/>
              <w:rPr>
                <w:rFonts w:hint="eastAsia" w:eastAsia="等线"/>
                <w:kern w:val="0"/>
                <w:sz w:val="24"/>
              </w:rPr>
            </w:pPr>
          </w:p>
        </w:tc>
        <w:tc>
          <w:tcPr>
            <w:tcW w:w="2719" w:type="dxa"/>
            <w:noWrap w:val="0"/>
            <w:vAlign w:val="center"/>
          </w:tcPr>
          <w:p>
            <w:pPr>
              <w:pStyle w:val="36"/>
              <w:spacing w:line="240" w:lineRule="auto"/>
              <w:jc w:val="left"/>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丙二醇精制塔</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粗乙二醇、丙二醇</w:t>
            </w:r>
          </w:p>
        </w:tc>
        <w:tc>
          <w:tcPr>
            <w:tcW w:w="1559" w:type="dxa"/>
            <w:noWrap w:val="0"/>
            <w:vAlign w:val="center"/>
          </w:tcPr>
          <w:p>
            <w:pPr>
              <w:pStyle w:val="36"/>
              <w:spacing w:line="240" w:lineRule="auto"/>
              <w:rPr>
                <w:szCs w:val="21"/>
              </w:rPr>
            </w:pPr>
            <w:r>
              <w:t>易燃</w:t>
            </w:r>
          </w:p>
        </w:tc>
        <w:tc>
          <w:tcPr>
            <w:tcW w:w="2410" w:type="dxa"/>
            <w:noWrap w:val="0"/>
            <w:vAlign w:val="center"/>
          </w:tcPr>
          <w:p>
            <w:pPr>
              <w:widowControl/>
              <w:jc w:val="left"/>
              <w:rPr>
                <w:rFonts w:hint="eastAsia" w:eastAsia="等线"/>
                <w:kern w:val="0"/>
                <w:sz w:val="24"/>
              </w:rPr>
            </w:pPr>
          </w:p>
        </w:tc>
        <w:tc>
          <w:tcPr>
            <w:tcW w:w="2719" w:type="dxa"/>
            <w:noWrap w:val="0"/>
            <w:vAlign w:val="center"/>
          </w:tcPr>
          <w:p>
            <w:pPr>
              <w:pStyle w:val="36"/>
              <w:spacing w:line="240" w:lineRule="auto"/>
              <w:jc w:val="left"/>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bookmarkStart w:id="253" w:name="_Hlk66455015"/>
            <w:r>
              <w:rPr>
                <w:rFonts w:hint="eastAsia"/>
                <w:szCs w:val="21"/>
              </w:rPr>
              <w:t>粗乙二醇罐</w:t>
            </w:r>
            <w:bookmarkEnd w:id="253"/>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pStyle w:val="36"/>
              <w:spacing w:line="240" w:lineRule="auto"/>
              <w:jc w:val="left"/>
              <w:rPr>
                <w:rFonts w:hint="eastAsia"/>
                <w:szCs w:val="21"/>
              </w:rPr>
            </w:pPr>
          </w:p>
        </w:tc>
        <w:tc>
          <w:tcPr>
            <w:tcW w:w="2719" w:type="dxa"/>
            <w:noWrap w:val="0"/>
            <w:vAlign w:val="center"/>
          </w:tcPr>
          <w:p>
            <w:pPr>
              <w:pStyle w:val="36"/>
              <w:spacing w:line="240" w:lineRule="auto"/>
              <w:jc w:val="left"/>
            </w:pPr>
            <w:r>
              <w:t>设备腐蚀老化、检修不当等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脱重塔</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粗乙二醇</w:t>
            </w:r>
          </w:p>
        </w:tc>
        <w:tc>
          <w:tcPr>
            <w:tcW w:w="1559" w:type="dxa"/>
            <w:noWrap w:val="0"/>
            <w:vAlign w:val="center"/>
          </w:tcPr>
          <w:p>
            <w:pPr>
              <w:pStyle w:val="36"/>
              <w:spacing w:line="240" w:lineRule="auto"/>
              <w:rPr>
                <w:szCs w:val="21"/>
              </w:rPr>
            </w:pPr>
            <w:r>
              <w:t>易燃</w:t>
            </w:r>
          </w:p>
        </w:tc>
        <w:tc>
          <w:tcPr>
            <w:tcW w:w="2410" w:type="dxa"/>
            <w:noWrap w:val="0"/>
            <w:vAlign w:val="center"/>
          </w:tcPr>
          <w:p>
            <w:pPr>
              <w:widowControl/>
              <w:jc w:val="left"/>
              <w:rPr>
                <w:rFonts w:hint="eastAsia" w:eastAsia="等线"/>
                <w:kern w:val="0"/>
                <w:sz w:val="24"/>
              </w:rPr>
            </w:pPr>
          </w:p>
        </w:tc>
        <w:tc>
          <w:tcPr>
            <w:tcW w:w="2719" w:type="dxa"/>
            <w:noWrap w:val="0"/>
            <w:vAlign w:val="center"/>
          </w:tcPr>
          <w:p>
            <w:pPr>
              <w:pStyle w:val="36"/>
              <w:spacing w:line="240" w:lineRule="auto"/>
              <w:jc w:val="left"/>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rFonts w:hint="eastAsia"/>
                <w:szCs w:val="21"/>
              </w:rPr>
              <w:t>乙二醇精制塔</w:t>
            </w:r>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乙二醇</w:t>
            </w:r>
          </w:p>
        </w:tc>
        <w:tc>
          <w:tcPr>
            <w:tcW w:w="1559" w:type="dxa"/>
            <w:noWrap w:val="0"/>
            <w:vAlign w:val="center"/>
          </w:tcPr>
          <w:p>
            <w:pPr>
              <w:pStyle w:val="36"/>
              <w:spacing w:line="240" w:lineRule="auto"/>
              <w:rPr>
                <w:szCs w:val="21"/>
              </w:rPr>
            </w:pPr>
            <w:r>
              <w:t>易燃</w:t>
            </w:r>
          </w:p>
        </w:tc>
        <w:tc>
          <w:tcPr>
            <w:tcW w:w="2410" w:type="dxa"/>
            <w:noWrap w:val="0"/>
            <w:vAlign w:val="center"/>
          </w:tcPr>
          <w:p>
            <w:pPr>
              <w:widowControl/>
              <w:jc w:val="left"/>
              <w:rPr>
                <w:rFonts w:hint="eastAsia" w:eastAsia="等线"/>
                <w:kern w:val="0"/>
                <w:sz w:val="24"/>
              </w:rPr>
            </w:pPr>
          </w:p>
        </w:tc>
        <w:tc>
          <w:tcPr>
            <w:tcW w:w="2719" w:type="dxa"/>
            <w:noWrap w:val="0"/>
            <w:vAlign w:val="center"/>
          </w:tcPr>
          <w:p>
            <w:pPr>
              <w:pStyle w:val="36"/>
              <w:spacing w:line="240" w:lineRule="auto"/>
              <w:jc w:val="left"/>
            </w:pPr>
            <w:r>
              <w:t>设备腐蚀老化、检修不当、管道腐蚀等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bookmarkStart w:id="254" w:name="_Hlk66455023"/>
            <w:r>
              <w:rPr>
                <w:rFonts w:hint="eastAsia"/>
                <w:szCs w:val="21"/>
              </w:rPr>
              <w:t>乙二醇罐</w:t>
            </w:r>
            <w:bookmarkEnd w:id="254"/>
          </w:p>
        </w:tc>
        <w:tc>
          <w:tcPr>
            <w:tcW w:w="1134" w:type="dxa"/>
            <w:noWrap w:val="0"/>
            <w:vAlign w:val="center"/>
          </w:tcPr>
          <w:p>
            <w:pPr>
              <w:pStyle w:val="36"/>
              <w:spacing w:line="240" w:lineRule="auto"/>
              <w:rPr>
                <w:szCs w:val="21"/>
              </w:rPr>
            </w:pPr>
            <w:r>
              <w:rPr>
                <w:rFonts w:hint="eastAsia"/>
                <w:szCs w:val="21"/>
              </w:rPr>
              <w:t>否</w:t>
            </w:r>
          </w:p>
        </w:tc>
        <w:tc>
          <w:tcPr>
            <w:tcW w:w="2025" w:type="dxa"/>
            <w:noWrap w:val="0"/>
            <w:vAlign w:val="center"/>
          </w:tcPr>
          <w:p>
            <w:pPr>
              <w:pStyle w:val="36"/>
              <w:spacing w:line="240" w:lineRule="auto"/>
              <w:rPr>
                <w:szCs w:val="21"/>
              </w:rPr>
            </w:pPr>
            <w:r>
              <w:rPr>
                <w:rFonts w:hint="eastAsia"/>
                <w:szCs w:val="21"/>
              </w:rPr>
              <w:t>乙二醇</w:t>
            </w:r>
          </w:p>
        </w:tc>
        <w:tc>
          <w:tcPr>
            <w:tcW w:w="1559" w:type="dxa"/>
            <w:noWrap w:val="0"/>
            <w:vAlign w:val="center"/>
          </w:tcPr>
          <w:p>
            <w:pPr>
              <w:pStyle w:val="36"/>
              <w:spacing w:line="240" w:lineRule="auto"/>
              <w:rPr>
                <w:szCs w:val="21"/>
              </w:rPr>
            </w:pPr>
            <w:r>
              <w:t>易燃</w:t>
            </w:r>
          </w:p>
        </w:tc>
        <w:tc>
          <w:tcPr>
            <w:tcW w:w="2410" w:type="dxa"/>
            <w:noWrap w:val="0"/>
            <w:vAlign w:val="center"/>
          </w:tcPr>
          <w:p>
            <w:pPr>
              <w:pStyle w:val="36"/>
              <w:spacing w:line="240" w:lineRule="auto"/>
              <w:jc w:val="left"/>
              <w:rPr>
                <w:szCs w:val="21"/>
              </w:rPr>
            </w:pPr>
          </w:p>
        </w:tc>
        <w:tc>
          <w:tcPr>
            <w:tcW w:w="2719" w:type="dxa"/>
            <w:noWrap w:val="0"/>
            <w:vAlign w:val="center"/>
          </w:tcPr>
          <w:p>
            <w:pPr>
              <w:pStyle w:val="36"/>
              <w:spacing w:line="240" w:lineRule="auto"/>
              <w:jc w:val="left"/>
            </w:pPr>
            <w:r>
              <w:t>设备腐蚀老化、检修不当等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noWrap w:val="0"/>
            <w:vAlign w:val="center"/>
          </w:tcPr>
          <w:p>
            <w:pPr>
              <w:pStyle w:val="36"/>
              <w:spacing w:line="240" w:lineRule="auto"/>
              <w:rPr>
                <w:szCs w:val="21"/>
              </w:rPr>
            </w:pPr>
            <w:r>
              <w:t>3</w:t>
            </w:r>
          </w:p>
        </w:tc>
        <w:tc>
          <w:tcPr>
            <w:tcW w:w="1399" w:type="dxa"/>
            <w:noWrap w:val="0"/>
            <w:vAlign w:val="center"/>
          </w:tcPr>
          <w:p>
            <w:pPr>
              <w:pStyle w:val="36"/>
              <w:spacing w:line="240" w:lineRule="auto"/>
              <w:rPr>
                <w:szCs w:val="21"/>
              </w:rPr>
            </w:pPr>
            <w:r>
              <w:t>事故火炬</w:t>
            </w:r>
          </w:p>
        </w:tc>
        <w:tc>
          <w:tcPr>
            <w:tcW w:w="2126" w:type="dxa"/>
            <w:noWrap w:val="0"/>
            <w:vAlign w:val="center"/>
          </w:tcPr>
          <w:p>
            <w:pPr>
              <w:pStyle w:val="36"/>
              <w:spacing w:line="240" w:lineRule="auto"/>
              <w:rPr>
                <w:szCs w:val="21"/>
              </w:rPr>
            </w:pPr>
          </w:p>
        </w:tc>
        <w:tc>
          <w:tcPr>
            <w:tcW w:w="1134" w:type="dxa"/>
            <w:noWrap w:val="0"/>
            <w:vAlign w:val="center"/>
          </w:tcPr>
          <w:p>
            <w:pPr>
              <w:pStyle w:val="36"/>
              <w:spacing w:line="240" w:lineRule="auto"/>
              <w:rPr>
                <w:rFonts w:hint="eastAsia"/>
                <w:szCs w:val="21"/>
              </w:rPr>
            </w:pPr>
            <w:r>
              <w:t>/</w:t>
            </w:r>
          </w:p>
        </w:tc>
        <w:tc>
          <w:tcPr>
            <w:tcW w:w="2025" w:type="dxa"/>
            <w:noWrap w:val="0"/>
            <w:vAlign w:val="center"/>
          </w:tcPr>
          <w:p>
            <w:pPr>
              <w:pStyle w:val="36"/>
              <w:spacing w:line="240" w:lineRule="auto"/>
              <w:rPr>
                <w:szCs w:val="21"/>
              </w:rPr>
            </w:pPr>
            <w:r>
              <w:t>/</w:t>
            </w:r>
          </w:p>
        </w:tc>
        <w:tc>
          <w:tcPr>
            <w:tcW w:w="1559" w:type="dxa"/>
            <w:noWrap w:val="0"/>
            <w:vAlign w:val="center"/>
          </w:tcPr>
          <w:p>
            <w:pPr>
              <w:pStyle w:val="36"/>
              <w:spacing w:line="240" w:lineRule="auto"/>
            </w:pPr>
            <w:r>
              <w:t>/</w:t>
            </w:r>
          </w:p>
        </w:tc>
        <w:tc>
          <w:tcPr>
            <w:tcW w:w="2410" w:type="dxa"/>
            <w:noWrap w:val="0"/>
            <w:vAlign w:val="center"/>
          </w:tcPr>
          <w:p>
            <w:pPr>
              <w:pStyle w:val="36"/>
              <w:spacing w:line="240" w:lineRule="auto"/>
            </w:pPr>
          </w:p>
        </w:tc>
        <w:tc>
          <w:tcPr>
            <w:tcW w:w="2719" w:type="dxa"/>
            <w:noWrap w:val="0"/>
            <w:vAlign w:val="center"/>
          </w:tcPr>
          <w:p>
            <w:pPr>
              <w:pStyle w:val="36"/>
              <w:spacing w:line="240" w:lineRule="auto"/>
            </w:pPr>
            <w:r>
              <w:t>管线堵塞、火炬喷头设计不当</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13946" w:type="dxa"/>
            <w:gridSpan w:val="8"/>
            <w:noWrap w:val="0"/>
            <w:vAlign w:val="center"/>
          </w:tcPr>
          <w:p>
            <w:pPr>
              <w:pStyle w:val="36"/>
              <w:spacing w:line="240" w:lineRule="auto"/>
              <w:jc w:val="left"/>
            </w:pPr>
            <w:r>
              <w:rPr>
                <w:rFonts w:hint="eastAsia"/>
              </w:rPr>
              <w:t>注：</w:t>
            </w:r>
            <w:r>
              <w:t>转化为事故的触发因素还</w:t>
            </w:r>
            <w:r>
              <w:rPr>
                <w:rFonts w:hint="eastAsia"/>
              </w:rPr>
              <w:t>包括</w:t>
            </w:r>
            <w:r>
              <w:t>操作失误、违反维修规程、检修不及时等人为因素</w:t>
            </w:r>
          </w:p>
        </w:tc>
      </w:tr>
    </w:tbl>
    <w:p>
      <w:pPr>
        <w:pStyle w:val="8"/>
        <w:rPr>
          <w:color w:val="auto"/>
        </w:rPr>
        <w:sectPr>
          <w:footerReference r:id="rId16" w:type="default"/>
          <w:pgSz w:w="16838" w:h="11906" w:orient="landscape"/>
          <w:pgMar w:top="1474" w:right="1474" w:bottom="1474" w:left="1474" w:header="851" w:footer="992" w:gutter="0"/>
          <w:pgNumType w:chapStyle="1"/>
          <w:cols w:space="720" w:num="1"/>
          <w:docGrid w:linePitch="312" w:charSpace="0"/>
        </w:sectPr>
      </w:pPr>
    </w:p>
    <w:p>
      <w:pPr>
        <w:pStyle w:val="31"/>
      </w:pPr>
      <w:r>
        <w:t>7</w:t>
      </w:r>
      <w:r>
        <w:rPr>
          <w:rFonts w:hint="eastAsia"/>
        </w:rPr>
        <w:t>.7.3  典型</w:t>
      </w:r>
      <w:r>
        <w:t>事故案例</w:t>
      </w:r>
      <w:r>
        <w:rPr>
          <w:rFonts w:hint="eastAsia"/>
        </w:rPr>
        <w:t>分析</w:t>
      </w:r>
    </w:p>
    <w:p>
      <w:pPr>
        <w:pStyle w:val="8"/>
        <w:spacing w:line="520" w:lineRule="exact"/>
        <w:ind w:firstLine="560"/>
        <w:rPr>
          <w:color w:val="auto"/>
          <w:sz w:val="28"/>
          <w:szCs w:val="28"/>
        </w:rPr>
      </w:pPr>
      <w:r>
        <w:rPr>
          <w:rFonts w:hint="eastAsia"/>
          <w:color w:val="auto"/>
          <w:sz w:val="28"/>
          <w:szCs w:val="28"/>
        </w:rPr>
        <w:t>据了解，</w:t>
      </w:r>
      <w:r>
        <w:rPr>
          <w:color w:val="auto"/>
          <w:sz w:val="28"/>
          <w:szCs w:val="28"/>
        </w:rPr>
        <w:t>目前，我国乙二醇的工业生产方法主要有环氧乙烷直接水合法和煤化工法</w:t>
      </w:r>
      <w:r>
        <w:rPr>
          <w:rFonts w:hint="eastAsia"/>
          <w:color w:val="auto"/>
          <w:sz w:val="28"/>
          <w:szCs w:val="28"/>
        </w:rPr>
        <w:t>，本项目采用秸秆糖水溶液和氢气合成生产乙二醇，且为中试装置，该工艺还在实践探索中。本项目类型属于有机化工，故本次事故原因参考其他化工企业相关的事故原因统计结果。</w:t>
      </w:r>
    </w:p>
    <w:p>
      <w:pPr>
        <w:pStyle w:val="8"/>
        <w:spacing w:line="520" w:lineRule="exact"/>
        <w:ind w:firstLine="560"/>
        <w:rPr>
          <w:color w:val="auto"/>
          <w:sz w:val="28"/>
          <w:szCs w:val="28"/>
        </w:rPr>
      </w:pPr>
      <w:r>
        <w:rPr>
          <w:rFonts w:hint="eastAsia"/>
          <w:color w:val="auto"/>
          <w:sz w:val="28"/>
          <w:szCs w:val="28"/>
        </w:rPr>
        <w:t>经调查，本项目涉及到H</w:t>
      </w:r>
      <w:r>
        <w:rPr>
          <w:rFonts w:hint="eastAsia"/>
          <w:color w:val="auto"/>
          <w:sz w:val="28"/>
          <w:szCs w:val="28"/>
          <w:vertAlign w:val="subscript"/>
        </w:rPr>
        <w:t>2</w:t>
      </w:r>
      <w:r>
        <w:rPr>
          <w:rFonts w:hint="eastAsia"/>
          <w:color w:val="auto"/>
          <w:sz w:val="28"/>
          <w:szCs w:val="28"/>
        </w:rPr>
        <w:t>、乙二醇、丙二醇等危险化学品，在生产及储运过程中存在火灾、爆炸、腐蚀、触电等风险。从化工行业的事故类型发生频次可知，化学爆炸、中毒窒息、触电这几类事故造成的人员伤亡最多，属多发事故。从环境风险性考虑重点应控制设备泄漏和非正常排放这两类事故类型。</w:t>
      </w:r>
    </w:p>
    <w:p>
      <w:pPr>
        <w:pStyle w:val="8"/>
        <w:spacing w:line="520" w:lineRule="exact"/>
        <w:ind w:firstLine="560"/>
        <w:rPr>
          <w:rFonts w:hint="eastAsia"/>
          <w:color w:val="auto"/>
          <w:sz w:val="28"/>
          <w:szCs w:val="28"/>
        </w:rPr>
      </w:pPr>
      <w:r>
        <w:rPr>
          <w:rFonts w:hint="eastAsia"/>
          <w:color w:val="auto"/>
          <w:sz w:val="28"/>
          <w:szCs w:val="28"/>
        </w:rPr>
        <w:t>（1）设备泄漏</w:t>
      </w:r>
    </w:p>
    <w:p>
      <w:pPr>
        <w:pStyle w:val="8"/>
        <w:ind w:firstLine="560"/>
        <w:rPr>
          <w:color w:val="auto"/>
          <w:sz w:val="28"/>
          <w:szCs w:val="28"/>
        </w:rPr>
      </w:pPr>
      <w:r>
        <w:rPr>
          <w:rFonts w:hint="eastAsia"/>
          <w:color w:val="auto"/>
          <w:sz w:val="28"/>
          <w:szCs w:val="28"/>
        </w:rPr>
        <w:t>设备泄漏造成有毒气体外泄，有的与超压有关，属工艺控制问题；有的是设备腐蚀穿孔或密封处有问题造成的，这主要是设备设计制造管理等存在的问题；还有一些气体外泄与外界环境变化有关，例如突然断电会引起负压系统的气体外泄。</w:t>
      </w:r>
    </w:p>
    <w:p>
      <w:pPr>
        <w:pStyle w:val="8"/>
        <w:ind w:firstLine="560"/>
        <w:rPr>
          <w:rFonts w:hint="eastAsia"/>
          <w:color w:val="auto"/>
          <w:sz w:val="28"/>
          <w:szCs w:val="28"/>
        </w:rPr>
      </w:pPr>
      <w:r>
        <w:rPr>
          <w:rFonts w:hint="eastAsia"/>
          <w:color w:val="auto"/>
          <w:sz w:val="28"/>
          <w:szCs w:val="28"/>
        </w:rPr>
        <w:t>（2）非正常排放</w:t>
      </w:r>
    </w:p>
    <w:p>
      <w:pPr>
        <w:spacing w:line="520" w:lineRule="exact"/>
        <w:ind w:firstLine="560" w:firstLineChars="200"/>
        <w:rPr>
          <w:sz w:val="28"/>
          <w:szCs w:val="28"/>
        </w:rPr>
      </w:pPr>
      <w:r>
        <w:rPr>
          <w:rFonts w:hint="eastAsia" w:ascii="宋体" w:hAnsi="宋体"/>
          <w:sz w:val="28"/>
          <w:szCs w:val="28"/>
        </w:rPr>
        <w:t>①</w:t>
      </w:r>
      <w:r>
        <w:rPr>
          <w:sz w:val="28"/>
          <w:szCs w:val="28"/>
        </w:rPr>
        <w:t>设备检修</w:t>
      </w:r>
    </w:p>
    <w:p>
      <w:pPr>
        <w:spacing w:line="520" w:lineRule="exact"/>
        <w:ind w:firstLine="560" w:firstLineChars="200"/>
        <w:rPr>
          <w:sz w:val="28"/>
          <w:szCs w:val="28"/>
        </w:rPr>
      </w:pPr>
      <w:r>
        <w:rPr>
          <w:sz w:val="28"/>
          <w:szCs w:val="28"/>
        </w:rPr>
        <w:t>设备检修期间，需要打开设备进行维修、清洗等，此时设备内残余的物料若处置不当，也将泄漏至外环境，进而造成中毒事故和污染事故排放。</w:t>
      </w:r>
    </w:p>
    <w:p>
      <w:pPr>
        <w:spacing w:line="520" w:lineRule="exact"/>
        <w:ind w:firstLine="560" w:firstLineChars="200"/>
        <w:rPr>
          <w:sz w:val="28"/>
          <w:szCs w:val="28"/>
        </w:rPr>
      </w:pPr>
      <w:r>
        <w:rPr>
          <w:rFonts w:hint="eastAsia" w:ascii="宋体" w:hAnsi="宋体"/>
          <w:sz w:val="28"/>
          <w:szCs w:val="28"/>
        </w:rPr>
        <w:t>②</w:t>
      </w:r>
      <w:r>
        <w:rPr>
          <w:sz w:val="28"/>
          <w:szCs w:val="28"/>
        </w:rPr>
        <w:t>环保设施故障</w:t>
      </w:r>
    </w:p>
    <w:p>
      <w:pPr>
        <w:spacing w:line="520" w:lineRule="exact"/>
        <w:ind w:firstLine="560" w:firstLineChars="200"/>
        <w:rPr>
          <w:sz w:val="28"/>
          <w:szCs w:val="28"/>
        </w:rPr>
      </w:pPr>
      <w:r>
        <w:rPr>
          <w:sz w:val="28"/>
          <w:szCs w:val="28"/>
        </w:rPr>
        <w:t>各种环保设施出现故障，致使污染物未经处理或处理效率较低，造成事故性排放。</w:t>
      </w:r>
    </w:p>
    <w:p>
      <w:pPr>
        <w:pStyle w:val="8"/>
        <w:spacing w:line="520" w:lineRule="exact"/>
        <w:ind w:firstLine="560"/>
        <w:rPr>
          <w:color w:val="auto"/>
          <w:sz w:val="28"/>
          <w:szCs w:val="28"/>
        </w:rPr>
      </w:pPr>
      <w:r>
        <w:rPr>
          <w:color w:val="auto"/>
          <w:sz w:val="28"/>
          <w:szCs w:val="28"/>
        </w:rPr>
        <w:t>根据资料查询，与</w:t>
      </w:r>
      <w:r>
        <w:rPr>
          <w:rFonts w:hint="eastAsia"/>
          <w:color w:val="auto"/>
          <w:sz w:val="28"/>
          <w:szCs w:val="28"/>
        </w:rPr>
        <w:t>涉及本项目物质的</w:t>
      </w:r>
      <w:r>
        <w:rPr>
          <w:color w:val="auto"/>
          <w:sz w:val="28"/>
          <w:szCs w:val="28"/>
        </w:rPr>
        <w:t>事故典型案例列见</w:t>
      </w:r>
      <w:r>
        <w:rPr>
          <w:rFonts w:hint="eastAsia"/>
          <w:color w:val="auto"/>
          <w:sz w:val="28"/>
          <w:szCs w:val="28"/>
        </w:rPr>
        <w:t>表</w:t>
      </w:r>
      <w:r>
        <w:rPr>
          <w:color w:val="auto"/>
          <w:sz w:val="28"/>
          <w:szCs w:val="28"/>
        </w:rPr>
        <w:t>7.7</w:t>
      </w:r>
      <w:r>
        <w:rPr>
          <w:rFonts w:hint="eastAsia"/>
          <w:color w:val="auto"/>
          <w:sz w:val="28"/>
          <w:szCs w:val="28"/>
        </w:rPr>
        <w:t>-</w:t>
      </w:r>
      <w:r>
        <w:rPr>
          <w:color w:val="auto"/>
          <w:sz w:val="28"/>
          <w:szCs w:val="28"/>
        </w:rPr>
        <w:t>4。</w:t>
      </w:r>
    </w:p>
    <w:p>
      <w:pPr>
        <w:pStyle w:val="32"/>
        <w:tabs>
          <w:tab w:val="clear" w:pos="900"/>
        </w:tabs>
        <w:ind w:firstLine="679" w:firstLineChars="282"/>
      </w:pPr>
      <w:r>
        <w:rPr>
          <w:rFonts w:hint="eastAsia"/>
        </w:rPr>
        <w:t>表</w:t>
      </w:r>
      <w:r>
        <w:t>7.7</w:t>
      </w:r>
      <w:r>
        <w:rPr>
          <w:rFonts w:hint="eastAsia"/>
        </w:rPr>
        <w:t>-</w:t>
      </w:r>
      <w:r>
        <w:t>4                  相关典型事故案例</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802"/>
        <w:gridCol w:w="2090"/>
        <w:gridCol w:w="1253"/>
        <w:gridCol w:w="2787"/>
        <w:gridCol w:w="208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802" w:type="dxa"/>
            <w:noWrap w:val="0"/>
            <w:vAlign w:val="center"/>
          </w:tcPr>
          <w:p>
            <w:pPr>
              <w:pStyle w:val="36"/>
              <w:rPr>
                <w:b/>
                <w:bCs/>
                <w:szCs w:val="21"/>
              </w:rPr>
            </w:pPr>
            <w:r>
              <w:rPr>
                <w:b/>
                <w:bCs/>
                <w:szCs w:val="21"/>
              </w:rPr>
              <w:t>危险</w:t>
            </w:r>
          </w:p>
          <w:p>
            <w:pPr>
              <w:pStyle w:val="36"/>
              <w:rPr>
                <w:b/>
                <w:bCs/>
                <w:szCs w:val="21"/>
              </w:rPr>
            </w:pPr>
            <w:r>
              <w:rPr>
                <w:b/>
                <w:bCs/>
                <w:szCs w:val="21"/>
              </w:rPr>
              <w:t>物质</w:t>
            </w:r>
          </w:p>
        </w:tc>
        <w:tc>
          <w:tcPr>
            <w:tcW w:w="2090" w:type="dxa"/>
            <w:noWrap w:val="0"/>
            <w:vAlign w:val="center"/>
          </w:tcPr>
          <w:p>
            <w:pPr>
              <w:pStyle w:val="36"/>
              <w:rPr>
                <w:b/>
                <w:bCs/>
                <w:szCs w:val="21"/>
              </w:rPr>
            </w:pPr>
            <w:r>
              <w:rPr>
                <w:b/>
                <w:bCs/>
                <w:szCs w:val="21"/>
              </w:rPr>
              <w:t>事故发生地</w:t>
            </w:r>
          </w:p>
        </w:tc>
        <w:tc>
          <w:tcPr>
            <w:tcW w:w="1253" w:type="dxa"/>
            <w:noWrap w:val="0"/>
            <w:vAlign w:val="center"/>
          </w:tcPr>
          <w:p>
            <w:pPr>
              <w:pStyle w:val="36"/>
              <w:rPr>
                <w:b/>
                <w:bCs/>
                <w:szCs w:val="21"/>
              </w:rPr>
            </w:pPr>
            <w:r>
              <w:rPr>
                <w:b/>
                <w:bCs/>
                <w:szCs w:val="21"/>
              </w:rPr>
              <w:t>时间</w:t>
            </w:r>
          </w:p>
        </w:tc>
        <w:tc>
          <w:tcPr>
            <w:tcW w:w="2787" w:type="dxa"/>
            <w:noWrap w:val="0"/>
            <w:vAlign w:val="center"/>
          </w:tcPr>
          <w:p>
            <w:pPr>
              <w:pStyle w:val="36"/>
              <w:rPr>
                <w:b/>
                <w:bCs/>
                <w:szCs w:val="21"/>
              </w:rPr>
            </w:pPr>
            <w:r>
              <w:rPr>
                <w:b/>
                <w:bCs/>
                <w:szCs w:val="21"/>
              </w:rPr>
              <w:t>事故原因</w:t>
            </w:r>
          </w:p>
        </w:tc>
        <w:tc>
          <w:tcPr>
            <w:tcW w:w="2082" w:type="dxa"/>
            <w:noWrap w:val="0"/>
            <w:vAlign w:val="center"/>
          </w:tcPr>
          <w:p>
            <w:pPr>
              <w:pStyle w:val="36"/>
              <w:rPr>
                <w:b/>
                <w:bCs/>
                <w:szCs w:val="21"/>
              </w:rPr>
            </w:pPr>
            <w:r>
              <w:rPr>
                <w:b/>
                <w:bCs/>
                <w:szCs w:val="21"/>
              </w:rPr>
              <w:t>事故后果</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802" w:type="dxa"/>
            <w:noWrap w:val="0"/>
            <w:vAlign w:val="center"/>
          </w:tcPr>
          <w:p>
            <w:pPr>
              <w:pStyle w:val="36"/>
              <w:spacing w:line="240" w:lineRule="auto"/>
              <w:rPr>
                <w:szCs w:val="21"/>
              </w:rPr>
            </w:pPr>
            <w:r>
              <w:rPr>
                <w:szCs w:val="21"/>
              </w:rPr>
              <w:t>H</w:t>
            </w:r>
            <w:r>
              <w:rPr>
                <w:szCs w:val="21"/>
                <w:vertAlign w:val="subscript"/>
              </w:rPr>
              <w:t>2</w:t>
            </w:r>
          </w:p>
        </w:tc>
        <w:tc>
          <w:tcPr>
            <w:tcW w:w="2090" w:type="dxa"/>
            <w:noWrap w:val="0"/>
            <w:vAlign w:val="center"/>
          </w:tcPr>
          <w:p>
            <w:pPr>
              <w:pStyle w:val="36"/>
              <w:spacing w:line="240" w:lineRule="auto"/>
              <w:rPr>
                <w:szCs w:val="21"/>
              </w:rPr>
            </w:pPr>
            <w:r>
              <w:rPr>
                <w:szCs w:val="21"/>
              </w:rPr>
              <w:t>江苏盐城某化肥厂</w:t>
            </w:r>
          </w:p>
        </w:tc>
        <w:tc>
          <w:tcPr>
            <w:tcW w:w="1253" w:type="dxa"/>
            <w:noWrap w:val="0"/>
            <w:vAlign w:val="center"/>
          </w:tcPr>
          <w:p>
            <w:pPr>
              <w:pStyle w:val="36"/>
              <w:spacing w:line="240" w:lineRule="auto"/>
              <w:rPr>
                <w:szCs w:val="21"/>
              </w:rPr>
            </w:pPr>
            <w:r>
              <w:rPr>
                <w:szCs w:val="21"/>
              </w:rPr>
              <w:t>2001-2-27</w:t>
            </w:r>
          </w:p>
        </w:tc>
        <w:tc>
          <w:tcPr>
            <w:tcW w:w="2787" w:type="dxa"/>
            <w:noWrap w:val="0"/>
            <w:vAlign w:val="center"/>
          </w:tcPr>
          <w:p>
            <w:pPr>
              <w:pStyle w:val="36"/>
              <w:spacing w:line="240" w:lineRule="auto"/>
              <w:rPr>
                <w:szCs w:val="21"/>
              </w:rPr>
            </w:pPr>
            <w:r>
              <w:rPr>
                <w:szCs w:val="21"/>
              </w:rPr>
              <w:t>合成车间管道破裂造成氢气大量泄漏</w:t>
            </w:r>
          </w:p>
        </w:tc>
        <w:tc>
          <w:tcPr>
            <w:tcW w:w="2082" w:type="dxa"/>
            <w:noWrap w:val="0"/>
            <w:vAlign w:val="center"/>
          </w:tcPr>
          <w:p>
            <w:pPr>
              <w:pStyle w:val="36"/>
              <w:spacing w:line="240" w:lineRule="auto"/>
              <w:rPr>
                <w:szCs w:val="21"/>
              </w:rPr>
            </w:pPr>
            <w:r>
              <w:rPr>
                <w:szCs w:val="21"/>
              </w:rPr>
              <w:t>合成车间发生爆炸，死亡5人，26人受伤</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802" w:type="dxa"/>
            <w:noWrap w:val="0"/>
            <w:vAlign w:val="center"/>
          </w:tcPr>
          <w:p>
            <w:pPr>
              <w:pStyle w:val="36"/>
              <w:spacing w:line="240" w:lineRule="auto"/>
              <w:rPr>
                <w:szCs w:val="21"/>
              </w:rPr>
            </w:pPr>
            <w:r>
              <w:rPr>
                <w:szCs w:val="21"/>
              </w:rPr>
              <w:t>乙二醇</w:t>
            </w:r>
          </w:p>
        </w:tc>
        <w:tc>
          <w:tcPr>
            <w:tcW w:w="2090" w:type="dxa"/>
            <w:noWrap w:val="0"/>
            <w:vAlign w:val="center"/>
          </w:tcPr>
          <w:p>
            <w:pPr>
              <w:pStyle w:val="36"/>
              <w:spacing w:line="240" w:lineRule="auto"/>
              <w:rPr>
                <w:szCs w:val="21"/>
              </w:rPr>
            </w:pPr>
            <w:r>
              <w:rPr>
                <w:szCs w:val="21"/>
                <w:shd w:val="clear" w:color="auto" w:fill="FFFFFF"/>
              </w:rPr>
              <w:t>甬台温高速</w:t>
            </w:r>
          </w:p>
        </w:tc>
        <w:tc>
          <w:tcPr>
            <w:tcW w:w="1253" w:type="dxa"/>
            <w:noWrap w:val="0"/>
            <w:vAlign w:val="center"/>
          </w:tcPr>
          <w:p>
            <w:pPr>
              <w:pStyle w:val="36"/>
              <w:spacing w:line="240" w:lineRule="auto"/>
              <w:rPr>
                <w:szCs w:val="21"/>
              </w:rPr>
            </w:pPr>
            <w:r>
              <w:rPr>
                <w:szCs w:val="21"/>
              </w:rPr>
              <w:t>2020-9-20</w:t>
            </w:r>
          </w:p>
        </w:tc>
        <w:tc>
          <w:tcPr>
            <w:tcW w:w="2787" w:type="dxa"/>
            <w:noWrap w:val="0"/>
            <w:vAlign w:val="center"/>
          </w:tcPr>
          <w:p>
            <w:pPr>
              <w:pStyle w:val="36"/>
              <w:spacing w:line="240" w:lineRule="auto"/>
              <w:rPr>
                <w:szCs w:val="21"/>
              </w:rPr>
            </w:pPr>
            <w:r>
              <w:rPr>
                <w:szCs w:val="21"/>
                <w:shd w:val="clear" w:color="auto" w:fill="FFFFFF"/>
              </w:rPr>
              <w:t>乙二醇的槽罐车被追尾，乙二醇罐车泄漏</w:t>
            </w:r>
          </w:p>
        </w:tc>
        <w:tc>
          <w:tcPr>
            <w:tcW w:w="2082" w:type="dxa"/>
            <w:noWrap w:val="0"/>
            <w:vAlign w:val="center"/>
          </w:tcPr>
          <w:p>
            <w:pPr>
              <w:pStyle w:val="36"/>
              <w:spacing w:line="240" w:lineRule="auto"/>
              <w:rPr>
                <w:szCs w:val="21"/>
              </w:rPr>
            </w:pPr>
            <w:r>
              <w:rPr>
                <w:szCs w:val="21"/>
              </w:rPr>
              <w:t>/</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802" w:type="dxa"/>
            <w:noWrap w:val="0"/>
            <w:vAlign w:val="center"/>
          </w:tcPr>
          <w:p>
            <w:pPr>
              <w:pStyle w:val="36"/>
              <w:spacing w:line="240" w:lineRule="auto"/>
              <w:rPr>
                <w:szCs w:val="21"/>
              </w:rPr>
            </w:pPr>
            <w:r>
              <w:rPr>
                <w:szCs w:val="21"/>
              </w:rPr>
              <w:t>丙二醇</w:t>
            </w:r>
          </w:p>
        </w:tc>
        <w:tc>
          <w:tcPr>
            <w:tcW w:w="2090" w:type="dxa"/>
            <w:noWrap w:val="0"/>
            <w:vAlign w:val="center"/>
          </w:tcPr>
          <w:p>
            <w:pPr>
              <w:pStyle w:val="36"/>
              <w:spacing w:line="240" w:lineRule="auto"/>
              <w:rPr>
                <w:szCs w:val="21"/>
              </w:rPr>
            </w:pPr>
            <w:r>
              <w:rPr>
                <w:szCs w:val="21"/>
              </w:rPr>
              <w:t>南京市新港开发区</w:t>
            </w:r>
          </w:p>
        </w:tc>
        <w:tc>
          <w:tcPr>
            <w:tcW w:w="1253" w:type="dxa"/>
            <w:noWrap w:val="0"/>
            <w:vAlign w:val="center"/>
          </w:tcPr>
          <w:p>
            <w:pPr>
              <w:pStyle w:val="36"/>
              <w:spacing w:line="240" w:lineRule="auto"/>
              <w:rPr>
                <w:szCs w:val="21"/>
              </w:rPr>
            </w:pPr>
            <w:r>
              <w:rPr>
                <w:szCs w:val="21"/>
              </w:rPr>
              <w:t>2009-1-12</w:t>
            </w:r>
          </w:p>
        </w:tc>
        <w:tc>
          <w:tcPr>
            <w:tcW w:w="2787" w:type="dxa"/>
            <w:noWrap w:val="0"/>
            <w:vAlign w:val="center"/>
          </w:tcPr>
          <w:p>
            <w:pPr>
              <w:pStyle w:val="36"/>
              <w:spacing w:line="240" w:lineRule="auto"/>
              <w:rPr>
                <w:szCs w:val="21"/>
              </w:rPr>
            </w:pPr>
            <w:r>
              <w:rPr>
                <w:szCs w:val="21"/>
              </w:rPr>
              <w:t>丙二醇槽罐车侧翻</w:t>
            </w:r>
          </w:p>
        </w:tc>
        <w:tc>
          <w:tcPr>
            <w:tcW w:w="2082" w:type="dxa"/>
            <w:noWrap w:val="0"/>
            <w:vAlign w:val="center"/>
          </w:tcPr>
          <w:p>
            <w:pPr>
              <w:pStyle w:val="36"/>
              <w:spacing w:line="240" w:lineRule="auto"/>
              <w:rPr>
                <w:szCs w:val="21"/>
              </w:rPr>
            </w:pPr>
            <w:r>
              <w:rPr>
                <w:szCs w:val="21"/>
              </w:rPr>
              <w:t>/</w:t>
            </w:r>
          </w:p>
        </w:tc>
      </w:tr>
    </w:tbl>
    <w:p>
      <w:pPr>
        <w:pStyle w:val="8"/>
        <w:spacing w:line="520" w:lineRule="exact"/>
        <w:ind w:firstLine="560"/>
        <w:rPr>
          <w:color w:val="auto"/>
          <w:sz w:val="28"/>
          <w:szCs w:val="28"/>
        </w:rPr>
      </w:pPr>
      <w:r>
        <w:rPr>
          <w:color w:val="auto"/>
          <w:sz w:val="28"/>
          <w:szCs w:val="28"/>
        </w:rPr>
        <w:t>结合表7.7-4和其他调查资料，化工类项目引发事故因素主要为设备故障（缺陷）、</w:t>
      </w:r>
      <w:r>
        <w:rPr>
          <w:rFonts w:hint="eastAsia"/>
          <w:color w:val="auto"/>
          <w:sz w:val="28"/>
          <w:szCs w:val="28"/>
        </w:rPr>
        <w:t>储罐</w:t>
      </w:r>
      <w:r>
        <w:rPr>
          <w:color w:val="auto"/>
          <w:sz w:val="28"/>
          <w:szCs w:val="28"/>
        </w:rPr>
        <w:t>泄漏、阀门法兰泄漏、违规操作等，</w:t>
      </w:r>
      <w:r>
        <w:rPr>
          <w:rFonts w:hint="eastAsia"/>
          <w:color w:val="auto"/>
          <w:sz w:val="28"/>
          <w:szCs w:val="28"/>
        </w:rPr>
        <w:t>项目乙二醇合成</w:t>
      </w:r>
      <w:r>
        <w:rPr>
          <w:color w:val="auto"/>
          <w:sz w:val="28"/>
          <w:szCs w:val="28"/>
        </w:rPr>
        <w:t>高温高压下操作，一旦泄漏扩散，易发生事故。</w:t>
      </w:r>
    </w:p>
    <w:p>
      <w:pPr>
        <w:pStyle w:val="8"/>
        <w:spacing w:line="520" w:lineRule="exact"/>
        <w:ind w:firstLine="560"/>
        <w:rPr>
          <w:color w:val="auto"/>
          <w:sz w:val="28"/>
          <w:szCs w:val="28"/>
        </w:rPr>
      </w:pPr>
      <w:r>
        <w:rPr>
          <w:color w:val="auto"/>
          <w:sz w:val="28"/>
          <w:szCs w:val="28"/>
        </w:rPr>
        <w:t>从引发事故发生的因素来看，项目应从设计源头抓起，从建设的施工质量是否埋下了隐患、工艺是否成熟、工艺操作条件和操作规程制定的是否合理、设备选型和制造有无缺陷、自保联锁和安全设施是否齐全好用，以及操作人的责任心和操作技能能否胜任等方面综合分析，制定或完善整改措施，预防事故发生。</w:t>
      </w:r>
    </w:p>
    <w:p>
      <w:pPr>
        <w:pStyle w:val="31"/>
      </w:pPr>
      <w:r>
        <w:t>7</w:t>
      </w:r>
      <w:r>
        <w:rPr>
          <w:rFonts w:hint="eastAsia"/>
        </w:rPr>
        <w:t xml:space="preserve">.7.4  </w:t>
      </w:r>
      <w:r>
        <w:t>环境风险类型及危害性分析</w:t>
      </w:r>
    </w:p>
    <w:p>
      <w:pPr>
        <w:pStyle w:val="29"/>
        <w:outlineLvl w:val="3"/>
      </w:pPr>
      <w:r>
        <w:t>7</w:t>
      </w:r>
      <w:r>
        <w:rPr>
          <w:rFonts w:hint="eastAsia"/>
        </w:rPr>
        <w:t xml:space="preserve">.7.4.1  </w:t>
      </w:r>
      <w:r>
        <w:t>环境风险类型</w:t>
      </w:r>
    </w:p>
    <w:p>
      <w:pPr>
        <w:pStyle w:val="8"/>
        <w:spacing w:line="520" w:lineRule="exact"/>
        <w:ind w:firstLine="560"/>
        <w:rPr>
          <w:color w:val="auto"/>
          <w:sz w:val="28"/>
          <w:szCs w:val="28"/>
        </w:rPr>
      </w:pPr>
      <w:r>
        <w:rPr>
          <w:color w:val="auto"/>
          <w:sz w:val="28"/>
          <w:szCs w:val="28"/>
        </w:rPr>
        <w:t>根据HJ169-2018，环境风险类型包括危险物质的泄漏和火灾、爆炸等引发的伴生/次生污染物排放。本项目涉及的危险物质</w:t>
      </w:r>
      <w:r>
        <w:rPr>
          <w:rFonts w:hint="eastAsia"/>
          <w:color w:val="auto"/>
          <w:sz w:val="28"/>
          <w:szCs w:val="28"/>
        </w:rPr>
        <w:t>主要具有可燃特性</w:t>
      </w:r>
      <w:r>
        <w:rPr>
          <w:color w:val="auto"/>
          <w:sz w:val="28"/>
          <w:szCs w:val="28"/>
        </w:rPr>
        <w:t>，结合各风险源触发事故因素分析，确定项目生产过程中可能发生的环境风险类型为</w:t>
      </w:r>
      <w:r>
        <w:rPr>
          <w:rFonts w:hint="eastAsia"/>
          <w:color w:val="auto"/>
          <w:sz w:val="28"/>
          <w:szCs w:val="28"/>
        </w:rPr>
        <w:t>泄漏、</w:t>
      </w:r>
      <w:r>
        <w:rPr>
          <w:color w:val="auto"/>
          <w:sz w:val="28"/>
          <w:szCs w:val="28"/>
        </w:rPr>
        <w:t>伴生/次生污染物排放。</w:t>
      </w:r>
    </w:p>
    <w:p>
      <w:pPr>
        <w:pStyle w:val="8"/>
        <w:spacing w:line="520" w:lineRule="exact"/>
        <w:ind w:firstLine="560"/>
        <w:rPr>
          <w:color w:val="auto"/>
          <w:sz w:val="28"/>
          <w:szCs w:val="28"/>
        </w:rPr>
      </w:pPr>
      <w:r>
        <w:rPr>
          <w:color w:val="auto"/>
          <w:sz w:val="28"/>
          <w:szCs w:val="28"/>
        </w:rPr>
        <w:t>（1）项目危险物质泄漏主要包含以下情况：</w:t>
      </w:r>
    </w:p>
    <w:p>
      <w:pPr>
        <w:pStyle w:val="8"/>
        <w:spacing w:line="520" w:lineRule="exact"/>
        <w:ind w:firstLine="560"/>
        <w:rPr>
          <w:color w:val="auto"/>
          <w:sz w:val="28"/>
          <w:szCs w:val="28"/>
        </w:rPr>
      </w:pPr>
      <w:r>
        <w:rPr>
          <w:rFonts w:hint="eastAsia" w:ascii="宋体" w:hAnsi="宋体" w:cs="宋体"/>
          <w:color w:val="auto"/>
          <w:sz w:val="28"/>
          <w:szCs w:val="28"/>
        </w:rPr>
        <w:t>①</w:t>
      </w:r>
      <w:r>
        <w:rPr>
          <w:color w:val="auto"/>
          <w:sz w:val="28"/>
          <w:szCs w:val="28"/>
        </w:rPr>
        <w:t>项目生产设施设备、储运设施、物料输送管道等发生损坏导致危险物质泄漏。</w:t>
      </w:r>
    </w:p>
    <w:p>
      <w:pPr>
        <w:pStyle w:val="8"/>
        <w:spacing w:line="520" w:lineRule="exact"/>
        <w:ind w:firstLine="560"/>
        <w:rPr>
          <w:color w:val="auto"/>
          <w:sz w:val="28"/>
          <w:szCs w:val="28"/>
        </w:rPr>
      </w:pPr>
      <w:r>
        <w:rPr>
          <w:rFonts w:hint="eastAsia" w:ascii="宋体" w:hAnsi="宋体" w:cs="宋体"/>
          <w:color w:val="auto"/>
          <w:sz w:val="28"/>
          <w:szCs w:val="28"/>
        </w:rPr>
        <w:t>②</w:t>
      </w:r>
      <w:r>
        <w:rPr>
          <w:color w:val="auto"/>
          <w:sz w:val="28"/>
          <w:szCs w:val="28"/>
        </w:rPr>
        <w:t>原辅材料、危险废物等包装破损导致的泄漏；</w:t>
      </w:r>
    </w:p>
    <w:p>
      <w:pPr>
        <w:pStyle w:val="8"/>
        <w:spacing w:line="520" w:lineRule="exact"/>
        <w:ind w:firstLine="560"/>
        <w:rPr>
          <w:color w:val="auto"/>
          <w:sz w:val="28"/>
          <w:szCs w:val="28"/>
        </w:rPr>
      </w:pPr>
      <w:r>
        <w:rPr>
          <w:rFonts w:hint="eastAsia" w:ascii="宋体" w:hAnsi="宋体" w:cs="宋体"/>
          <w:color w:val="auto"/>
          <w:sz w:val="28"/>
          <w:szCs w:val="28"/>
        </w:rPr>
        <w:t>③</w:t>
      </w:r>
      <w:r>
        <w:rPr>
          <w:color w:val="auto"/>
          <w:sz w:val="28"/>
          <w:szCs w:val="28"/>
        </w:rPr>
        <w:t>生产过程中操作失误或违章作业导致危险物质泄漏。</w:t>
      </w:r>
    </w:p>
    <w:p>
      <w:pPr>
        <w:pStyle w:val="8"/>
        <w:spacing w:line="520" w:lineRule="exact"/>
        <w:ind w:firstLine="560"/>
        <w:rPr>
          <w:color w:val="auto"/>
          <w:sz w:val="28"/>
          <w:szCs w:val="28"/>
        </w:rPr>
      </w:pPr>
      <w:r>
        <w:rPr>
          <w:color w:val="auto"/>
          <w:sz w:val="28"/>
          <w:szCs w:val="28"/>
        </w:rPr>
        <w:t>（2）项目可能发生的伴生/次生污染主要包含以下情况：</w:t>
      </w:r>
    </w:p>
    <w:p>
      <w:pPr>
        <w:pStyle w:val="8"/>
        <w:spacing w:line="520" w:lineRule="exact"/>
        <w:ind w:firstLine="560"/>
        <w:rPr>
          <w:color w:val="auto"/>
          <w:sz w:val="28"/>
          <w:szCs w:val="28"/>
        </w:rPr>
      </w:pPr>
      <w:r>
        <w:rPr>
          <w:rFonts w:hint="eastAsia" w:ascii="宋体" w:hAnsi="宋体" w:cs="宋体"/>
          <w:color w:val="auto"/>
          <w:sz w:val="28"/>
          <w:szCs w:val="28"/>
        </w:rPr>
        <w:t>①</w:t>
      </w:r>
      <w:r>
        <w:rPr>
          <w:color w:val="auto"/>
          <w:sz w:val="28"/>
          <w:szCs w:val="28"/>
        </w:rPr>
        <w:t>如项目厂区发生火灾爆炸事故，救火过程产生的消防污水没有得到有效控制，可能会进入雨水系统，造成区域的水体污染；</w:t>
      </w:r>
    </w:p>
    <w:p>
      <w:pPr>
        <w:pStyle w:val="8"/>
        <w:spacing w:line="520" w:lineRule="exact"/>
        <w:ind w:firstLine="560"/>
        <w:rPr>
          <w:color w:val="auto"/>
          <w:sz w:val="28"/>
          <w:szCs w:val="28"/>
        </w:rPr>
      </w:pPr>
      <w:r>
        <w:rPr>
          <w:rFonts w:hint="eastAsia" w:ascii="宋体" w:hAnsi="宋体" w:cs="宋体"/>
          <w:color w:val="auto"/>
          <w:sz w:val="28"/>
          <w:szCs w:val="28"/>
        </w:rPr>
        <w:t>②</w:t>
      </w:r>
      <w:r>
        <w:rPr>
          <w:color w:val="auto"/>
          <w:sz w:val="28"/>
          <w:szCs w:val="28"/>
        </w:rPr>
        <w:t>火灾爆炸可能破坏地面覆盖物（反腐防渗层），导致部分液体物料、受污染消防水进入土壤，甚至污染地下水。</w:t>
      </w:r>
    </w:p>
    <w:p>
      <w:pPr>
        <w:pStyle w:val="8"/>
        <w:spacing w:line="520" w:lineRule="exact"/>
        <w:ind w:firstLine="560"/>
        <w:rPr>
          <w:color w:val="auto"/>
          <w:sz w:val="28"/>
          <w:szCs w:val="28"/>
        </w:rPr>
      </w:pPr>
      <w:r>
        <w:rPr>
          <w:rFonts w:hint="eastAsia" w:ascii="宋体" w:hAnsi="宋体" w:cs="宋体"/>
          <w:color w:val="auto"/>
          <w:sz w:val="28"/>
          <w:szCs w:val="28"/>
        </w:rPr>
        <w:t>③</w:t>
      </w:r>
      <w:r>
        <w:rPr>
          <w:color w:val="auto"/>
          <w:sz w:val="28"/>
          <w:szCs w:val="28"/>
        </w:rPr>
        <w:t>易燃易爆物质燃烧不充分产生的CO、SO</w:t>
      </w:r>
      <w:r>
        <w:rPr>
          <w:color w:val="auto"/>
          <w:sz w:val="28"/>
          <w:szCs w:val="28"/>
          <w:vertAlign w:val="subscript"/>
        </w:rPr>
        <w:t>2</w:t>
      </w:r>
      <w:r>
        <w:rPr>
          <w:color w:val="auto"/>
          <w:sz w:val="28"/>
          <w:szCs w:val="28"/>
        </w:rPr>
        <w:t>、氮氧化物和烟尘，对大气环境会造成局部污染。</w:t>
      </w:r>
    </w:p>
    <w:p>
      <w:pPr>
        <w:pStyle w:val="29"/>
        <w:outlineLvl w:val="3"/>
      </w:pPr>
      <w:r>
        <w:t>7</w:t>
      </w:r>
      <w:r>
        <w:rPr>
          <w:rFonts w:hint="eastAsia"/>
        </w:rPr>
        <w:t xml:space="preserve">.7.4.2  </w:t>
      </w:r>
      <w:r>
        <w:t>危险物质对环境的影响途径及危害</w:t>
      </w:r>
    </w:p>
    <w:p>
      <w:pPr>
        <w:pStyle w:val="8"/>
        <w:spacing w:line="520" w:lineRule="exact"/>
        <w:ind w:firstLine="560"/>
        <w:rPr>
          <w:color w:val="auto"/>
          <w:sz w:val="28"/>
          <w:szCs w:val="28"/>
        </w:rPr>
      </w:pPr>
      <w:r>
        <w:rPr>
          <w:color w:val="auto"/>
          <w:sz w:val="28"/>
          <w:szCs w:val="28"/>
        </w:rPr>
        <w:t>项目危险物质向环境转移的途径主要为环境空气、地表水环境、地下水环境和土壤环境等。</w:t>
      </w:r>
    </w:p>
    <w:p>
      <w:pPr>
        <w:pStyle w:val="8"/>
        <w:spacing w:line="520" w:lineRule="exact"/>
        <w:ind w:firstLine="560"/>
        <w:rPr>
          <w:color w:val="auto"/>
          <w:sz w:val="28"/>
          <w:szCs w:val="28"/>
        </w:rPr>
      </w:pPr>
      <w:r>
        <w:rPr>
          <w:color w:val="auto"/>
          <w:sz w:val="28"/>
          <w:szCs w:val="28"/>
        </w:rPr>
        <w:t>（1）有毒有害物质进入环境空气的方式主要有3种：</w:t>
      </w:r>
    </w:p>
    <w:p>
      <w:pPr>
        <w:pStyle w:val="8"/>
        <w:spacing w:line="520" w:lineRule="exact"/>
        <w:ind w:firstLine="560"/>
        <w:rPr>
          <w:color w:val="auto"/>
          <w:sz w:val="28"/>
          <w:szCs w:val="28"/>
        </w:rPr>
      </w:pPr>
      <w:r>
        <w:rPr>
          <w:rFonts w:hint="eastAsia"/>
          <w:color w:val="auto"/>
          <w:sz w:val="28"/>
          <w:szCs w:val="28"/>
        </w:rPr>
        <w:t>①</w:t>
      </w:r>
      <w:r>
        <w:rPr>
          <w:color w:val="auto"/>
          <w:sz w:val="28"/>
          <w:szCs w:val="28"/>
        </w:rPr>
        <w:t>有毒有害气体泄漏扩散至环境空气中；</w:t>
      </w:r>
    </w:p>
    <w:p>
      <w:pPr>
        <w:pStyle w:val="8"/>
        <w:spacing w:line="520" w:lineRule="exact"/>
        <w:ind w:firstLine="560"/>
        <w:rPr>
          <w:color w:val="auto"/>
          <w:sz w:val="28"/>
          <w:szCs w:val="28"/>
        </w:rPr>
      </w:pPr>
      <w:r>
        <w:rPr>
          <w:rFonts w:hint="eastAsia"/>
          <w:color w:val="auto"/>
          <w:sz w:val="28"/>
          <w:szCs w:val="28"/>
        </w:rPr>
        <w:t>②</w:t>
      </w:r>
      <w:r>
        <w:rPr>
          <w:color w:val="auto"/>
          <w:sz w:val="28"/>
          <w:szCs w:val="28"/>
        </w:rPr>
        <w:t>火灾爆炸时未完全燃烧的有毒有害化学物质或伴生/次生污染物扩散至环境空气中；</w:t>
      </w:r>
    </w:p>
    <w:p>
      <w:pPr>
        <w:pStyle w:val="8"/>
        <w:spacing w:line="520" w:lineRule="exact"/>
        <w:ind w:firstLine="560"/>
        <w:rPr>
          <w:color w:val="auto"/>
          <w:sz w:val="28"/>
          <w:szCs w:val="28"/>
        </w:rPr>
      </w:pPr>
      <w:r>
        <w:rPr>
          <w:rFonts w:hint="eastAsia"/>
          <w:color w:val="auto"/>
          <w:sz w:val="28"/>
          <w:szCs w:val="28"/>
        </w:rPr>
        <w:t>③</w:t>
      </w:r>
      <w:r>
        <w:rPr>
          <w:color w:val="auto"/>
          <w:sz w:val="28"/>
          <w:szCs w:val="28"/>
        </w:rPr>
        <w:t>液体泄漏事故中液体挥发产生的有毒有害气体扩散至环境空气中</w:t>
      </w:r>
      <w:r>
        <w:rPr>
          <w:rFonts w:hint="eastAsia"/>
          <w:color w:val="auto"/>
          <w:sz w:val="28"/>
          <w:szCs w:val="28"/>
        </w:rPr>
        <w:t>。</w:t>
      </w:r>
    </w:p>
    <w:p>
      <w:pPr>
        <w:pStyle w:val="8"/>
        <w:spacing w:line="520" w:lineRule="exact"/>
        <w:ind w:firstLine="560"/>
        <w:rPr>
          <w:rFonts w:hint="eastAsia"/>
          <w:color w:val="auto"/>
          <w:sz w:val="28"/>
          <w:szCs w:val="28"/>
        </w:rPr>
      </w:pPr>
      <w:r>
        <w:rPr>
          <w:color w:val="auto"/>
          <w:sz w:val="28"/>
          <w:szCs w:val="28"/>
        </w:rPr>
        <w:t>本项目涉及的危险物质</w:t>
      </w:r>
      <w:r>
        <w:rPr>
          <w:rFonts w:hint="eastAsia"/>
          <w:color w:val="auto"/>
          <w:sz w:val="28"/>
          <w:szCs w:val="28"/>
        </w:rPr>
        <w:t>主要为氢气、乙二醇和丙二醇，毒性较低，具有可燃特性，主要是通过次生污染物扩散至环境空气。</w:t>
      </w:r>
    </w:p>
    <w:p>
      <w:pPr>
        <w:pStyle w:val="8"/>
        <w:spacing w:line="520" w:lineRule="exact"/>
        <w:ind w:firstLine="560"/>
        <w:rPr>
          <w:color w:val="auto"/>
          <w:sz w:val="28"/>
          <w:szCs w:val="28"/>
        </w:rPr>
      </w:pPr>
      <w:r>
        <w:rPr>
          <w:color w:val="auto"/>
          <w:sz w:val="28"/>
          <w:szCs w:val="28"/>
        </w:rPr>
        <w:t>（2）有毒有害物质进入地表水环境的方式主要分2种情况：</w:t>
      </w:r>
    </w:p>
    <w:p>
      <w:pPr>
        <w:pStyle w:val="8"/>
        <w:spacing w:line="520" w:lineRule="exact"/>
        <w:ind w:firstLine="560"/>
        <w:rPr>
          <w:color w:val="auto"/>
          <w:sz w:val="28"/>
          <w:szCs w:val="28"/>
        </w:rPr>
      </w:pPr>
      <w:r>
        <w:rPr>
          <w:rFonts w:hint="eastAsia" w:ascii="宋体" w:hAnsi="宋体" w:cs="宋体"/>
          <w:color w:val="auto"/>
          <w:sz w:val="28"/>
          <w:szCs w:val="28"/>
        </w:rPr>
        <w:t>①</w:t>
      </w:r>
      <w:r>
        <w:rPr>
          <w:color w:val="auto"/>
          <w:sz w:val="28"/>
          <w:szCs w:val="28"/>
        </w:rPr>
        <w:t>液态危险物质直接进入水体；</w:t>
      </w:r>
    </w:p>
    <w:p>
      <w:pPr>
        <w:pStyle w:val="8"/>
        <w:spacing w:line="520" w:lineRule="exact"/>
        <w:ind w:firstLine="560"/>
        <w:rPr>
          <w:color w:val="auto"/>
          <w:sz w:val="28"/>
          <w:szCs w:val="28"/>
        </w:rPr>
      </w:pPr>
      <w:r>
        <w:rPr>
          <w:rFonts w:hint="eastAsia" w:ascii="宋体" w:hAnsi="宋体" w:cs="宋体"/>
          <w:color w:val="auto"/>
          <w:sz w:val="28"/>
          <w:szCs w:val="28"/>
        </w:rPr>
        <w:t>②</w:t>
      </w:r>
      <w:r>
        <w:rPr>
          <w:color w:val="auto"/>
          <w:sz w:val="28"/>
          <w:szCs w:val="28"/>
        </w:rPr>
        <w:t>发生火灾爆炸时含有毒有害物质的消防废水由于收集处理不当直接排入地表水系。</w:t>
      </w:r>
    </w:p>
    <w:p>
      <w:pPr>
        <w:pStyle w:val="8"/>
        <w:spacing w:line="520" w:lineRule="exact"/>
        <w:ind w:firstLine="560"/>
        <w:rPr>
          <w:color w:val="auto"/>
          <w:sz w:val="28"/>
          <w:szCs w:val="28"/>
        </w:rPr>
      </w:pPr>
      <w:r>
        <w:rPr>
          <w:color w:val="auto"/>
          <w:sz w:val="28"/>
          <w:szCs w:val="28"/>
        </w:rPr>
        <w:t>本项目可能外泄的废液（水）主要指事故废水和火灾、爆炸事故发生后用于灭火的消防废水。本项目</w:t>
      </w:r>
      <w:r>
        <w:rPr>
          <w:rFonts w:hint="eastAsia"/>
          <w:color w:val="auto"/>
          <w:sz w:val="28"/>
          <w:szCs w:val="28"/>
        </w:rPr>
        <w:t>已设置</w:t>
      </w:r>
      <w:r>
        <w:rPr>
          <w:color w:val="auto"/>
          <w:sz w:val="28"/>
          <w:szCs w:val="28"/>
        </w:rPr>
        <w:t>相对完备的废水、废液收集</w:t>
      </w:r>
      <w:r>
        <w:rPr>
          <w:rFonts w:hint="eastAsia"/>
          <w:color w:val="auto"/>
          <w:sz w:val="28"/>
          <w:szCs w:val="28"/>
        </w:rPr>
        <w:t>处理</w:t>
      </w:r>
      <w:r>
        <w:rPr>
          <w:color w:val="auto"/>
          <w:sz w:val="28"/>
          <w:szCs w:val="28"/>
        </w:rPr>
        <w:t>系统，在事故发生后可以及时发现并将相应的废液、废水转入事故水池，事故废水排放</w:t>
      </w:r>
      <w:r>
        <w:rPr>
          <w:rFonts w:hint="eastAsia"/>
          <w:color w:val="auto"/>
          <w:sz w:val="28"/>
          <w:szCs w:val="28"/>
        </w:rPr>
        <w:t>影响</w:t>
      </w:r>
      <w:r>
        <w:rPr>
          <w:color w:val="auto"/>
          <w:sz w:val="28"/>
          <w:szCs w:val="28"/>
        </w:rPr>
        <w:t>在控制措施下能控制在较小范围，不会对地表水系造成污染。</w:t>
      </w:r>
    </w:p>
    <w:p>
      <w:pPr>
        <w:pStyle w:val="8"/>
        <w:spacing w:line="520" w:lineRule="exact"/>
        <w:ind w:firstLine="560"/>
        <w:rPr>
          <w:color w:val="auto"/>
          <w:sz w:val="28"/>
          <w:szCs w:val="28"/>
        </w:rPr>
      </w:pPr>
      <w:r>
        <w:rPr>
          <w:color w:val="auto"/>
          <w:sz w:val="28"/>
          <w:szCs w:val="28"/>
        </w:rPr>
        <w:t>（2）危险物质进入地下水环境的方式主要有：</w:t>
      </w:r>
    </w:p>
    <w:p>
      <w:pPr>
        <w:pStyle w:val="8"/>
        <w:spacing w:line="520" w:lineRule="exact"/>
        <w:ind w:firstLine="560"/>
        <w:rPr>
          <w:color w:val="auto"/>
          <w:sz w:val="28"/>
          <w:szCs w:val="28"/>
        </w:rPr>
      </w:pPr>
      <w:r>
        <w:rPr>
          <w:rFonts w:hint="eastAsia" w:ascii="宋体" w:hAnsi="宋体" w:cs="宋体"/>
          <w:color w:val="auto"/>
          <w:sz w:val="28"/>
          <w:szCs w:val="28"/>
        </w:rPr>
        <w:t>①</w:t>
      </w:r>
      <w:r>
        <w:rPr>
          <w:color w:val="auto"/>
          <w:sz w:val="28"/>
          <w:szCs w:val="28"/>
        </w:rPr>
        <w:t>由于防范措施不到位或场地防渗层破裂、罐体破裂、包装破裂等导致危险物质下渗进入地下水环境从而对土壤和地下水环境造成影响；</w:t>
      </w:r>
    </w:p>
    <w:p>
      <w:pPr>
        <w:pStyle w:val="8"/>
        <w:spacing w:line="520" w:lineRule="exact"/>
        <w:ind w:firstLine="560"/>
        <w:rPr>
          <w:color w:val="auto"/>
          <w:sz w:val="28"/>
          <w:szCs w:val="28"/>
        </w:rPr>
      </w:pPr>
      <w:r>
        <w:rPr>
          <w:rFonts w:hint="eastAsia" w:ascii="宋体" w:hAnsi="宋体" w:cs="宋体"/>
          <w:color w:val="auto"/>
          <w:sz w:val="28"/>
          <w:szCs w:val="28"/>
        </w:rPr>
        <w:t>②</w:t>
      </w:r>
      <w:r>
        <w:rPr>
          <w:color w:val="auto"/>
          <w:sz w:val="28"/>
          <w:szCs w:val="28"/>
        </w:rPr>
        <w:t>项目</w:t>
      </w:r>
      <w:r>
        <w:rPr>
          <w:rFonts w:hint="eastAsia"/>
          <w:color w:val="auto"/>
          <w:sz w:val="28"/>
          <w:szCs w:val="28"/>
        </w:rPr>
        <w:t>事故水池</w:t>
      </w:r>
      <w:r>
        <w:rPr>
          <w:color w:val="auto"/>
          <w:sz w:val="28"/>
          <w:szCs w:val="28"/>
        </w:rPr>
        <w:t>构筑物破损造成废水泄漏下渗，可能对地下水环境和土壤环境造成影响。</w:t>
      </w:r>
    </w:p>
    <w:p>
      <w:pPr>
        <w:pStyle w:val="8"/>
        <w:spacing w:line="520" w:lineRule="exact"/>
        <w:ind w:firstLine="560"/>
        <w:rPr>
          <w:color w:val="auto"/>
          <w:sz w:val="28"/>
          <w:szCs w:val="28"/>
        </w:rPr>
      </w:pPr>
      <w:r>
        <w:rPr>
          <w:color w:val="auto"/>
          <w:sz w:val="28"/>
          <w:szCs w:val="28"/>
        </w:rPr>
        <w:t>（3）本项目</w:t>
      </w:r>
      <w:r>
        <w:rPr>
          <w:rFonts w:hint="eastAsia"/>
          <w:color w:val="auto"/>
          <w:sz w:val="28"/>
          <w:szCs w:val="28"/>
        </w:rPr>
        <w:t>产品及</w:t>
      </w:r>
      <w:r>
        <w:rPr>
          <w:color w:val="auto"/>
          <w:sz w:val="28"/>
          <w:szCs w:val="28"/>
        </w:rPr>
        <w:t>委外处置的危险废物需专用车辆以公路运输的形式运输。在运输过程中可能发生碰撞、侧翻等交通事故后，未经妥善处置造成危险物质不当堆存或者散落在途中，直接进入或经雨水冲刷后进入堆存场所或道路周边的农田，造成地表水环境、地下水环境和土壤环境污染；如产品罐车发生事故造成产品泄漏或发生火灾爆炸事件，会对周边环境空气造成一定的影响。</w:t>
      </w:r>
    </w:p>
    <w:p>
      <w:pPr>
        <w:pStyle w:val="31"/>
      </w:pPr>
      <w:r>
        <w:t>7</w:t>
      </w:r>
      <w:r>
        <w:rPr>
          <w:rFonts w:hint="eastAsia"/>
        </w:rPr>
        <w:t xml:space="preserve">.7.5  </w:t>
      </w:r>
      <w:r>
        <w:t>风险识别结果</w:t>
      </w:r>
    </w:p>
    <w:p>
      <w:pPr>
        <w:pStyle w:val="8"/>
        <w:spacing w:line="520" w:lineRule="exact"/>
        <w:ind w:firstLine="560"/>
        <w:rPr>
          <w:color w:val="auto"/>
          <w:sz w:val="28"/>
          <w:szCs w:val="28"/>
        </w:rPr>
        <w:sectPr>
          <w:footerReference r:id="rId17" w:type="default"/>
          <w:pgSz w:w="11906" w:h="16838"/>
          <w:pgMar w:top="1474" w:right="1474" w:bottom="1474" w:left="1474" w:header="851" w:footer="992" w:gutter="0"/>
          <w:pgNumType w:chapStyle="1"/>
          <w:cols w:space="720" w:num="1"/>
          <w:docGrid w:linePitch="312" w:charSpace="0"/>
        </w:sectPr>
      </w:pPr>
      <w:r>
        <w:rPr>
          <w:color w:val="auto"/>
          <w:sz w:val="28"/>
          <w:szCs w:val="28"/>
        </w:rPr>
        <w:t>本项目环境风险识别汇总情况</w:t>
      </w:r>
      <w:r>
        <w:rPr>
          <w:rFonts w:hint="eastAsia"/>
          <w:color w:val="auto"/>
          <w:sz w:val="28"/>
          <w:szCs w:val="28"/>
        </w:rPr>
        <w:t>见表</w:t>
      </w:r>
      <w:r>
        <w:rPr>
          <w:color w:val="auto"/>
          <w:sz w:val="28"/>
          <w:szCs w:val="28"/>
        </w:rPr>
        <w:t>7.7</w:t>
      </w:r>
      <w:r>
        <w:rPr>
          <w:rFonts w:hint="eastAsia"/>
          <w:color w:val="auto"/>
          <w:sz w:val="28"/>
          <w:szCs w:val="28"/>
        </w:rPr>
        <w:t>-</w:t>
      </w:r>
      <w:r>
        <w:rPr>
          <w:color w:val="auto"/>
          <w:sz w:val="28"/>
          <w:szCs w:val="28"/>
        </w:rPr>
        <w:t>5。</w:t>
      </w:r>
    </w:p>
    <w:p>
      <w:pPr>
        <w:pStyle w:val="32"/>
        <w:tabs>
          <w:tab w:val="clear" w:pos="900"/>
        </w:tabs>
        <w:ind w:firstLine="679" w:firstLineChars="282"/>
      </w:pPr>
      <w:r>
        <w:rPr>
          <w:rFonts w:hint="eastAsia"/>
        </w:rPr>
        <w:t>表</w:t>
      </w:r>
      <w:r>
        <w:t>7.7</w:t>
      </w:r>
      <w:r>
        <w:rPr>
          <w:rFonts w:hint="eastAsia"/>
        </w:rPr>
        <w:t>-</w:t>
      </w:r>
      <w:r>
        <w:t>5                                    项目环境风险识别表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574"/>
        <w:gridCol w:w="1399"/>
        <w:gridCol w:w="2126"/>
        <w:gridCol w:w="1134"/>
        <w:gridCol w:w="2166"/>
        <w:gridCol w:w="1560"/>
        <w:gridCol w:w="2795"/>
        <w:gridCol w:w="2192"/>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1040" w:hRule="atLeast"/>
          <w:tblHeader/>
          <w:jc w:val="center"/>
        </w:trPr>
        <w:tc>
          <w:tcPr>
            <w:tcW w:w="574" w:type="dxa"/>
            <w:noWrap w:val="0"/>
            <w:vAlign w:val="center"/>
          </w:tcPr>
          <w:p>
            <w:pPr>
              <w:pStyle w:val="36"/>
              <w:spacing w:line="240" w:lineRule="auto"/>
              <w:rPr>
                <w:b/>
                <w:bCs/>
                <w:szCs w:val="21"/>
              </w:rPr>
            </w:pPr>
            <w:r>
              <w:rPr>
                <w:b/>
                <w:bCs/>
                <w:szCs w:val="21"/>
              </w:rPr>
              <w:t>序号</w:t>
            </w:r>
          </w:p>
        </w:tc>
        <w:tc>
          <w:tcPr>
            <w:tcW w:w="1399" w:type="dxa"/>
            <w:noWrap w:val="0"/>
            <w:vAlign w:val="center"/>
          </w:tcPr>
          <w:p>
            <w:pPr>
              <w:pStyle w:val="36"/>
              <w:spacing w:line="240" w:lineRule="auto"/>
              <w:rPr>
                <w:b/>
                <w:bCs/>
                <w:szCs w:val="21"/>
              </w:rPr>
            </w:pPr>
            <w:r>
              <w:rPr>
                <w:b/>
                <w:bCs/>
                <w:szCs w:val="21"/>
              </w:rPr>
              <w:t>危险单元</w:t>
            </w:r>
          </w:p>
        </w:tc>
        <w:tc>
          <w:tcPr>
            <w:tcW w:w="2126" w:type="dxa"/>
            <w:noWrap w:val="0"/>
            <w:vAlign w:val="center"/>
          </w:tcPr>
          <w:p>
            <w:pPr>
              <w:pStyle w:val="36"/>
              <w:spacing w:line="240" w:lineRule="auto"/>
              <w:rPr>
                <w:b/>
                <w:bCs/>
                <w:szCs w:val="21"/>
              </w:rPr>
            </w:pPr>
            <w:r>
              <w:rPr>
                <w:b/>
                <w:bCs/>
                <w:szCs w:val="21"/>
              </w:rPr>
              <w:t>风险源</w:t>
            </w:r>
          </w:p>
        </w:tc>
        <w:tc>
          <w:tcPr>
            <w:tcW w:w="1134" w:type="dxa"/>
            <w:noWrap w:val="0"/>
            <w:vAlign w:val="center"/>
          </w:tcPr>
          <w:p>
            <w:pPr>
              <w:pStyle w:val="36"/>
              <w:spacing w:line="240" w:lineRule="auto"/>
              <w:rPr>
                <w:b/>
                <w:bCs/>
                <w:szCs w:val="21"/>
              </w:rPr>
            </w:pPr>
            <w:r>
              <w:rPr>
                <w:b/>
                <w:bCs/>
                <w:szCs w:val="21"/>
              </w:rPr>
              <w:t>是否重点风险源</w:t>
            </w:r>
          </w:p>
        </w:tc>
        <w:tc>
          <w:tcPr>
            <w:tcW w:w="2166" w:type="dxa"/>
            <w:noWrap w:val="0"/>
            <w:vAlign w:val="center"/>
          </w:tcPr>
          <w:p>
            <w:pPr>
              <w:pStyle w:val="36"/>
              <w:spacing w:line="240" w:lineRule="auto"/>
              <w:rPr>
                <w:b/>
                <w:bCs/>
                <w:szCs w:val="21"/>
              </w:rPr>
            </w:pPr>
            <w:r>
              <w:rPr>
                <w:b/>
                <w:bCs/>
                <w:szCs w:val="21"/>
              </w:rPr>
              <w:t>主要危险物质</w:t>
            </w:r>
          </w:p>
        </w:tc>
        <w:tc>
          <w:tcPr>
            <w:tcW w:w="1560" w:type="dxa"/>
            <w:noWrap w:val="0"/>
            <w:vAlign w:val="center"/>
          </w:tcPr>
          <w:p>
            <w:pPr>
              <w:pStyle w:val="36"/>
              <w:spacing w:line="240" w:lineRule="auto"/>
              <w:rPr>
                <w:b/>
                <w:bCs/>
                <w:szCs w:val="21"/>
              </w:rPr>
            </w:pPr>
            <w:r>
              <w:rPr>
                <w:b/>
                <w:bCs/>
                <w:szCs w:val="21"/>
              </w:rPr>
              <w:t>环境风险类型</w:t>
            </w:r>
          </w:p>
        </w:tc>
        <w:tc>
          <w:tcPr>
            <w:tcW w:w="2795" w:type="dxa"/>
            <w:noWrap w:val="0"/>
            <w:vAlign w:val="center"/>
          </w:tcPr>
          <w:p>
            <w:pPr>
              <w:pStyle w:val="36"/>
              <w:spacing w:line="240" w:lineRule="auto"/>
              <w:rPr>
                <w:b/>
                <w:bCs/>
                <w:szCs w:val="21"/>
              </w:rPr>
            </w:pPr>
            <w:r>
              <w:rPr>
                <w:b/>
                <w:bCs/>
                <w:szCs w:val="21"/>
              </w:rPr>
              <w:t>环境影响途径</w:t>
            </w:r>
          </w:p>
        </w:tc>
        <w:tc>
          <w:tcPr>
            <w:tcW w:w="2192" w:type="dxa"/>
            <w:noWrap w:val="0"/>
            <w:vAlign w:val="center"/>
          </w:tcPr>
          <w:p>
            <w:pPr>
              <w:pStyle w:val="36"/>
              <w:rPr>
                <w:b/>
                <w:bCs/>
                <w:szCs w:val="21"/>
              </w:rPr>
            </w:pPr>
            <w:r>
              <w:rPr>
                <w:b/>
                <w:bCs/>
                <w:szCs w:val="21"/>
              </w:rPr>
              <w:t>可能受影响的环境</w:t>
            </w:r>
          </w:p>
          <w:p>
            <w:pPr>
              <w:pStyle w:val="36"/>
              <w:spacing w:line="240" w:lineRule="auto"/>
              <w:rPr>
                <w:b/>
                <w:bCs/>
                <w:szCs w:val="21"/>
              </w:rPr>
            </w:pPr>
            <w:r>
              <w:rPr>
                <w:b/>
                <w:bCs/>
                <w:szCs w:val="21"/>
              </w:rPr>
              <w:t>敏感目标</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restart"/>
            <w:noWrap w:val="0"/>
            <w:vAlign w:val="center"/>
          </w:tcPr>
          <w:p>
            <w:pPr>
              <w:pStyle w:val="36"/>
              <w:spacing w:line="240" w:lineRule="auto"/>
              <w:rPr>
                <w:szCs w:val="21"/>
              </w:rPr>
            </w:pPr>
            <w:r>
              <w:rPr>
                <w:szCs w:val="21"/>
              </w:rPr>
              <w:t>1</w:t>
            </w:r>
          </w:p>
        </w:tc>
        <w:tc>
          <w:tcPr>
            <w:tcW w:w="1399" w:type="dxa"/>
            <w:vMerge w:val="restart"/>
            <w:noWrap w:val="0"/>
            <w:vAlign w:val="center"/>
          </w:tcPr>
          <w:p>
            <w:pPr>
              <w:pStyle w:val="36"/>
              <w:spacing w:line="240" w:lineRule="auto"/>
              <w:rPr>
                <w:szCs w:val="21"/>
              </w:rPr>
            </w:pPr>
            <w:r>
              <w:rPr>
                <w:szCs w:val="21"/>
              </w:rPr>
              <w:t>乙二醇合成</w:t>
            </w:r>
          </w:p>
        </w:tc>
        <w:tc>
          <w:tcPr>
            <w:tcW w:w="2126" w:type="dxa"/>
            <w:noWrap w:val="0"/>
            <w:vAlign w:val="center"/>
          </w:tcPr>
          <w:p>
            <w:pPr>
              <w:pStyle w:val="36"/>
              <w:spacing w:line="240" w:lineRule="auto"/>
              <w:rPr>
                <w:szCs w:val="21"/>
              </w:rPr>
            </w:pPr>
            <w:r>
              <w:rPr>
                <w:szCs w:val="21"/>
              </w:rPr>
              <w:t>氢气进料管</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氢气</w:t>
            </w:r>
          </w:p>
        </w:tc>
        <w:tc>
          <w:tcPr>
            <w:tcW w:w="1560" w:type="dxa"/>
            <w:vMerge w:val="restart"/>
            <w:noWrap w:val="0"/>
            <w:vAlign w:val="center"/>
          </w:tcPr>
          <w:p>
            <w:pPr>
              <w:pStyle w:val="36"/>
              <w:spacing w:line="240" w:lineRule="auto"/>
              <w:jc w:val="left"/>
              <w:rPr>
                <w:szCs w:val="21"/>
              </w:rPr>
            </w:pPr>
            <w:r>
              <w:rPr>
                <w:szCs w:val="21"/>
              </w:rPr>
              <w:t>伴生污染物排放</w:t>
            </w:r>
          </w:p>
        </w:tc>
        <w:tc>
          <w:tcPr>
            <w:tcW w:w="2795" w:type="dxa"/>
            <w:vMerge w:val="restart"/>
            <w:noWrap w:val="0"/>
            <w:vAlign w:val="center"/>
          </w:tcPr>
          <w:p>
            <w:pPr>
              <w:pStyle w:val="36"/>
              <w:spacing w:line="300" w:lineRule="exact"/>
              <w:jc w:val="left"/>
              <w:rPr>
                <w:szCs w:val="21"/>
              </w:rPr>
            </w:pPr>
            <w:r>
              <w:rPr>
                <w:szCs w:val="21"/>
              </w:rPr>
              <w:t>气体扩散：环境空气</w:t>
            </w:r>
          </w:p>
          <w:p>
            <w:pPr>
              <w:pStyle w:val="36"/>
              <w:spacing w:line="300" w:lineRule="exact"/>
              <w:jc w:val="left"/>
              <w:rPr>
                <w:szCs w:val="21"/>
              </w:rPr>
            </w:pPr>
            <w:r>
              <w:rPr>
                <w:szCs w:val="21"/>
              </w:rPr>
              <w:t>液体下渗：土壤、地下水</w:t>
            </w:r>
          </w:p>
          <w:p>
            <w:pPr>
              <w:pStyle w:val="36"/>
              <w:spacing w:line="300" w:lineRule="exact"/>
              <w:jc w:val="left"/>
              <w:rPr>
                <w:szCs w:val="21"/>
              </w:rPr>
            </w:pPr>
            <w:r>
              <w:rPr>
                <w:szCs w:val="21"/>
              </w:rPr>
              <w:t>废水漫流：地表水</w:t>
            </w:r>
          </w:p>
        </w:tc>
        <w:tc>
          <w:tcPr>
            <w:tcW w:w="2192" w:type="dxa"/>
            <w:vMerge w:val="restart"/>
            <w:noWrap w:val="0"/>
            <w:vAlign w:val="center"/>
          </w:tcPr>
          <w:p>
            <w:pPr>
              <w:pStyle w:val="36"/>
              <w:spacing w:line="300" w:lineRule="exact"/>
              <w:jc w:val="left"/>
              <w:rPr>
                <w:szCs w:val="21"/>
              </w:rPr>
            </w:pPr>
            <w:r>
              <w:rPr>
                <w:szCs w:val="21"/>
              </w:rPr>
              <w:t>周边大气环境敏感点</w:t>
            </w:r>
          </w:p>
          <w:p>
            <w:pPr>
              <w:pStyle w:val="36"/>
              <w:spacing w:line="300" w:lineRule="exact"/>
              <w:jc w:val="left"/>
              <w:rPr>
                <w:szCs w:val="21"/>
              </w:rPr>
            </w:pPr>
            <w:r>
              <w:rPr>
                <w:szCs w:val="21"/>
              </w:rPr>
              <w:t>周边土壤环境</w:t>
            </w:r>
          </w:p>
          <w:p>
            <w:pPr>
              <w:pStyle w:val="36"/>
              <w:spacing w:line="240" w:lineRule="auto"/>
              <w:jc w:val="left"/>
              <w:rPr>
                <w:szCs w:val="21"/>
              </w:rPr>
            </w:pPr>
            <w:r>
              <w:rPr>
                <w:szCs w:val="21"/>
              </w:rPr>
              <w:t>地下水和地表水环境</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乙二醇合成釜</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restart"/>
            <w:noWrap w:val="0"/>
            <w:vAlign w:val="center"/>
          </w:tcPr>
          <w:p>
            <w:pPr>
              <w:pStyle w:val="36"/>
              <w:spacing w:line="240" w:lineRule="auto"/>
              <w:rPr>
                <w:szCs w:val="21"/>
              </w:rPr>
            </w:pPr>
            <w:r>
              <w:rPr>
                <w:szCs w:val="21"/>
              </w:rPr>
              <w:t>2</w:t>
            </w:r>
          </w:p>
        </w:tc>
        <w:tc>
          <w:tcPr>
            <w:tcW w:w="1399" w:type="dxa"/>
            <w:vMerge w:val="restart"/>
            <w:noWrap w:val="0"/>
            <w:vAlign w:val="center"/>
          </w:tcPr>
          <w:p>
            <w:pPr>
              <w:pStyle w:val="36"/>
              <w:spacing w:line="240" w:lineRule="auto"/>
              <w:rPr>
                <w:szCs w:val="21"/>
              </w:rPr>
            </w:pPr>
            <w:r>
              <w:rPr>
                <w:szCs w:val="21"/>
              </w:rPr>
              <w:t>乙二醇精馏</w:t>
            </w:r>
          </w:p>
        </w:tc>
        <w:tc>
          <w:tcPr>
            <w:tcW w:w="2126" w:type="dxa"/>
            <w:noWrap w:val="0"/>
            <w:vAlign w:val="center"/>
          </w:tcPr>
          <w:p>
            <w:pPr>
              <w:pStyle w:val="36"/>
              <w:spacing w:line="240" w:lineRule="auto"/>
              <w:rPr>
                <w:szCs w:val="21"/>
              </w:rPr>
            </w:pPr>
            <w:r>
              <w:rPr>
                <w:szCs w:val="21"/>
              </w:rPr>
              <w:t>高压闪蒸分离罐</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restart"/>
            <w:noWrap w:val="0"/>
            <w:vAlign w:val="center"/>
          </w:tcPr>
          <w:p>
            <w:pPr>
              <w:pStyle w:val="36"/>
              <w:spacing w:line="240" w:lineRule="auto"/>
              <w:jc w:val="left"/>
              <w:rPr>
                <w:szCs w:val="21"/>
              </w:rPr>
            </w:pPr>
            <w:r>
              <w:rPr>
                <w:szCs w:val="21"/>
              </w:rPr>
              <w:t>伴生污染物排放</w:t>
            </w:r>
          </w:p>
        </w:tc>
        <w:tc>
          <w:tcPr>
            <w:tcW w:w="2795" w:type="dxa"/>
            <w:vMerge w:val="restart"/>
            <w:noWrap w:val="0"/>
            <w:vAlign w:val="center"/>
          </w:tcPr>
          <w:p>
            <w:pPr>
              <w:pStyle w:val="36"/>
              <w:spacing w:line="300" w:lineRule="exact"/>
              <w:jc w:val="left"/>
              <w:rPr>
                <w:szCs w:val="21"/>
              </w:rPr>
            </w:pPr>
            <w:r>
              <w:rPr>
                <w:szCs w:val="21"/>
              </w:rPr>
              <w:t>气体扩散：环境空气</w:t>
            </w:r>
          </w:p>
          <w:p>
            <w:pPr>
              <w:pStyle w:val="36"/>
              <w:spacing w:line="300" w:lineRule="exact"/>
              <w:jc w:val="left"/>
              <w:rPr>
                <w:szCs w:val="21"/>
              </w:rPr>
            </w:pPr>
            <w:r>
              <w:rPr>
                <w:szCs w:val="21"/>
              </w:rPr>
              <w:t>液体下渗：土壤、地下水</w:t>
            </w:r>
          </w:p>
          <w:p>
            <w:pPr>
              <w:pStyle w:val="36"/>
              <w:spacing w:line="240" w:lineRule="auto"/>
              <w:jc w:val="left"/>
              <w:rPr>
                <w:szCs w:val="21"/>
              </w:rPr>
            </w:pPr>
            <w:r>
              <w:rPr>
                <w:szCs w:val="21"/>
              </w:rPr>
              <w:t>废水漫流：地表水</w:t>
            </w:r>
          </w:p>
        </w:tc>
        <w:tc>
          <w:tcPr>
            <w:tcW w:w="2192" w:type="dxa"/>
            <w:vMerge w:val="restart"/>
            <w:noWrap w:val="0"/>
            <w:vAlign w:val="center"/>
          </w:tcPr>
          <w:p>
            <w:pPr>
              <w:pStyle w:val="36"/>
              <w:spacing w:line="300" w:lineRule="exact"/>
              <w:jc w:val="left"/>
              <w:rPr>
                <w:szCs w:val="21"/>
              </w:rPr>
            </w:pPr>
            <w:r>
              <w:rPr>
                <w:szCs w:val="21"/>
              </w:rPr>
              <w:t>周边大气环境敏感点</w:t>
            </w:r>
          </w:p>
          <w:p>
            <w:pPr>
              <w:pStyle w:val="36"/>
              <w:spacing w:line="300" w:lineRule="exact"/>
              <w:jc w:val="left"/>
              <w:rPr>
                <w:szCs w:val="21"/>
              </w:rPr>
            </w:pPr>
            <w:r>
              <w:rPr>
                <w:szCs w:val="21"/>
              </w:rPr>
              <w:t>周边土壤环境</w:t>
            </w:r>
          </w:p>
          <w:p>
            <w:pPr>
              <w:pStyle w:val="36"/>
              <w:spacing w:line="240" w:lineRule="auto"/>
              <w:jc w:val="left"/>
              <w:rPr>
                <w:szCs w:val="21"/>
              </w:rPr>
            </w:pPr>
            <w:r>
              <w:rPr>
                <w:szCs w:val="21"/>
              </w:rPr>
              <w:t>地下水和地表水环境</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低压闪蒸分离罐</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脱轻塔</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丙二醇精制塔</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脱重塔</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乙二醇精制塔</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粗乙二醇罐</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粗乙二醇</w:t>
            </w:r>
          </w:p>
        </w:tc>
        <w:tc>
          <w:tcPr>
            <w:tcW w:w="1560" w:type="dxa"/>
            <w:vMerge w:val="restart"/>
            <w:noWrap w:val="0"/>
            <w:vAlign w:val="center"/>
          </w:tcPr>
          <w:p>
            <w:pPr>
              <w:pStyle w:val="36"/>
              <w:spacing w:line="240" w:lineRule="auto"/>
              <w:jc w:val="left"/>
              <w:rPr>
                <w:szCs w:val="21"/>
              </w:rPr>
            </w:pPr>
            <w:r>
              <w:rPr>
                <w:rFonts w:hint="eastAsia"/>
                <w:szCs w:val="21"/>
              </w:rPr>
              <w:t>泄漏</w:t>
            </w:r>
          </w:p>
          <w:p>
            <w:pPr>
              <w:pStyle w:val="36"/>
              <w:spacing w:line="240" w:lineRule="auto"/>
              <w:jc w:val="left"/>
              <w:rPr>
                <w:rFonts w:hint="eastAsia"/>
                <w:szCs w:val="21"/>
              </w:rPr>
            </w:pPr>
            <w:r>
              <w:rPr>
                <w:szCs w:val="21"/>
              </w:rPr>
              <w:t>伴生污染物排放</w:t>
            </w:r>
          </w:p>
        </w:tc>
        <w:tc>
          <w:tcPr>
            <w:tcW w:w="2795" w:type="dxa"/>
            <w:vMerge w:val="restart"/>
            <w:noWrap w:val="0"/>
            <w:vAlign w:val="center"/>
          </w:tcPr>
          <w:p>
            <w:pPr>
              <w:pStyle w:val="36"/>
              <w:spacing w:line="300" w:lineRule="exact"/>
              <w:jc w:val="left"/>
              <w:rPr>
                <w:szCs w:val="21"/>
              </w:rPr>
            </w:pPr>
            <w:r>
              <w:rPr>
                <w:szCs w:val="21"/>
              </w:rPr>
              <w:t>气体扩散：环境空气</w:t>
            </w:r>
          </w:p>
          <w:p>
            <w:pPr>
              <w:pStyle w:val="36"/>
              <w:spacing w:line="300" w:lineRule="exact"/>
              <w:jc w:val="left"/>
              <w:rPr>
                <w:szCs w:val="21"/>
              </w:rPr>
            </w:pPr>
            <w:r>
              <w:rPr>
                <w:szCs w:val="21"/>
              </w:rPr>
              <w:t>液体下渗：土壤、地下水</w:t>
            </w:r>
          </w:p>
          <w:p>
            <w:pPr>
              <w:pStyle w:val="36"/>
              <w:spacing w:line="240" w:lineRule="auto"/>
              <w:jc w:val="left"/>
              <w:rPr>
                <w:szCs w:val="21"/>
              </w:rPr>
            </w:pPr>
            <w:r>
              <w:rPr>
                <w:szCs w:val="21"/>
              </w:rPr>
              <w:t>废水漫流：地表水</w:t>
            </w:r>
          </w:p>
        </w:tc>
        <w:tc>
          <w:tcPr>
            <w:tcW w:w="2192" w:type="dxa"/>
            <w:vMerge w:val="restart"/>
            <w:noWrap w:val="0"/>
            <w:vAlign w:val="center"/>
          </w:tcPr>
          <w:p>
            <w:pPr>
              <w:pStyle w:val="36"/>
              <w:spacing w:line="300" w:lineRule="exact"/>
              <w:jc w:val="left"/>
              <w:rPr>
                <w:szCs w:val="21"/>
              </w:rPr>
            </w:pPr>
            <w:r>
              <w:rPr>
                <w:szCs w:val="21"/>
              </w:rPr>
              <w:t>周边大气环境敏感点</w:t>
            </w:r>
          </w:p>
          <w:p>
            <w:pPr>
              <w:pStyle w:val="36"/>
              <w:spacing w:line="300" w:lineRule="exact"/>
              <w:jc w:val="left"/>
              <w:rPr>
                <w:szCs w:val="21"/>
              </w:rPr>
            </w:pPr>
            <w:r>
              <w:rPr>
                <w:szCs w:val="21"/>
              </w:rPr>
              <w:t>周边土壤环境</w:t>
            </w:r>
          </w:p>
          <w:p>
            <w:pPr>
              <w:pStyle w:val="36"/>
              <w:spacing w:line="240" w:lineRule="auto"/>
              <w:jc w:val="left"/>
              <w:rPr>
                <w:szCs w:val="21"/>
              </w:rPr>
            </w:pPr>
            <w:r>
              <w:rPr>
                <w:szCs w:val="21"/>
              </w:rPr>
              <w:t>地下水和地表水环境</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574" w:type="dxa"/>
            <w:vMerge w:val="continue"/>
            <w:noWrap w:val="0"/>
            <w:vAlign w:val="center"/>
          </w:tcPr>
          <w:p>
            <w:pPr>
              <w:pStyle w:val="36"/>
              <w:spacing w:line="240" w:lineRule="auto"/>
              <w:rPr>
                <w:szCs w:val="21"/>
              </w:rPr>
            </w:pPr>
          </w:p>
        </w:tc>
        <w:tc>
          <w:tcPr>
            <w:tcW w:w="1399" w:type="dxa"/>
            <w:vMerge w:val="continue"/>
            <w:noWrap w:val="0"/>
            <w:vAlign w:val="center"/>
          </w:tcPr>
          <w:p>
            <w:pPr>
              <w:pStyle w:val="36"/>
              <w:spacing w:line="240" w:lineRule="auto"/>
              <w:rPr>
                <w:szCs w:val="21"/>
              </w:rPr>
            </w:pPr>
          </w:p>
        </w:tc>
        <w:tc>
          <w:tcPr>
            <w:tcW w:w="2126" w:type="dxa"/>
            <w:noWrap w:val="0"/>
            <w:vAlign w:val="center"/>
          </w:tcPr>
          <w:p>
            <w:pPr>
              <w:pStyle w:val="36"/>
              <w:spacing w:line="240" w:lineRule="auto"/>
              <w:rPr>
                <w:szCs w:val="21"/>
              </w:rPr>
            </w:pPr>
            <w:r>
              <w:rPr>
                <w:szCs w:val="21"/>
              </w:rPr>
              <w:t>乙二醇罐</w:t>
            </w:r>
          </w:p>
        </w:tc>
        <w:tc>
          <w:tcPr>
            <w:tcW w:w="1134" w:type="dxa"/>
            <w:noWrap w:val="0"/>
            <w:vAlign w:val="center"/>
          </w:tcPr>
          <w:p>
            <w:pPr>
              <w:pStyle w:val="36"/>
              <w:spacing w:line="240" w:lineRule="auto"/>
              <w:rPr>
                <w:szCs w:val="21"/>
              </w:rPr>
            </w:pPr>
            <w:r>
              <w:rPr>
                <w:szCs w:val="21"/>
              </w:rPr>
              <w:t>否</w:t>
            </w:r>
          </w:p>
        </w:tc>
        <w:tc>
          <w:tcPr>
            <w:tcW w:w="2166" w:type="dxa"/>
            <w:noWrap w:val="0"/>
            <w:vAlign w:val="center"/>
          </w:tcPr>
          <w:p>
            <w:pPr>
              <w:pStyle w:val="36"/>
              <w:spacing w:line="240" w:lineRule="auto"/>
              <w:rPr>
                <w:szCs w:val="21"/>
              </w:rPr>
            </w:pPr>
            <w:r>
              <w:rPr>
                <w:szCs w:val="21"/>
              </w:rPr>
              <w:t>乙二醇</w:t>
            </w:r>
          </w:p>
        </w:tc>
        <w:tc>
          <w:tcPr>
            <w:tcW w:w="1560" w:type="dxa"/>
            <w:vMerge w:val="continue"/>
            <w:noWrap w:val="0"/>
            <w:vAlign w:val="center"/>
          </w:tcPr>
          <w:p>
            <w:pPr>
              <w:pStyle w:val="36"/>
              <w:spacing w:line="240" w:lineRule="auto"/>
              <w:jc w:val="left"/>
              <w:rPr>
                <w:szCs w:val="21"/>
              </w:rPr>
            </w:pPr>
          </w:p>
        </w:tc>
        <w:tc>
          <w:tcPr>
            <w:tcW w:w="2795" w:type="dxa"/>
            <w:vMerge w:val="continue"/>
            <w:noWrap w:val="0"/>
            <w:vAlign w:val="center"/>
          </w:tcPr>
          <w:p>
            <w:pPr>
              <w:pStyle w:val="36"/>
              <w:spacing w:line="240" w:lineRule="auto"/>
              <w:jc w:val="left"/>
              <w:rPr>
                <w:szCs w:val="21"/>
              </w:rPr>
            </w:pPr>
          </w:p>
        </w:tc>
        <w:tc>
          <w:tcPr>
            <w:tcW w:w="2192" w:type="dxa"/>
            <w:vMerge w:val="continue"/>
            <w:noWrap w:val="0"/>
            <w:vAlign w:val="center"/>
          </w:tcPr>
          <w:p>
            <w:pPr>
              <w:pStyle w:val="36"/>
              <w:spacing w:line="240" w:lineRule="auto"/>
              <w:jc w:val="left"/>
              <w:rPr>
                <w:szCs w:val="21"/>
              </w:rPr>
            </w:pPr>
          </w:p>
        </w:tc>
      </w:tr>
    </w:tbl>
    <w:p>
      <w:pPr>
        <w:pStyle w:val="32"/>
        <w:tabs>
          <w:tab w:val="clear" w:pos="900"/>
        </w:tabs>
        <w:ind w:firstLine="679" w:firstLineChars="282"/>
        <w:rPr>
          <w:rFonts w:hint="eastAsia"/>
        </w:rPr>
      </w:pPr>
    </w:p>
    <w:p>
      <w:pPr>
        <w:pStyle w:val="8"/>
        <w:rPr>
          <w:color w:val="auto"/>
        </w:rPr>
        <w:sectPr>
          <w:pgSz w:w="16838" w:h="11906" w:orient="landscape"/>
          <w:pgMar w:top="1474" w:right="1474" w:bottom="1474" w:left="1474" w:header="851" w:footer="992" w:gutter="0"/>
          <w:cols w:space="720" w:num="1"/>
          <w:docGrid w:linePitch="312" w:charSpace="0"/>
        </w:sectPr>
      </w:pPr>
    </w:p>
    <w:p>
      <w:pPr>
        <w:pStyle w:val="4"/>
        <w:numPr>
          <w:ilvl w:val="1"/>
          <w:numId w:val="0"/>
        </w:numPr>
        <w:spacing w:before="0" w:after="0"/>
      </w:pPr>
      <w:r>
        <w:t>7</w:t>
      </w:r>
      <w:r>
        <w:rPr>
          <w:rFonts w:hint="eastAsia"/>
        </w:rPr>
        <w:t>.8  环境危害后果</w:t>
      </w:r>
    </w:p>
    <w:p>
      <w:pPr>
        <w:pStyle w:val="31"/>
      </w:pPr>
      <w:r>
        <w:t>7</w:t>
      </w:r>
      <w:r>
        <w:rPr>
          <w:rFonts w:hint="eastAsia"/>
        </w:rPr>
        <w:t>.8.1  风险事故情形设定</w:t>
      </w:r>
    </w:p>
    <w:p>
      <w:pPr>
        <w:pStyle w:val="27"/>
        <w:ind w:firstLine="560"/>
      </w:pPr>
      <w:r>
        <w:rPr>
          <w:rFonts w:hint="eastAsia"/>
        </w:rPr>
        <w:t>由项目物质性质可知，本项目涉及的危险物质乙二醇、丙二醇毒性较低，主要为可燃物质，项目发生的存在的环境风险类型主要为火灾、爆炸引发的伴生污染物排放。风险事故情形设定为：</w:t>
      </w:r>
    </w:p>
    <w:p>
      <w:pPr>
        <w:pStyle w:val="27"/>
        <w:ind w:firstLine="560" w:firstLineChars="0"/>
      </w:pPr>
      <w:r>
        <w:rPr>
          <w:rFonts w:hint="eastAsia"/>
        </w:rPr>
        <w:t>（1）装置发生火灾，产生次生污染物C</w:t>
      </w:r>
      <w:r>
        <w:t>O</w:t>
      </w:r>
      <w:r>
        <w:rPr>
          <w:rFonts w:hint="eastAsia"/>
        </w:rPr>
        <w:t>排入空气</w:t>
      </w:r>
    </w:p>
    <w:p>
      <w:pPr>
        <w:pStyle w:val="27"/>
        <w:ind w:firstLine="560" w:firstLineChars="0"/>
      </w:pPr>
      <w:r>
        <w:rPr>
          <w:rFonts w:hint="eastAsia"/>
        </w:rPr>
        <w:t>（2）发生火灾时消防废水对地表水、地下水环境的风险</w:t>
      </w:r>
    </w:p>
    <w:p>
      <w:pPr>
        <w:pStyle w:val="31"/>
      </w:pPr>
      <w:r>
        <w:t>7</w:t>
      </w:r>
      <w:r>
        <w:rPr>
          <w:rFonts w:hint="eastAsia"/>
        </w:rPr>
        <w:t>.8.</w:t>
      </w:r>
      <w:r>
        <w:t>2</w:t>
      </w:r>
      <w:r>
        <w:rPr>
          <w:rFonts w:hint="eastAsia"/>
        </w:rPr>
        <w:t xml:space="preserve">  风险后果分析</w:t>
      </w:r>
    </w:p>
    <w:p>
      <w:pPr>
        <w:pStyle w:val="8"/>
        <w:spacing w:line="520" w:lineRule="exact"/>
        <w:ind w:firstLine="560"/>
        <w:rPr>
          <w:color w:val="auto"/>
          <w:sz w:val="28"/>
          <w:szCs w:val="22"/>
        </w:rPr>
      </w:pPr>
      <w:r>
        <w:rPr>
          <w:rFonts w:hint="eastAsia"/>
          <w:color w:val="auto"/>
          <w:sz w:val="28"/>
          <w:szCs w:val="22"/>
        </w:rPr>
        <w:t>根据风险识别分析及风险事故情形，项目可能造成的风险后果如下：</w:t>
      </w:r>
    </w:p>
    <w:p>
      <w:pPr>
        <w:pStyle w:val="8"/>
        <w:spacing w:line="520" w:lineRule="exact"/>
        <w:ind w:firstLine="560"/>
        <w:rPr>
          <w:color w:val="auto"/>
          <w:sz w:val="28"/>
          <w:szCs w:val="22"/>
        </w:rPr>
      </w:pPr>
      <w:r>
        <w:rPr>
          <w:rFonts w:hint="eastAsia"/>
          <w:color w:val="auto"/>
          <w:sz w:val="28"/>
          <w:szCs w:val="22"/>
        </w:rPr>
        <w:t>（1）装置火灾、燃爆事故环境空气事故后果分析</w:t>
      </w:r>
    </w:p>
    <w:p>
      <w:pPr>
        <w:pStyle w:val="8"/>
        <w:spacing w:line="520" w:lineRule="exact"/>
        <w:ind w:firstLine="560"/>
        <w:rPr>
          <w:color w:val="auto"/>
          <w:sz w:val="28"/>
          <w:szCs w:val="22"/>
        </w:rPr>
      </w:pPr>
      <w:r>
        <w:rPr>
          <w:rFonts w:hint="eastAsia"/>
          <w:color w:val="auto"/>
          <w:sz w:val="28"/>
          <w:szCs w:val="22"/>
        </w:rPr>
        <w:t>本项目装置主要涉及有机物质为乙二醇、丙二醇，其闪点为7</w:t>
      </w:r>
      <w:r>
        <w:rPr>
          <w:color w:val="auto"/>
          <w:sz w:val="28"/>
          <w:szCs w:val="22"/>
        </w:rPr>
        <w:t>9</w:t>
      </w:r>
      <w:r>
        <w:rPr>
          <w:rFonts w:hint="eastAsia"/>
          <w:color w:val="auto"/>
          <w:sz w:val="28"/>
          <w:szCs w:val="22"/>
        </w:rPr>
        <w:t>~</w:t>
      </w:r>
      <w:r>
        <w:rPr>
          <w:color w:val="auto"/>
          <w:sz w:val="28"/>
          <w:szCs w:val="22"/>
        </w:rPr>
        <w:t>110</w:t>
      </w:r>
      <w:r>
        <w:rPr>
          <w:rFonts w:hint="eastAsia"/>
          <w:color w:val="auto"/>
          <w:sz w:val="28"/>
          <w:szCs w:val="22"/>
        </w:rPr>
        <w:t>℃，相比下，乙二醇、丙二醇可以燃烧，不易燃，但在遇明火、高热或与氧化剂接触时，有引起燃烧爆炸的危险，发生</w:t>
      </w:r>
      <w:r>
        <w:rPr>
          <w:color w:val="auto"/>
          <w:sz w:val="28"/>
          <w:szCs w:val="22"/>
        </w:rPr>
        <w:t>燃爆事故后</w:t>
      </w:r>
      <w:r>
        <w:rPr>
          <w:rFonts w:hint="eastAsia"/>
          <w:color w:val="auto"/>
          <w:sz w:val="28"/>
          <w:szCs w:val="22"/>
        </w:rPr>
        <w:t>烟气</w:t>
      </w:r>
      <w:r>
        <w:rPr>
          <w:color w:val="auto"/>
          <w:sz w:val="28"/>
          <w:szCs w:val="22"/>
        </w:rPr>
        <w:t>中含有碳粒、CO和未完全燃烧的</w:t>
      </w:r>
      <w:r>
        <w:rPr>
          <w:rFonts w:hint="eastAsia"/>
          <w:color w:val="auto"/>
          <w:sz w:val="28"/>
          <w:szCs w:val="22"/>
        </w:rPr>
        <w:t>物料</w:t>
      </w:r>
      <w:r>
        <w:rPr>
          <w:color w:val="auto"/>
          <w:sz w:val="28"/>
          <w:szCs w:val="22"/>
        </w:rPr>
        <w:t>，可能</w:t>
      </w:r>
      <w:r>
        <w:rPr>
          <w:rFonts w:hint="eastAsia"/>
          <w:color w:val="auto"/>
          <w:sz w:val="28"/>
          <w:szCs w:val="22"/>
        </w:rPr>
        <w:t>对周边</w:t>
      </w:r>
      <w:r>
        <w:rPr>
          <w:color w:val="auto"/>
          <w:sz w:val="28"/>
          <w:szCs w:val="22"/>
        </w:rPr>
        <w:t>大气环境和人员健康</w:t>
      </w:r>
      <w:r>
        <w:rPr>
          <w:rFonts w:hint="eastAsia"/>
          <w:color w:val="auto"/>
          <w:sz w:val="28"/>
          <w:szCs w:val="22"/>
        </w:rPr>
        <w:t>带来</w:t>
      </w:r>
      <w:r>
        <w:rPr>
          <w:color w:val="auto"/>
          <w:sz w:val="28"/>
          <w:szCs w:val="22"/>
        </w:rPr>
        <w:t>不利影响。</w:t>
      </w:r>
    </w:p>
    <w:p>
      <w:pPr>
        <w:pStyle w:val="8"/>
        <w:spacing w:line="520" w:lineRule="exact"/>
        <w:ind w:firstLine="560"/>
        <w:rPr>
          <w:color w:val="auto"/>
          <w:sz w:val="28"/>
          <w:szCs w:val="22"/>
        </w:rPr>
      </w:pPr>
      <w:r>
        <w:rPr>
          <w:rFonts w:hint="eastAsia"/>
          <w:color w:val="auto"/>
          <w:sz w:val="28"/>
          <w:szCs w:val="22"/>
        </w:rPr>
        <w:t>根据工艺要求，本项目设置安全可靠、技术先进、又符合中试装置的生产控制系统。在生产安全保护方面，对有关温度、压力、压差、液位、流量等参数设置信号报警及联锁系统。所有联锁均设报警显示；对关键安全联锁，在工艺参数恢复正常时，设手动联锁复位按钮。</w:t>
      </w:r>
    </w:p>
    <w:p>
      <w:pPr>
        <w:pStyle w:val="8"/>
        <w:spacing w:line="520" w:lineRule="exact"/>
        <w:ind w:firstLine="560"/>
        <w:rPr>
          <w:color w:val="auto"/>
          <w:sz w:val="28"/>
          <w:szCs w:val="22"/>
        </w:rPr>
      </w:pPr>
      <w:r>
        <w:rPr>
          <w:rFonts w:hint="eastAsia"/>
          <w:color w:val="auto"/>
          <w:sz w:val="28"/>
          <w:szCs w:val="22"/>
        </w:rPr>
        <w:t>同时，为保证操作人员和生产装置的安全，本项目考虑了以下必要的安全技术措施：</w:t>
      </w:r>
    </w:p>
    <w:p>
      <w:pPr>
        <w:pStyle w:val="8"/>
        <w:spacing w:line="520" w:lineRule="exact"/>
        <w:ind w:firstLine="560"/>
        <w:rPr>
          <w:color w:val="auto"/>
          <w:sz w:val="28"/>
          <w:szCs w:val="22"/>
        </w:rPr>
      </w:pPr>
      <w:r>
        <w:rPr>
          <w:rFonts w:hint="eastAsia" w:ascii="宋体" w:hAnsi="宋体"/>
          <w:color w:val="auto"/>
          <w:sz w:val="28"/>
          <w:szCs w:val="22"/>
        </w:rPr>
        <w:t>①</w:t>
      </w:r>
      <w:r>
        <w:rPr>
          <w:rFonts w:hint="eastAsia"/>
          <w:color w:val="auto"/>
          <w:sz w:val="28"/>
          <w:szCs w:val="22"/>
        </w:rPr>
        <w:t>设置必要的停车和联锁系统以及报警系统。</w:t>
      </w:r>
    </w:p>
    <w:p>
      <w:pPr>
        <w:pStyle w:val="8"/>
        <w:spacing w:line="520" w:lineRule="exact"/>
        <w:ind w:firstLine="560"/>
        <w:rPr>
          <w:color w:val="auto"/>
          <w:sz w:val="28"/>
          <w:szCs w:val="22"/>
        </w:rPr>
      </w:pPr>
      <w:r>
        <w:rPr>
          <w:rFonts w:hint="eastAsia" w:ascii="宋体" w:hAnsi="宋体"/>
          <w:color w:val="auto"/>
          <w:sz w:val="28"/>
          <w:szCs w:val="22"/>
        </w:rPr>
        <w:t>②</w:t>
      </w:r>
      <w:r>
        <w:rPr>
          <w:rFonts w:hint="eastAsia"/>
          <w:color w:val="auto"/>
          <w:sz w:val="28"/>
          <w:szCs w:val="22"/>
        </w:rPr>
        <w:t>安装于爆炸危险区域的现场仪表选用隔爆型仪表，并符合防爆要求。</w:t>
      </w:r>
    </w:p>
    <w:p>
      <w:pPr>
        <w:pStyle w:val="8"/>
        <w:spacing w:line="520" w:lineRule="exact"/>
        <w:ind w:firstLine="560"/>
        <w:rPr>
          <w:color w:val="auto"/>
          <w:sz w:val="28"/>
          <w:szCs w:val="22"/>
        </w:rPr>
      </w:pPr>
      <w:r>
        <w:rPr>
          <w:rFonts w:hint="eastAsia" w:ascii="宋体" w:hAnsi="宋体"/>
          <w:color w:val="auto"/>
          <w:sz w:val="28"/>
          <w:szCs w:val="22"/>
        </w:rPr>
        <w:t>③</w:t>
      </w:r>
      <w:r>
        <w:rPr>
          <w:rFonts w:hint="eastAsia"/>
          <w:color w:val="auto"/>
          <w:sz w:val="28"/>
          <w:szCs w:val="22"/>
        </w:rPr>
        <w:t>仪表一般选用全天候防护仪表，电子式仪表的防护级别不低于</w:t>
      </w:r>
      <w:r>
        <w:rPr>
          <w:color w:val="auto"/>
          <w:sz w:val="28"/>
          <w:szCs w:val="22"/>
        </w:rPr>
        <w:t>IP65</w:t>
      </w:r>
      <w:r>
        <w:rPr>
          <w:rFonts w:hint="eastAsia"/>
          <w:color w:val="auto"/>
          <w:sz w:val="28"/>
          <w:szCs w:val="22"/>
        </w:rPr>
        <w:t>。</w:t>
      </w:r>
    </w:p>
    <w:p>
      <w:pPr>
        <w:pStyle w:val="8"/>
        <w:spacing w:line="520" w:lineRule="exact"/>
        <w:ind w:firstLine="560"/>
        <w:rPr>
          <w:color w:val="auto"/>
          <w:sz w:val="28"/>
          <w:szCs w:val="22"/>
        </w:rPr>
      </w:pPr>
      <w:r>
        <w:rPr>
          <w:rFonts w:hint="eastAsia" w:ascii="宋体" w:hAnsi="宋体"/>
          <w:color w:val="auto"/>
          <w:sz w:val="28"/>
          <w:szCs w:val="22"/>
        </w:rPr>
        <w:t>④</w:t>
      </w:r>
      <w:r>
        <w:rPr>
          <w:rFonts w:hint="eastAsia"/>
          <w:color w:val="auto"/>
          <w:sz w:val="28"/>
          <w:szCs w:val="22"/>
        </w:rPr>
        <w:t>测量易冻介质的仪表的测量管线，采用保温、伴热方式，仪表安装于保温箱中；对高温介质仪表的测量管线采取隔热、防烫等保护措施；测量易堵介质的测量管线，采用远传变送器。</w:t>
      </w:r>
    </w:p>
    <w:p>
      <w:pPr>
        <w:pStyle w:val="8"/>
        <w:spacing w:line="520" w:lineRule="exact"/>
        <w:ind w:firstLine="560"/>
        <w:rPr>
          <w:color w:val="auto"/>
          <w:sz w:val="28"/>
          <w:szCs w:val="22"/>
        </w:rPr>
      </w:pPr>
      <w:r>
        <w:rPr>
          <w:rFonts w:hint="eastAsia" w:ascii="宋体" w:hAnsi="宋体"/>
          <w:color w:val="auto"/>
          <w:sz w:val="28"/>
          <w:szCs w:val="22"/>
        </w:rPr>
        <w:t>⑤</w:t>
      </w:r>
      <w:r>
        <w:rPr>
          <w:rFonts w:hint="eastAsia"/>
          <w:color w:val="auto"/>
          <w:sz w:val="28"/>
          <w:szCs w:val="22"/>
        </w:rPr>
        <w:t>在可燃或有毒气体可能泄漏和聚积的场合，设置可燃气体或有毒气体检测报警系统。</w:t>
      </w:r>
    </w:p>
    <w:p>
      <w:pPr>
        <w:pStyle w:val="8"/>
        <w:spacing w:line="520" w:lineRule="exact"/>
        <w:ind w:firstLine="560"/>
        <w:rPr>
          <w:color w:val="auto"/>
          <w:sz w:val="28"/>
          <w:szCs w:val="22"/>
        </w:rPr>
      </w:pPr>
      <w:r>
        <w:rPr>
          <w:rFonts w:hint="eastAsia" w:ascii="宋体" w:hAnsi="宋体"/>
          <w:color w:val="auto"/>
          <w:sz w:val="28"/>
          <w:szCs w:val="22"/>
        </w:rPr>
        <w:t>⑥</w:t>
      </w:r>
      <w:r>
        <w:rPr>
          <w:rFonts w:hint="eastAsia"/>
          <w:color w:val="auto"/>
          <w:sz w:val="28"/>
          <w:szCs w:val="22"/>
        </w:rPr>
        <w:t>仪表和控制系统均采用</w:t>
      </w:r>
      <w:r>
        <w:rPr>
          <w:color w:val="auto"/>
          <w:sz w:val="28"/>
          <w:szCs w:val="22"/>
        </w:rPr>
        <w:t>UPS</w:t>
      </w:r>
      <w:r>
        <w:rPr>
          <w:rFonts w:hint="eastAsia"/>
          <w:color w:val="auto"/>
          <w:sz w:val="28"/>
          <w:szCs w:val="22"/>
        </w:rPr>
        <w:t>电源供电。</w:t>
      </w:r>
    </w:p>
    <w:p>
      <w:pPr>
        <w:pStyle w:val="8"/>
        <w:spacing w:line="520" w:lineRule="exact"/>
        <w:ind w:firstLine="560"/>
        <w:rPr>
          <w:color w:val="auto"/>
          <w:sz w:val="28"/>
          <w:szCs w:val="22"/>
        </w:rPr>
      </w:pPr>
      <w:r>
        <w:rPr>
          <w:rFonts w:hint="eastAsia" w:ascii="宋体" w:hAnsi="宋体"/>
          <w:color w:val="auto"/>
          <w:sz w:val="28"/>
          <w:szCs w:val="22"/>
        </w:rPr>
        <w:t>⑦</w:t>
      </w:r>
      <w:r>
        <w:rPr>
          <w:rFonts w:hint="eastAsia"/>
          <w:color w:val="auto"/>
          <w:sz w:val="28"/>
          <w:szCs w:val="22"/>
        </w:rPr>
        <w:t>控制室位于安全区域，室内设有火灾报警系统。</w:t>
      </w:r>
    </w:p>
    <w:p>
      <w:pPr>
        <w:pStyle w:val="8"/>
        <w:spacing w:line="520" w:lineRule="exact"/>
        <w:ind w:firstLine="478" w:firstLineChars="171"/>
        <w:rPr>
          <w:color w:val="auto"/>
          <w:sz w:val="28"/>
          <w:szCs w:val="22"/>
        </w:rPr>
      </w:pPr>
      <w:r>
        <w:rPr>
          <w:rFonts w:hint="eastAsia"/>
          <w:color w:val="auto"/>
          <w:sz w:val="28"/>
          <w:szCs w:val="22"/>
        </w:rPr>
        <w:t>本项目为中试装置，生产系统中物料存在量较小，发生火灾、燃爆事故对周围环境空气造成的影响较小，且项目采用了可靠的D</w:t>
      </w:r>
      <w:r>
        <w:rPr>
          <w:color w:val="auto"/>
          <w:sz w:val="28"/>
          <w:szCs w:val="22"/>
        </w:rPr>
        <w:t>CS</w:t>
      </w:r>
      <w:r>
        <w:rPr>
          <w:rFonts w:hint="eastAsia"/>
          <w:color w:val="auto"/>
          <w:sz w:val="28"/>
          <w:szCs w:val="22"/>
        </w:rPr>
        <w:t>控制系统，将大大降低事故发生的概率。</w:t>
      </w:r>
    </w:p>
    <w:p>
      <w:pPr>
        <w:pStyle w:val="8"/>
        <w:spacing w:line="520" w:lineRule="exact"/>
        <w:ind w:firstLine="560"/>
        <w:rPr>
          <w:color w:val="auto"/>
          <w:sz w:val="28"/>
          <w:szCs w:val="22"/>
        </w:rPr>
      </w:pPr>
      <w:r>
        <w:rPr>
          <w:rFonts w:hint="eastAsia"/>
          <w:color w:val="auto"/>
          <w:sz w:val="28"/>
          <w:szCs w:val="22"/>
        </w:rPr>
        <w:t>（</w:t>
      </w:r>
      <w:r>
        <w:rPr>
          <w:color w:val="auto"/>
          <w:sz w:val="28"/>
          <w:szCs w:val="22"/>
        </w:rPr>
        <w:t>2</w:t>
      </w:r>
      <w:r>
        <w:rPr>
          <w:rFonts w:hint="eastAsia"/>
          <w:color w:val="auto"/>
          <w:sz w:val="28"/>
          <w:szCs w:val="22"/>
        </w:rPr>
        <w:t>）装置火灾、燃爆事故水体影响后果分析</w:t>
      </w:r>
    </w:p>
    <w:p>
      <w:pPr>
        <w:pStyle w:val="8"/>
        <w:spacing w:line="520" w:lineRule="exact"/>
        <w:ind w:firstLine="478" w:firstLineChars="171"/>
        <w:rPr>
          <w:color w:val="auto"/>
          <w:sz w:val="28"/>
          <w:szCs w:val="22"/>
        </w:rPr>
      </w:pPr>
      <w:r>
        <w:rPr>
          <w:rFonts w:hint="eastAsia"/>
          <w:color w:val="auto"/>
          <w:sz w:val="28"/>
          <w:szCs w:val="22"/>
        </w:rPr>
        <w:t>若装置发生火灾、爆炸事故，灭火为第一要务，消防废水产生量较大，如无妥善事故应急预案和废水容纳、处置措施，会造成含有烃类</w:t>
      </w:r>
      <w:r>
        <w:rPr>
          <w:color w:val="auto"/>
          <w:sz w:val="28"/>
          <w:szCs w:val="22"/>
        </w:rPr>
        <w:t>物质</w:t>
      </w:r>
      <w:r>
        <w:rPr>
          <w:rFonts w:hint="eastAsia"/>
          <w:color w:val="auto"/>
          <w:sz w:val="28"/>
          <w:szCs w:val="22"/>
        </w:rPr>
        <w:t>的废水事故性排放，进而对</w:t>
      </w:r>
      <w:r>
        <w:rPr>
          <w:color w:val="auto"/>
          <w:sz w:val="28"/>
          <w:szCs w:val="22"/>
        </w:rPr>
        <w:t>园区污水处理厂造成</w:t>
      </w:r>
      <w:r>
        <w:rPr>
          <w:rFonts w:hint="eastAsia"/>
          <w:color w:val="auto"/>
          <w:sz w:val="28"/>
          <w:szCs w:val="22"/>
        </w:rPr>
        <w:t>影响。</w:t>
      </w:r>
    </w:p>
    <w:p>
      <w:pPr>
        <w:pStyle w:val="8"/>
        <w:spacing w:line="520" w:lineRule="exact"/>
        <w:ind w:firstLine="478" w:firstLineChars="171"/>
        <w:rPr>
          <w:rFonts w:hint="eastAsia"/>
          <w:color w:val="auto"/>
          <w:sz w:val="28"/>
          <w:szCs w:val="22"/>
        </w:rPr>
      </w:pPr>
      <w:r>
        <w:rPr>
          <w:rFonts w:hint="eastAsia"/>
          <w:color w:val="auto"/>
          <w:sz w:val="28"/>
          <w:szCs w:val="22"/>
        </w:rPr>
        <w:t>根据现场调查，由于位置关系和管线连接的便利性，本项目事故池拟依托永金乙二醇项目事故池（</w:t>
      </w:r>
      <w:r>
        <w:rPr>
          <w:rFonts w:hint="eastAsia"/>
          <w:color w:val="auto"/>
          <w:sz w:val="28"/>
          <w:szCs w:val="22"/>
          <w:lang w:val="en-US" w:eastAsia="zh-CN"/>
        </w:rPr>
        <w:t>50</w:t>
      </w:r>
      <w:r>
        <w:rPr>
          <w:rFonts w:hint="eastAsia"/>
          <w:color w:val="auto"/>
          <w:sz w:val="28"/>
          <w:szCs w:val="22"/>
        </w:rPr>
        <w:t>00</w:t>
      </w:r>
      <w:r>
        <w:rPr>
          <w:color w:val="auto"/>
          <w:sz w:val="28"/>
          <w:szCs w:val="22"/>
        </w:rPr>
        <w:t>m</w:t>
      </w:r>
      <w:r>
        <w:rPr>
          <w:color w:val="auto"/>
          <w:sz w:val="28"/>
          <w:szCs w:val="22"/>
          <w:vertAlign w:val="superscript"/>
        </w:rPr>
        <w:t>3</w:t>
      </w:r>
      <w:r>
        <w:rPr>
          <w:rFonts w:hint="eastAsia"/>
          <w:color w:val="auto"/>
          <w:sz w:val="28"/>
          <w:szCs w:val="22"/>
        </w:rPr>
        <w:t>），此外，</w:t>
      </w:r>
      <w:bookmarkStart w:id="255" w:name="_Hlk66718805"/>
      <w:r>
        <w:rPr>
          <w:rFonts w:hint="eastAsia"/>
          <w:color w:val="auto"/>
          <w:sz w:val="28"/>
          <w:szCs w:val="22"/>
        </w:rPr>
        <w:t>煤化工厂区目前已建设有</w:t>
      </w:r>
      <w:r>
        <w:rPr>
          <w:color w:val="auto"/>
          <w:sz w:val="28"/>
          <w:szCs w:val="22"/>
        </w:rPr>
        <w:t>8000m</w:t>
      </w:r>
      <w:r>
        <w:rPr>
          <w:color w:val="auto"/>
          <w:sz w:val="28"/>
          <w:szCs w:val="22"/>
          <w:vertAlign w:val="superscript"/>
        </w:rPr>
        <w:t>3</w:t>
      </w:r>
      <w:r>
        <w:rPr>
          <w:color w:val="auto"/>
          <w:sz w:val="28"/>
          <w:szCs w:val="22"/>
        </w:rPr>
        <w:t>污水调节池</w:t>
      </w:r>
      <w:r>
        <w:rPr>
          <w:rFonts w:hint="eastAsia"/>
          <w:color w:val="auto"/>
          <w:sz w:val="28"/>
          <w:szCs w:val="22"/>
        </w:rPr>
        <w:t>（兼事故池）</w:t>
      </w:r>
      <w:r>
        <w:rPr>
          <w:color w:val="auto"/>
          <w:sz w:val="28"/>
          <w:szCs w:val="22"/>
        </w:rPr>
        <w:t>、5000m</w:t>
      </w:r>
      <w:r>
        <w:rPr>
          <w:color w:val="auto"/>
          <w:sz w:val="28"/>
          <w:szCs w:val="22"/>
          <w:vertAlign w:val="superscript"/>
        </w:rPr>
        <w:t>3</w:t>
      </w:r>
      <w:r>
        <w:rPr>
          <w:color w:val="auto"/>
          <w:sz w:val="28"/>
          <w:szCs w:val="22"/>
        </w:rPr>
        <w:t>事故池</w:t>
      </w:r>
      <w:r>
        <w:rPr>
          <w:rFonts w:hint="eastAsia"/>
          <w:color w:val="auto"/>
          <w:sz w:val="28"/>
          <w:szCs w:val="22"/>
        </w:rPr>
        <w:t>和250</w:t>
      </w:r>
      <w:r>
        <w:rPr>
          <w:color w:val="auto"/>
          <w:sz w:val="28"/>
          <w:szCs w:val="22"/>
        </w:rPr>
        <w:t>m</w:t>
      </w:r>
      <w:r>
        <w:rPr>
          <w:color w:val="auto"/>
          <w:sz w:val="28"/>
          <w:szCs w:val="22"/>
          <w:vertAlign w:val="superscript"/>
        </w:rPr>
        <w:t>3</w:t>
      </w:r>
      <w:r>
        <w:rPr>
          <w:color w:val="auto"/>
          <w:sz w:val="28"/>
          <w:szCs w:val="22"/>
        </w:rPr>
        <w:t>事故池</w:t>
      </w:r>
      <w:r>
        <w:rPr>
          <w:rFonts w:hint="eastAsia"/>
          <w:color w:val="auto"/>
          <w:sz w:val="28"/>
          <w:szCs w:val="22"/>
        </w:rPr>
        <w:t>（MMA装置西侧），均可以确保事故状态废水不外排，通过调节和切换，分批泵入装置区污水终端处理、设施处理达标后排放至濮阳市第二污水处理厂。</w:t>
      </w:r>
    </w:p>
    <w:p>
      <w:pPr>
        <w:autoSpaceDE w:val="0"/>
        <w:autoSpaceDN w:val="0"/>
        <w:adjustRightInd w:val="0"/>
        <w:spacing w:line="560" w:lineRule="exact"/>
        <w:ind w:firstLine="560" w:firstLineChars="200"/>
        <w:jc w:val="left"/>
        <w:rPr>
          <w:rFonts w:hint="eastAsia"/>
          <w:sz w:val="28"/>
          <w:szCs w:val="22"/>
        </w:rPr>
      </w:pPr>
      <w:r>
        <w:rPr>
          <w:rFonts w:hint="eastAsia"/>
          <w:sz w:val="28"/>
          <w:szCs w:val="22"/>
        </w:rPr>
        <w:t>公司为了防止事故对厂区及周边地下水造成污染，对装置区等设施的地基和地表进行了防渗处理；装置区设置排水沟，同时对地表初期雨水进行了收集。通过设置可靠的消防水收集池和事故池，确保事故状态下有毒有害物质不直接排入外环境。</w:t>
      </w:r>
    </w:p>
    <w:bookmarkEnd w:id="255"/>
    <w:p>
      <w:pPr>
        <w:pStyle w:val="4"/>
        <w:numPr>
          <w:ilvl w:val="1"/>
          <w:numId w:val="0"/>
        </w:numPr>
        <w:spacing w:before="0" w:after="0"/>
      </w:pPr>
      <w:bookmarkStart w:id="256" w:name="_Toc10922"/>
      <w:bookmarkStart w:id="257" w:name="_Toc6911"/>
      <w:r>
        <w:t>7</w:t>
      </w:r>
      <w:r>
        <w:rPr>
          <w:rFonts w:hint="eastAsia"/>
        </w:rPr>
        <w:t>.</w:t>
      </w:r>
      <w:r>
        <w:t>9</w:t>
      </w:r>
      <w:r>
        <w:rPr>
          <w:rFonts w:hint="eastAsia"/>
        </w:rPr>
        <w:t xml:space="preserve">  </w:t>
      </w:r>
      <w:r>
        <w:t>环境风险管理</w:t>
      </w:r>
    </w:p>
    <w:p>
      <w:pPr>
        <w:pStyle w:val="8"/>
        <w:spacing w:line="520" w:lineRule="exact"/>
        <w:ind w:firstLine="560"/>
        <w:rPr>
          <w:color w:val="auto"/>
          <w:sz w:val="28"/>
          <w:szCs w:val="28"/>
        </w:rPr>
      </w:pPr>
      <w:r>
        <w:rPr>
          <w:color w:val="auto"/>
          <w:sz w:val="28"/>
          <w:szCs w:val="28"/>
        </w:rPr>
        <w:t>环境风险管理的核心是降低风险，可以从两方面采取措施，一是降低事故发生概率，二是减轻事故危害强度。采取设计周密、管理严格的风险防范措施可大大减小事故发生率，预先制定切实可行的事故应急计划可大大减轻事故发生后可能受到的损失。评价从环境风险防范措施和环境风险事故应急预案两方面对本项目环境风险管理提出要求和建议。</w:t>
      </w:r>
    </w:p>
    <w:bookmarkEnd w:id="256"/>
    <w:bookmarkEnd w:id="257"/>
    <w:p>
      <w:pPr>
        <w:pStyle w:val="31"/>
      </w:pPr>
      <w:r>
        <w:t>7.9.1  风险防范措施</w:t>
      </w:r>
    </w:p>
    <w:p>
      <w:pPr>
        <w:pStyle w:val="8"/>
        <w:spacing w:line="520" w:lineRule="exact"/>
        <w:ind w:firstLine="560"/>
        <w:rPr>
          <w:color w:val="auto"/>
          <w:sz w:val="28"/>
          <w:szCs w:val="28"/>
        </w:rPr>
      </w:pPr>
      <w:r>
        <w:rPr>
          <w:color w:val="auto"/>
          <w:sz w:val="28"/>
          <w:szCs w:val="28"/>
        </w:rPr>
        <w:t>项目建成后储罐、管道、生产装置泄漏，发生火灾爆炸事故引发的次生污染物排放，是本项目中最可能发生的主要环境风险事故。风险预防措施应该消除导致这些事故的引发因素。在项目建设阶段，应优先考虑风险预防措施。在考虑风险预防措施过程中，不仅要考虑技术要求，同时必须考虑制度健全。</w:t>
      </w:r>
    </w:p>
    <w:p>
      <w:pPr>
        <w:pStyle w:val="29"/>
        <w:outlineLvl w:val="3"/>
      </w:pPr>
      <w:r>
        <w:t>7.9.1.1  选址与总图布置及建构筑物设计安全措施</w:t>
      </w:r>
    </w:p>
    <w:p>
      <w:pPr>
        <w:pStyle w:val="8"/>
        <w:spacing w:line="520" w:lineRule="exact"/>
        <w:ind w:firstLine="560"/>
        <w:rPr>
          <w:color w:val="auto"/>
          <w:sz w:val="28"/>
          <w:szCs w:val="28"/>
        </w:rPr>
      </w:pPr>
      <w:r>
        <w:rPr>
          <w:color w:val="auto"/>
          <w:sz w:val="28"/>
          <w:szCs w:val="28"/>
        </w:rPr>
        <w:t>（1）厂址应远离居民生活区及环境敏感点，危害较大的装置（如储罐区）安排在距敏感点较远的位置。</w:t>
      </w:r>
    </w:p>
    <w:p>
      <w:pPr>
        <w:pStyle w:val="8"/>
        <w:spacing w:line="520" w:lineRule="exact"/>
        <w:ind w:firstLine="560"/>
        <w:rPr>
          <w:color w:val="auto"/>
          <w:sz w:val="28"/>
          <w:szCs w:val="28"/>
        </w:rPr>
      </w:pPr>
      <w:r>
        <w:rPr>
          <w:color w:val="auto"/>
          <w:sz w:val="28"/>
          <w:szCs w:val="28"/>
        </w:rPr>
        <w:t>本项目位于濮阳市濮阳经济技术产业集聚区，最近环境敏感目标为SSW方向</w:t>
      </w:r>
      <w:r>
        <w:rPr>
          <w:rFonts w:hint="eastAsia"/>
          <w:color w:val="auto"/>
          <w:sz w:val="28"/>
          <w:szCs w:val="28"/>
        </w:rPr>
        <w:t>距项目边界4</w:t>
      </w:r>
      <w:r>
        <w:rPr>
          <w:color w:val="auto"/>
          <w:sz w:val="28"/>
          <w:szCs w:val="28"/>
        </w:rPr>
        <w:t>2</w:t>
      </w:r>
      <w:r>
        <w:rPr>
          <w:rFonts w:hint="eastAsia"/>
          <w:color w:val="auto"/>
          <w:sz w:val="28"/>
          <w:szCs w:val="28"/>
        </w:rPr>
        <w:t>0</w:t>
      </w:r>
      <w:r>
        <w:rPr>
          <w:color w:val="auto"/>
          <w:sz w:val="28"/>
          <w:szCs w:val="28"/>
        </w:rPr>
        <w:t>m的康呼村，</w:t>
      </w:r>
      <w:r>
        <w:rPr>
          <w:rFonts w:hint="eastAsia"/>
          <w:color w:val="auto"/>
          <w:sz w:val="28"/>
          <w:szCs w:val="28"/>
        </w:rPr>
        <w:t>项目为千吨级中试装置，规模较小；不设置单独的储存区域。</w:t>
      </w:r>
    </w:p>
    <w:p>
      <w:pPr>
        <w:pStyle w:val="8"/>
        <w:spacing w:line="520" w:lineRule="exact"/>
        <w:ind w:firstLine="560"/>
        <w:rPr>
          <w:color w:val="auto"/>
          <w:sz w:val="28"/>
          <w:szCs w:val="28"/>
        </w:rPr>
      </w:pPr>
      <w:r>
        <w:rPr>
          <w:color w:val="auto"/>
          <w:sz w:val="28"/>
          <w:szCs w:val="28"/>
        </w:rPr>
        <w:t>（2）项目总图布置方案合理，生产厂区建构筑物、装置、设备、罐槽之间按《建筑设计防火规范》（GB50016-2016）要求考虑足够的防火安全间距，有应急救援设施及救援通道、应急疏散及避难所，具备疏散、消防、急救的必要条件。同时，厂区布置和各设施的建设符合《化工建设项目环境保护设计规范》（GB50483-2009）。</w:t>
      </w:r>
    </w:p>
    <w:p>
      <w:pPr>
        <w:pStyle w:val="8"/>
        <w:spacing w:line="520" w:lineRule="exact"/>
        <w:ind w:firstLine="560"/>
        <w:rPr>
          <w:color w:val="auto"/>
          <w:sz w:val="28"/>
          <w:szCs w:val="28"/>
        </w:rPr>
      </w:pPr>
      <w:r>
        <w:rPr>
          <w:color w:val="auto"/>
          <w:sz w:val="28"/>
          <w:szCs w:val="28"/>
        </w:rPr>
        <w:t>（3）以实体墙和周边环境实现有效分隔，厂区与厂区外围的工业企业、道路、输电线路等之间应按规定保持足够的防火安全距离。</w:t>
      </w:r>
    </w:p>
    <w:p>
      <w:pPr>
        <w:pStyle w:val="8"/>
        <w:spacing w:line="520" w:lineRule="exact"/>
        <w:ind w:firstLine="560"/>
        <w:rPr>
          <w:color w:val="auto"/>
          <w:sz w:val="28"/>
          <w:szCs w:val="28"/>
        </w:rPr>
      </w:pPr>
      <w:r>
        <w:rPr>
          <w:color w:val="auto"/>
          <w:sz w:val="28"/>
          <w:szCs w:val="28"/>
        </w:rPr>
        <w:t>（4）装置与周边的建筑物间距满足规范要求，并在事故状态下满足人员疏散的要求；主要工艺设施间考虑足够的安全间距，以免一个区域发生事故而影响其它区域，并考虑消防设施运用的可能性；</w:t>
      </w:r>
    </w:p>
    <w:p>
      <w:pPr>
        <w:pStyle w:val="8"/>
        <w:spacing w:line="520" w:lineRule="exact"/>
        <w:ind w:firstLine="560"/>
        <w:rPr>
          <w:color w:val="auto"/>
          <w:sz w:val="28"/>
          <w:szCs w:val="28"/>
        </w:rPr>
      </w:pPr>
      <w:r>
        <w:rPr>
          <w:color w:val="auto"/>
          <w:sz w:val="28"/>
          <w:szCs w:val="28"/>
        </w:rPr>
        <w:t>（5）考虑火源与可能的易燃物释放源的安全间距，将任何事故仅限制在一个生产单元内并消除并发事故；</w:t>
      </w:r>
    </w:p>
    <w:p>
      <w:pPr>
        <w:pStyle w:val="8"/>
        <w:spacing w:line="520" w:lineRule="exact"/>
        <w:ind w:firstLine="560"/>
        <w:rPr>
          <w:color w:val="auto"/>
          <w:sz w:val="28"/>
          <w:szCs w:val="28"/>
        </w:rPr>
      </w:pPr>
      <w:r>
        <w:rPr>
          <w:color w:val="auto"/>
          <w:sz w:val="28"/>
          <w:szCs w:val="28"/>
        </w:rPr>
        <w:t>（6）保证设备的安全间距，以使当一个设备处于危险时而使其它设备仍可持续正常运转。</w:t>
      </w:r>
    </w:p>
    <w:p>
      <w:pPr>
        <w:pStyle w:val="29"/>
        <w:outlineLvl w:val="3"/>
      </w:pPr>
      <w:r>
        <w:t xml:space="preserve">7.9.1.2  </w:t>
      </w:r>
      <w:r>
        <w:rPr>
          <w:rFonts w:hint="eastAsia"/>
        </w:rPr>
        <w:t>生产装置防范</w:t>
      </w:r>
      <w:r>
        <w:t>措施</w:t>
      </w:r>
    </w:p>
    <w:p>
      <w:pPr>
        <w:pStyle w:val="8"/>
        <w:spacing w:line="520" w:lineRule="exact"/>
        <w:ind w:firstLine="560"/>
        <w:rPr>
          <w:color w:val="auto"/>
          <w:sz w:val="28"/>
          <w:szCs w:val="28"/>
        </w:rPr>
      </w:pPr>
      <w:r>
        <w:rPr>
          <w:color w:val="auto"/>
          <w:sz w:val="28"/>
          <w:szCs w:val="28"/>
        </w:rPr>
        <w:t>（1）建设双回路电源，在突发停电事故时及时切换。</w:t>
      </w:r>
    </w:p>
    <w:p>
      <w:pPr>
        <w:pStyle w:val="8"/>
        <w:spacing w:line="520" w:lineRule="exact"/>
        <w:ind w:firstLine="560"/>
        <w:rPr>
          <w:color w:val="auto"/>
          <w:sz w:val="28"/>
          <w:szCs w:val="28"/>
        </w:rPr>
      </w:pPr>
      <w:r>
        <w:rPr>
          <w:rFonts w:hint="eastAsia"/>
          <w:color w:val="auto"/>
          <w:sz w:val="28"/>
          <w:szCs w:val="28"/>
        </w:rPr>
        <w:t>（2）按照生产装置的危险区划分，选用相应防爆等级的电气设备和仪表，并按规范配线。对厂房、各相关设备及管道设置防雷及防静电接地系统。</w:t>
      </w:r>
    </w:p>
    <w:p>
      <w:pPr>
        <w:pStyle w:val="8"/>
        <w:spacing w:line="520" w:lineRule="exact"/>
        <w:ind w:firstLine="560"/>
        <w:rPr>
          <w:color w:val="auto"/>
          <w:sz w:val="28"/>
          <w:szCs w:val="28"/>
        </w:rPr>
      </w:pPr>
      <w:r>
        <w:rPr>
          <w:color w:val="auto"/>
          <w:sz w:val="28"/>
          <w:szCs w:val="28"/>
        </w:rPr>
        <w:t>（3）生产系统</w:t>
      </w:r>
      <w:r>
        <w:rPr>
          <w:rFonts w:hint="eastAsia"/>
          <w:color w:val="auto"/>
          <w:sz w:val="28"/>
          <w:szCs w:val="28"/>
        </w:rPr>
        <w:t>严格密封，选用可靠的设备和材料，以防泄漏、燃烧和爆炸等条件的形成。</w:t>
      </w:r>
    </w:p>
    <w:p>
      <w:pPr>
        <w:pStyle w:val="8"/>
        <w:spacing w:line="520" w:lineRule="exact"/>
        <w:ind w:firstLine="560"/>
        <w:rPr>
          <w:color w:val="auto"/>
          <w:sz w:val="28"/>
          <w:szCs w:val="28"/>
        </w:rPr>
      </w:pPr>
      <w:r>
        <w:rPr>
          <w:color w:val="auto"/>
          <w:sz w:val="28"/>
          <w:szCs w:val="28"/>
        </w:rPr>
        <w:t>（4）生产过程中关键设备、关键参数均设有压力调节阀和安全阀，避免因系统超温超压而引发火灾爆炸事故。事故</w:t>
      </w:r>
      <w:r>
        <w:rPr>
          <w:rFonts w:hint="eastAsia"/>
          <w:color w:val="auto"/>
          <w:sz w:val="28"/>
          <w:szCs w:val="28"/>
        </w:rPr>
        <w:t>安全阀泻放气</w:t>
      </w:r>
      <w:r>
        <w:rPr>
          <w:color w:val="auto"/>
          <w:sz w:val="28"/>
          <w:szCs w:val="28"/>
        </w:rPr>
        <w:t>及正常生产时</w:t>
      </w:r>
      <w:r>
        <w:rPr>
          <w:rFonts w:hint="eastAsia"/>
          <w:color w:val="auto"/>
          <w:sz w:val="28"/>
          <w:szCs w:val="28"/>
        </w:rPr>
        <w:t>合成釜氢气驰放气</w:t>
      </w:r>
      <w:r>
        <w:rPr>
          <w:color w:val="auto"/>
          <w:sz w:val="28"/>
          <w:szCs w:val="28"/>
        </w:rPr>
        <w:t>均引入火炬系统进行燃烧，达标后高空排放，可以避免易燃易爆气体在装置内的积累。</w:t>
      </w:r>
    </w:p>
    <w:p>
      <w:pPr>
        <w:pStyle w:val="8"/>
        <w:spacing w:line="520" w:lineRule="exact"/>
        <w:ind w:firstLine="560"/>
        <w:rPr>
          <w:color w:val="auto"/>
          <w:sz w:val="28"/>
          <w:szCs w:val="28"/>
        </w:rPr>
      </w:pPr>
      <w:r>
        <w:rPr>
          <w:color w:val="auto"/>
          <w:sz w:val="28"/>
          <w:szCs w:val="28"/>
        </w:rPr>
        <w:t>（5）严格执行化工和劳动部门有关安全生产管理条例。实行持证上岗、定期检测维修，及时更换腐蚀受损设备，避免跑、冒、滴、漏引起废气污染。记录资料保管，岗位责任明确，定期培训职工，提高安全生产和管理能力。企业应设置自动化控制操作系统，减少误操作，避免意外事故发生。</w:t>
      </w:r>
    </w:p>
    <w:p>
      <w:pPr>
        <w:pStyle w:val="29"/>
        <w:outlineLvl w:val="3"/>
      </w:pPr>
      <w:r>
        <w:t xml:space="preserve">7.9.1.3  </w:t>
      </w:r>
      <w:r>
        <w:rPr>
          <w:rFonts w:hint="eastAsia"/>
        </w:rPr>
        <w:t>防火措施</w:t>
      </w:r>
    </w:p>
    <w:p>
      <w:pPr>
        <w:pStyle w:val="8"/>
        <w:spacing w:line="520" w:lineRule="exact"/>
        <w:ind w:firstLineChars="0"/>
        <w:rPr>
          <w:rFonts w:hint="eastAsia"/>
          <w:color w:val="auto"/>
          <w:sz w:val="28"/>
          <w:szCs w:val="28"/>
        </w:rPr>
      </w:pPr>
      <w:r>
        <w:rPr>
          <w:rFonts w:hint="eastAsia"/>
          <w:color w:val="auto"/>
          <w:sz w:val="28"/>
          <w:szCs w:val="28"/>
        </w:rPr>
        <w:t>（</w:t>
      </w:r>
      <w:r>
        <w:rPr>
          <w:color w:val="auto"/>
          <w:sz w:val="28"/>
          <w:szCs w:val="28"/>
        </w:rPr>
        <w:t>1</w:t>
      </w:r>
      <w:r>
        <w:rPr>
          <w:rFonts w:hint="eastAsia"/>
          <w:color w:val="auto"/>
          <w:sz w:val="28"/>
          <w:szCs w:val="28"/>
        </w:rPr>
        <w:t>）工艺</w:t>
      </w:r>
    </w:p>
    <w:p>
      <w:pPr>
        <w:autoSpaceDE w:val="0"/>
        <w:autoSpaceDN w:val="0"/>
        <w:adjustRightInd w:val="0"/>
        <w:spacing w:line="520" w:lineRule="exact"/>
        <w:ind w:firstLine="560" w:firstLineChars="200"/>
        <w:jc w:val="left"/>
        <w:rPr>
          <w:kern w:val="0"/>
          <w:sz w:val="28"/>
          <w:szCs w:val="28"/>
        </w:rPr>
      </w:pPr>
      <w:r>
        <w:rPr>
          <w:kern w:val="0"/>
          <w:sz w:val="28"/>
          <w:szCs w:val="28"/>
        </w:rPr>
        <w:t>有爆炸危险的生产过程，选择物质危险性较小、工艺条件成熟的工艺路线。</w:t>
      </w:r>
    </w:p>
    <w:p>
      <w:pPr>
        <w:autoSpaceDE w:val="0"/>
        <w:autoSpaceDN w:val="0"/>
        <w:adjustRightInd w:val="0"/>
        <w:spacing w:line="520" w:lineRule="exact"/>
        <w:ind w:firstLine="560" w:firstLineChars="200"/>
        <w:jc w:val="left"/>
        <w:rPr>
          <w:kern w:val="0"/>
          <w:sz w:val="28"/>
          <w:szCs w:val="28"/>
        </w:rPr>
      </w:pPr>
      <w:r>
        <w:rPr>
          <w:kern w:val="0"/>
          <w:sz w:val="28"/>
          <w:szCs w:val="28"/>
        </w:rPr>
        <w:t>中试工艺生产装置为露天框架结构。工艺设计中，易燃易爆的危险物料在正常操作条件下均置于密闭的设备和容器中，各个连接处采用可靠的密闭措施。可燃气体输送管线及放空管末端均设置阻火器，所有压力容器和反应器上均设置安全阀。对于因超温超压可能引起火灾危险的设备，设置必要的超温超压的报警、泄压等紧急安全保护措施。设备和管道绝热层设计采用不可燃保温材料。</w:t>
      </w:r>
    </w:p>
    <w:p>
      <w:pPr>
        <w:pStyle w:val="8"/>
        <w:spacing w:line="520" w:lineRule="exact"/>
        <w:ind w:firstLine="560"/>
        <w:rPr>
          <w:color w:val="auto"/>
          <w:sz w:val="28"/>
          <w:szCs w:val="28"/>
        </w:rPr>
      </w:pPr>
      <w:r>
        <w:rPr>
          <w:color w:val="auto"/>
          <w:sz w:val="28"/>
          <w:szCs w:val="28"/>
        </w:rPr>
        <w:t>（2）</w:t>
      </w:r>
      <w:r>
        <w:rPr>
          <w:rFonts w:hint="eastAsia"/>
          <w:color w:val="auto"/>
          <w:sz w:val="28"/>
          <w:szCs w:val="28"/>
        </w:rPr>
        <w:t>自动报警系统</w:t>
      </w:r>
    </w:p>
    <w:p>
      <w:pPr>
        <w:autoSpaceDE w:val="0"/>
        <w:autoSpaceDN w:val="0"/>
        <w:adjustRightInd w:val="0"/>
        <w:spacing w:line="520" w:lineRule="exact"/>
        <w:ind w:firstLine="560" w:firstLineChars="200"/>
        <w:jc w:val="left"/>
        <w:rPr>
          <w:kern w:val="0"/>
          <w:sz w:val="28"/>
          <w:szCs w:val="28"/>
        </w:rPr>
      </w:pPr>
      <w:r>
        <w:rPr>
          <w:kern w:val="0"/>
          <w:sz w:val="28"/>
          <w:szCs w:val="28"/>
        </w:rPr>
        <w:t>本项目设计一套火灾自动报警系统，实现对重要的生产工序、设备的火灾监视、报警和灭火控制</w:t>
      </w:r>
      <w:r>
        <w:rPr>
          <w:rFonts w:hint="eastAsia"/>
          <w:kern w:val="0"/>
          <w:sz w:val="28"/>
          <w:szCs w:val="28"/>
        </w:rPr>
        <w:t>。</w:t>
      </w:r>
    </w:p>
    <w:p>
      <w:pPr>
        <w:autoSpaceDE w:val="0"/>
        <w:autoSpaceDN w:val="0"/>
        <w:adjustRightInd w:val="0"/>
        <w:spacing w:line="520" w:lineRule="exact"/>
        <w:ind w:firstLine="560" w:firstLineChars="200"/>
        <w:jc w:val="left"/>
        <w:rPr>
          <w:kern w:val="0"/>
          <w:sz w:val="28"/>
          <w:szCs w:val="28"/>
        </w:rPr>
      </w:pPr>
      <w:r>
        <w:rPr>
          <w:kern w:val="0"/>
          <w:sz w:val="28"/>
          <w:szCs w:val="28"/>
        </w:rPr>
        <w:t>装置内火灾自动报警系统接入依托装置的火灾报警控制器上。</w:t>
      </w:r>
    </w:p>
    <w:p>
      <w:pPr>
        <w:autoSpaceDE w:val="0"/>
        <w:autoSpaceDN w:val="0"/>
        <w:adjustRightInd w:val="0"/>
        <w:spacing w:line="520" w:lineRule="exact"/>
        <w:ind w:firstLine="560" w:firstLineChars="200"/>
        <w:jc w:val="left"/>
        <w:rPr>
          <w:kern w:val="0"/>
          <w:sz w:val="28"/>
          <w:szCs w:val="28"/>
        </w:rPr>
      </w:pPr>
      <w:r>
        <w:rPr>
          <w:kern w:val="0"/>
          <w:sz w:val="28"/>
          <w:szCs w:val="28"/>
        </w:rPr>
        <w:t>根据生产工艺、环境及火灾性质设置感烟、感温探测器、红外对射感烟探测器、感温电缆，各防火区域设置手动报警按钮，火灾声光报警信号装置等。</w:t>
      </w:r>
    </w:p>
    <w:p>
      <w:pPr>
        <w:pStyle w:val="8"/>
        <w:spacing w:line="520" w:lineRule="exact"/>
        <w:ind w:firstLine="560"/>
        <w:rPr>
          <w:color w:val="auto"/>
          <w:kern w:val="0"/>
          <w:sz w:val="28"/>
          <w:szCs w:val="28"/>
        </w:rPr>
      </w:pPr>
      <w:r>
        <w:rPr>
          <w:color w:val="auto"/>
          <w:kern w:val="0"/>
          <w:sz w:val="28"/>
          <w:szCs w:val="28"/>
        </w:rPr>
        <w:t>由区域报警控制器控制各自的防排烟系统、非消防电源、火灾警报器等。</w:t>
      </w:r>
    </w:p>
    <w:p>
      <w:pPr>
        <w:pStyle w:val="8"/>
        <w:spacing w:line="520" w:lineRule="exact"/>
        <w:ind w:firstLine="560"/>
        <w:rPr>
          <w:color w:val="auto"/>
          <w:kern w:val="0"/>
          <w:sz w:val="28"/>
          <w:szCs w:val="28"/>
        </w:rPr>
      </w:pPr>
      <w:r>
        <w:rPr>
          <w:rFonts w:hint="eastAsia"/>
          <w:color w:val="auto"/>
          <w:kern w:val="0"/>
          <w:sz w:val="28"/>
          <w:szCs w:val="28"/>
        </w:rPr>
        <w:t>（3）电气及自控</w:t>
      </w:r>
    </w:p>
    <w:p>
      <w:pPr>
        <w:autoSpaceDE w:val="0"/>
        <w:autoSpaceDN w:val="0"/>
        <w:adjustRightInd w:val="0"/>
        <w:spacing w:line="520" w:lineRule="exact"/>
        <w:ind w:firstLine="560" w:firstLineChars="200"/>
        <w:jc w:val="left"/>
        <w:rPr>
          <w:kern w:val="0"/>
          <w:sz w:val="28"/>
          <w:szCs w:val="28"/>
        </w:rPr>
      </w:pPr>
      <w:r>
        <w:rPr>
          <w:rFonts w:hint="eastAsia"/>
          <w:kern w:val="0"/>
          <w:sz w:val="28"/>
          <w:szCs w:val="28"/>
        </w:rPr>
        <w:t>在工艺生产装置等处的出入口等场所设置事故应急照明，保障失火时操作人员的安全疏散；在需要防雷击的建、构筑物顶上装设避雷针或避雷带作为接闪器保护；工艺生产过程中产生静电的设备和管道设防静电接地，并与全厂接地装置相连；防爆区内的电气设备、仪表及照明按防爆等级设置。</w:t>
      </w:r>
    </w:p>
    <w:p>
      <w:pPr>
        <w:autoSpaceDE w:val="0"/>
        <w:autoSpaceDN w:val="0"/>
        <w:adjustRightInd w:val="0"/>
        <w:spacing w:line="520" w:lineRule="exact"/>
        <w:ind w:firstLine="560" w:firstLineChars="200"/>
        <w:jc w:val="left"/>
        <w:rPr>
          <w:kern w:val="0"/>
          <w:sz w:val="28"/>
          <w:szCs w:val="28"/>
        </w:rPr>
      </w:pPr>
      <w:r>
        <w:rPr>
          <w:rFonts w:hint="eastAsia"/>
          <w:kern w:val="0"/>
          <w:sz w:val="28"/>
          <w:szCs w:val="28"/>
        </w:rPr>
        <w:t>在工艺生产装置等有可能泄漏可燃气体的地方设可燃气体探测器；在控制室等处设置声光警报器，生产装置设置防爆声光警报器，以便发生火情时提示人员疏散。</w:t>
      </w:r>
    </w:p>
    <w:p>
      <w:pPr>
        <w:pStyle w:val="8"/>
        <w:spacing w:line="520" w:lineRule="exact"/>
        <w:ind w:firstLine="560"/>
        <w:rPr>
          <w:color w:val="auto"/>
          <w:kern w:val="0"/>
          <w:sz w:val="28"/>
          <w:szCs w:val="28"/>
        </w:rPr>
      </w:pPr>
      <w:r>
        <w:rPr>
          <w:color w:val="auto"/>
          <w:kern w:val="0"/>
          <w:sz w:val="28"/>
          <w:szCs w:val="28"/>
        </w:rPr>
        <w:t>（4）消防系统</w:t>
      </w:r>
    </w:p>
    <w:p>
      <w:pPr>
        <w:autoSpaceDE w:val="0"/>
        <w:autoSpaceDN w:val="0"/>
        <w:adjustRightInd w:val="0"/>
        <w:spacing w:line="520" w:lineRule="exact"/>
        <w:ind w:firstLine="560" w:firstLineChars="200"/>
        <w:jc w:val="left"/>
        <w:rPr>
          <w:kern w:val="0"/>
          <w:sz w:val="28"/>
          <w:szCs w:val="28"/>
        </w:rPr>
      </w:pPr>
      <w:r>
        <w:rPr>
          <w:kern w:val="0"/>
          <w:sz w:val="28"/>
          <w:szCs w:val="28"/>
        </w:rPr>
        <w:t>从界外厂区的稳高压消防给水管的不同管线上引入2根稳高压消防水管，沿装置形成环状消防给水管网。</w:t>
      </w:r>
    </w:p>
    <w:p>
      <w:pPr>
        <w:autoSpaceDE w:val="0"/>
        <w:autoSpaceDN w:val="0"/>
        <w:adjustRightInd w:val="0"/>
        <w:spacing w:line="520" w:lineRule="exact"/>
        <w:ind w:firstLine="560" w:firstLineChars="200"/>
        <w:jc w:val="left"/>
        <w:rPr>
          <w:kern w:val="0"/>
          <w:sz w:val="28"/>
          <w:szCs w:val="28"/>
        </w:rPr>
      </w:pPr>
      <w:r>
        <w:rPr>
          <w:kern w:val="0"/>
          <w:sz w:val="28"/>
          <w:szCs w:val="28"/>
        </w:rPr>
        <w:t>根据装置区不同工段、不同工艺要求和火灾危险等级，按照《石油化工企业设计防火标准》和《建筑灭火器配置设计规范》的要求，在生产区域设置MF/ABC8型手提式磷酸铵盐干粉灭火器和MFT/ABC20型推车式磷酸铵盐干粉灭火器、公用和辅助设施设置MF/ABC5型手提式磷酸铵盐干粉灭火器、机柜间设置MT7型二氧化碳灭火器。</w:t>
      </w:r>
    </w:p>
    <w:p>
      <w:pPr>
        <w:pStyle w:val="29"/>
        <w:outlineLvl w:val="3"/>
      </w:pPr>
      <w:r>
        <w:t xml:space="preserve">7.9.1.4  </w:t>
      </w:r>
      <w:r>
        <w:rPr>
          <w:rFonts w:hint="eastAsia"/>
        </w:rPr>
        <w:t>运输的风险防范措施</w:t>
      </w:r>
    </w:p>
    <w:p>
      <w:pPr>
        <w:spacing w:line="520" w:lineRule="exact"/>
        <w:ind w:firstLine="560" w:firstLineChars="200"/>
        <w:rPr>
          <w:sz w:val="28"/>
          <w:szCs w:val="28"/>
        </w:rPr>
      </w:pPr>
      <w:r>
        <w:rPr>
          <w:sz w:val="28"/>
          <w:szCs w:val="28"/>
        </w:rPr>
        <w:t>本项目</w:t>
      </w:r>
      <w:r>
        <w:rPr>
          <w:rFonts w:hint="eastAsia"/>
          <w:sz w:val="28"/>
          <w:szCs w:val="28"/>
        </w:rPr>
        <w:t>主要原料均利用大化公司现有工程，外购原料主要为秸秆糖水溶液，外售物料主要是乙二醇、1.2-丙二醇，</w:t>
      </w:r>
      <w:r>
        <w:rPr>
          <w:sz w:val="28"/>
          <w:szCs w:val="28"/>
        </w:rPr>
        <w:t>一旦在运输过程中出现危险化学品泄漏事故，有可能会造成区域地表土壤、地表水体、甚至地下水体的严重污染，建设单位应</w:t>
      </w:r>
      <w:r>
        <w:rPr>
          <w:rFonts w:hint="eastAsia"/>
          <w:sz w:val="28"/>
          <w:szCs w:val="28"/>
        </w:rPr>
        <w:t>给予</w:t>
      </w:r>
      <w:r>
        <w:rPr>
          <w:sz w:val="28"/>
          <w:szCs w:val="28"/>
        </w:rPr>
        <w:t>充分重视。项目涉及的各种危险化学品原料运输均由专业运输企业承担，建设单位将与运输企业签订责任协议，协议中规定运输任务及相应的安全责任。本项目化学危险品的运输应符合以下要求：</w:t>
      </w:r>
    </w:p>
    <w:p>
      <w:pPr>
        <w:spacing w:line="520" w:lineRule="exact"/>
        <w:ind w:firstLine="560" w:firstLineChars="200"/>
        <w:rPr>
          <w:sz w:val="28"/>
          <w:szCs w:val="28"/>
        </w:rPr>
      </w:pPr>
      <w:r>
        <w:rPr>
          <w:rFonts w:hint="eastAsia"/>
          <w:sz w:val="28"/>
          <w:szCs w:val="28"/>
        </w:rPr>
        <w:t>（1）</w:t>
      </w:r>
      <w:r>
        <w:rPr>
          <w:sz w:val="28"/>
          <w:szCs w:val="28"/>
        </w:rPr>
        <w:t>严格按照《危险化学品安全管理条例》的规定进行危险化学品的运输、使用、贮存。</w:t>
      </w:r>
    </w:p>
    <w:p>
      <w:pPr>
        <w:spacing w:line="520" w:lineRule="exact"/>
        <w:ind w:firstLine="560" w:firstLineChars="200"/>
        <w:rPr>
          <w:sz w:val="28"/>
          <w:szCs w:val="28"/>
        </w:rPr>
      </w:pPr>
      <w:r>
        <w:rPr>
          <w:rFonts w:hint="eastAsia"/>
          <w:sz w:val="28"/>
          <w:szCs w:val="28"/>
        </w:rPr>
        <w:t>（2）</w:t>
      </w:r>
      <w:r>
        <w:rPr>
          <w:sz w:val="28"/>
          <w:szCs w:val="28"/>
        </w:rPr>
        <w:t>危险化学品的包装、容器应是定点单位生产，并经检测、检验合格，方可使用。</w:t>
      </w:r>
    </w:p>
    <w:p>
      <w:pPr>
        <w:spacing w:line="520" w:lineRule="exact"/>
        <w:ind w:firstLine="560" w:firstLineChars="200"/>
        <w:rPr>
          <w:sz w:val="28"/>
          <w:szCs w:val="28"/>
        </w:rPr>
      </w:pPr>
      <w:r>
        <w:rPr>
          <w:rFonts w:hint="eastAsia"/>
          <w:sz w:val="28"/>
          <w:szCs w:val="28"/>
        </w:rPr>
        <w:t>（3）</w:t>
      </w:r>
      <w:r>
        <w:rPr>
          <w:sz w:val="28"/>
          <w:szCs w:val="28"/>
        </w:rPr>
        <w:t>危险品运输单位必须取得《道路危险货物非营业运输证》，有关人员必须取得《道路危险货物运输操作证》和有关专业培训考核，车辆应有危运证，司机、押运员应有上岗证。</w:t>
      </w:r>
    </w:p>
    <w:p>
      <w:pPr>
        <w:spacing w:line="520" w:lineRule="exact"/>
        <w:ind w:firstLine="560" w:firstLineChars="200"/>
        <w:rPr>
          <w:sz w:val="28"/>
          <w:szCs w:val="28"/>
        </w:rPr>
      </w:pPr>
      <w:r>
        <w:rPr>
          <w:rFonts w:hint="eastAsia"/>
          <w:sz w:val="28"/>
          <w:szCs w:val="28"/>
        </w:rPr>
        <w:t>（4）</w:t>
      </w:r>
      <w:r>
        <w:rPr>
          <w:sz w:val="28"/>
          <w:szCs w:val="28"/>
        </w:rPr>
        <w:t>运输危险化学品的车辆后部安装告示牌，告示牌上标明危险化学品的名称、种类、罐体容积、最大载质量、注意事项、施救方法、企业联系电话。</w:t>
      </w:r>
    </w:p>
    <w:p>
      <w:pPr>
        <w:spacing w:line="520" w:lineRule="exact"/>
        <w:ind w:firstLine="560" w:firstLineChars="200"/>
        <w:rPr>
          <w:sz w:val="28"/>
          <w:szCs w:val="28"/>
        </w:rPr>
      </w:pPr>
      <w:r>
        <w:rPr>
          <w:rFonts w:hint="eastAsia"/>
          <w:sz w:val="28"/>
          <w:szCs w:val="28"/>
        </w:rPr>
        <w:t>（</w:t>
      </w:r>
      <w:r>
        <w:rPr>
          <w:sz w:val="28"/>
          <w:szCs w:val="28"/>
        </w:rPr>
        <w:t>5</w:t>
      </w:r>
      <w:r>
        <w:rPr>
          <w:rFonts w:hint="eastAsia"/>
          <w:sz w:val="28"/>
          <w:szCs w:val="28"/>
        </w:rPr>
        <w:t>）</w:t>
      </w:r>
      <w:r>
        <w:rPr>
          <w:sz w:val="28"/>
          <w:szCs w:val="28"/>
        </w:rPr>
        <w:t>危险化学品运输单位应具有公安部门核发的公路运输通行证，并由公安部门核发对危险化学品道路运输安全实施监督。</w:t>
      </w:r>
    </w:p>
    <w:p>
      <w:pPr>
        <w:spacing w:line="520" w:lineRule="exact"/>
        <w:ind w:firstLine="560" w:firstLineChars="200"/>
        <w:rPr>
          <w:sz w:val="28"/>
          <w:szCs w:val="28"/>
        </w:rPr>
      </w:pPr>
      <w:r>
        <w:rPr>
          <w:rFonts w:hint="eastAsia"/>
          <w:sz w:val="28"/>
          <w:szCs w:val="28"/>
        </w:rPr>
        <w:t>（</w:t>
      </w:r>
      <w:r>
        <w:rPr>
          <w:sz w:val="28"/>
          <w:szCs w:val="28"/>
        </w:rPr>
        <w:t>6</w:t>
      </w:r>
      <w:r>
        <w:rPr>
          <w:rFonts w:hint="eastAsia"/>
          <w:sz w:val="28"/>
          <w:szCs w:val="28"/>
        </w:rPr>
        <w:t>）</w:t>
      </w:r>
      <w:r>
        <w:rPr>
          <w:sz w:val="28"/>
          <w:szCs w:val="28"/>
        </w:rPr>
        <w:t>运输车辆随车携带包括危险化学品名称、数量、危害性、运输始发地、目的地、运输路线、驾驶员姓名、押运员姓名及运输、经营、单位名称等内容的资料，以及必要的应急处理器材、防护用品和应急措施指导手册。</w:t>
      </w:r>
    </w:p>
    <w:p>
      <w:pPr>
        <w:spacing w:line="520" w:lineRule="exact"/>
        <w:ind w:firstLine="560" w:firstLineChars="200"/>
        <w:rPr>
          <w:sz w:val="28"/>
          <w:szCs w:val="28"/>
        </w:rPr>
      </w:pPr>
      <w:r>
        <w:rPr>
          <w:rFonts w:hint="eastAsia"/>
          <w:sz w:val="28"/>
          <w:szCs w:val="28"/>
        </w:rPr>
        <w:t>（</w:t>
      </w:r>
      <w:r>
        <w:rPr>
          <w:sz w:val="28"/>
          <w:szCs w:val="28"/>
        </w:rPr>
        <w:t>7</w:t>
      </w:r>
      <w:r>
        <w:rPr>
          <w:rFonts w:hint="eastAsia"/>
          <w:sz w:val="28"/>
          <w:szCs w:val="28"/>
        </w:rPr>
        <w:t>）</w:t>
      </w:r>
      <w:r>
        <w:rPr>
          <w:sz w:val="28"/>
          <w:szCs w:val="28"/>
        </w:rPr>
        <w:t>化学品运输车辆在行驶、停车时要与其他车辆、高压线、人口稠密区、高大建筑物、政府机关、桥梁、水源保护区和重点文物保护区保持一定的安全距离。</w:t>
      </w:r>
    </w:p>
    <w:p>
      <w:pPr>
        <w:spacing w:line="520" w:lineRule="exact"/>
        <w:ind w:firstLine="560" w:firstLineChars="200"/>
        <w:rPr>
          <w:sz w:val="28"/>
          <w:szCs w:val="28"/>
        </w:rPr>
      </w:pPr>
      <w:r>
        <w:rPr>
          <w:rFonts w:hint="eastAsia"/>
          <w:sz w:val="28"/>
          <w:szCs w:val="28"/>
        </w:rPr>
        <w:t>（</w:t>
      </w:r>
      <w:r>
        <w:rPr>
          <w:sz w:val="28"/>
          <w:szCs w:val="28"/>
        </w:rPr>
        <w:t>8</w:t>
      </w:r>
      <w:r>
        <w:rPr>
          <w:rFonts w:hint="eastAsia"/>
          <w:sz w:val="28"/>
          <w:szCs w:val="28"/>
        </w:rPr>
        <w:t>）</w:t>
      </w:r>
      <w:r>
        <w:rPr>
          <w:sz w:val="28"/>
          <w:szCs w:val="28"/>
        </w:rPr>
        <w:t>按当地公安机关指定的路线和规定时间行驶，严禁超车、超速、超重，防止摩擦、冲击，车上应设置相应的劳动保护用品和配各必要的紧急处理工具。</w:t>
      </w:r>
    </w:p>
    <w:p>
      <w:pPr>
        <w:spacing w:line="520" w:lineRule="exact"/>
        <w:ind w:firstLine="560" w:firstLineChars="200"/>
        <w:rPr>
          <w:sz w:val="28"/>
          <w:szCs w:val="28"/>
        </w:rPr>
      </w:pPr>
      <w:r>
        <w:rPr>
          <w:rFonts w:hint="eastAsia"/>
          <w:sz w:val="28"/>
          <w:szCs w:val="28"/>
        </w:rPr>
        <w:t>同时，</w:t>
      </w:r>
      <w:r>
        <w:rPr>
          <w:sz w:val="28"/>
          <w:szCs w:val="28"/>
        </w:rPr>
        <w:t>建设单位应针对项目涉及的各种危险化学品运输制定相应的应急响应程序。</w:t>
      </w:r>
    </w:p>
    <w:p>
      <w:pPr>
        <w:spacing w:line="520" w:lineRule="exact"/>
        <w:ind w:firstLine="560" w:firstLineChars="200"/>
        <w:rPr>
          <w:sz w:val="28"/>
          <w:szCs w:val="28"/>
        </w:rPr>
      </w:pPr>
      <w:r>
        <w:rPr>
          <w:sz w:val="28"/>
          <w:szCs w:val="28"/>
        </w:rPr>
        <w:t>（1）如在运输过程中出现泄漏事故，司机及押运员应尽快使用车上配备的应急设施进行堵漏，同时利用沙土对地面事故液体进行围堵，防止或减少事故液进入地表水体，并第一时间向当地安全环保主管部门报告，向当地公安、消防等部门求助，按相关规范设置应急隔离防护带。</w:t>
      </w:r>
    </w:p>
    <w:p>
      <w:pPr>
        <w:spacing w:line="520" w:lineRule="exact"/>
        <w:ind w:firstLine="560" w:firstLineChars="200"/>
        <w:rPr>
          <w:sz w:val="28"/>
          <w:szCs w:val="28"/>
        </w:rPr>
      </w:pPr>
      <w:r>
        <w:rPr>
          <w:sz w:val="28"/>
          <w:szCs w:val="28"/>
        </w:rPr>
        <w:t>（2）如化学品泄漏进入地表水体，建设单位及运输方应配合当地政府会同安全、环保、水利、消防、公安等部门参照国内同类型运输事故应急处理实例制定事故应急处理方案。</w:t>
      </w:r>
    </w:p>
    <w:p>
      <w:pPr>
        <w:spacing w:line="520" w:lineRule="exact"/>
        <w:ind w:firstLine="560" w:firstLineChars="200"/>
        <w:rPr>
          <w:sz w:val="28"/>
          <w:szCs w:val="28"/>
        </w:rPr>
      </w:pPr>
      <w:r>
        <w:rPr>
          <w:sz w:val="28"/>
          <w:szCs w:val="28"/>
        </w:rPr>
        <w:t>（3）事故应急处理结束后，建设单位应配合相关部门做好善后工作。</w:t>
      </w:r>
    </w:p>
    <w:p>
      <w:pPr>
        <w:pStyle w:val="29"/>
        <w:outlineLvl w:val="3"/>
      </w:pPr>
      <w:r>
        <w:t xml:space="preserve">7.9.1.5  </w:t>
      </w:r>
      <w:r>
        <w:rPr>
          <w:rFonts w:hint="eastAsia"/>
        </w:rPr>
        <w:t>大气</w:t>
      </w:r>
      <w:r>
        <w:t>风险事故防范措施</w:t>
      </w:r>
    </w:p>
    <w:p>
      <w:pPr>
        <w:pStyle w:val="8"/>
        <w:spacing w:line="520" w:lineRule="exact"/>
        <w:ind w:firstLine="560"/>
        <w:rPr>
          <w:color w:val="auto"/>
          <w:sz w:val="28"/>
          <w:szCs w:val="28"/>
        </w:rPr>
      </w:pPr>
      <w:r>
        <w:rPr>
          <w:rFonts w:hint="eastAsia"/>
          <w:color w:val="auto"/>
          <w:sz w:val="28"/>
          <w:szCs w:val="28"/>
        </w:rPr>
        <w:t>项目无须设置环境防护距离；工程在总图布置、工艺技术、自动控制等工程实施过程中严格执行国家及行业现行设计、施工及验收规范；</w:t>
      </w:r>
      <w:r>
        <w:rPr>
          <w:rFonts w:hint="eastAsia"/>
          <w:color w:val="auto"/>
          <w:sz w:val="28"/>
          <w:szCs w:val="22"/>
        </w:rPr>
        <w:t>在可燃或有毒气体可能泄漏和聚积的场合，设置可燃气体或有毒气体检测报警系统</w:t>
      </w:r>
      <w:r>
        <w:rPr>
          <w:rFonts w:hint="eastAsia"/>
          <w:color w:val="auto"/>
          <w:sz w:val="28"/>
          <w:szCs w:val="28"/>
        </w:rPr>
        <w:t>；各装置内设有紧急事故泄压排放系统，泄放气体密闭排入火炬系统。</w:t>
      </w:r>
    </w:p>
    <w:p>
      <w:pPr>
        <w:spacing w:line="520" w:lineRule="exact"/>
        <w:ind w:firstLine="560" w:firstLineChars="200"/>
        <w:rPr>
          <w:sz w:val="28"/>
          <w:szCs w:val="28"/>
        </w:rPr>
      </w:pPr>
      <w:r>
        <w:rPr>
          <w:rFonts w:hint="eastAsia"/>
          <w:sz w:val="28"/>
          <w:szCs w:val="28"/>
        </w:rPr>
        <w:t>发生事故时，影响范围内和公司厂区内的人员均应及时撤离，应急疏散路线见图7</w:t>
      </w:r>
      <w:r>
        <w:rPr>
          <w:sz w:val="28"/>
          <w:szCs w:val="28"/>
        </w:rPr>
        <w:t>.9</w:t>
      </w:r>
      <w:r>
        <w:rPr>
          <w:rFonts w:hint="eastAsia"/>
          <w:sz w:val="28"/>
          <w:szCs w:val="28"/>
        </w:rPr>
        <w:t>-</w:t>
      </w:r>
      <w:r>
        <w:rPr>
          <w:sz w:val="28"/>
          <w:szCs w:val="28"/>
        </w:rPr>
        <w:t>1</w:t>
      </w:r>
      <w:r>
        <w:rPr>
          <w:rFonts w:hint="eastAsia"/>
          <w:sz w:val="28"/>
          <w:szCs w:val="28"/>
        </w:rPr>
        <w:t>。</w:t>
      </w:r>
    </w:p>
    <w:p>
      <w:pPr>
        <w:rPr>
          <w:sz w:val="28"/>
          <w:szCs w:val="28"/>
        </w:rPr>
        <w:sectPr>
          <w:footerReference r:id="rId18" w:type="default"/>
          <w:pgSz w:w="11906" w:h="16838"/>
          <w:pgMar w:top="1474" w:right="1474" w:bottom="1474" w:left="1474" w:header="851" w:footer="851" w:gutter="0"/>
          <w:pgNumType w:chapStyle="1"/>
          <w:cols w:space="720" w:num="1"/>
          <w:docGrid w:linePitch="312" w:charSpace="0"/>
        </w:sectPr>
      </w:pPr>
    </w:p>
    <w:p>
      <w:pPr>
        <w:jc w:val="center"/>
        <w:rPr>
          <w:sz w:val="28"/>
          <w:szCs w:val="28"/>
        </w:rPr>
      </w:pPr>
      <w:r>
        <w:rPr>
          <w:sz w:val="28"/>
          <w:szCs w:val="28"/>
        </w:rPr>
        <mc:AlternateContent>
          <mc:Choice Requires="wps">
            <w:drawing>
              <wp:anchor distT="0" distB="0" distL="114300" distR="114300" simplePos="0" relativeHeight="251679744" behindDoc="0" locked="0" layoutInCell="1" allowOverlap="1">
                <wp:simplePos x="0" y="0"/>
                <wp:positionH relativeFrom="column">
                  <wp:posOffset>2557780</wp:posOffset>
                </wp:positionH>
                <wp:positionV relativeFrom="paragraph">
                  <wp:posOffset>2947670</wp:posOffset>
                </wp:positionV>
                <wp:extent cx="222885" cy="5715"/>
                <wp:effectExtent l="0" t="34290" r="5715" b="36195"/>
                <wp:wrapNone/>
                <wp:docPr id="104" name="直接箭头连接符 104"/>
                <wp:cNvGraphicFramePr/>
                <a:graphic xmlns:a="http://schemas.openxmlformats.org/drawingml/2006/main">
                  <a:graphicData uri="http://schemas.microsoft.com/office/word/2010/wordprocessingShape">
                    <wps:wsp>
                      <wps:cNvCnPr/>
                      <wps:spPr>
                        <a:xfrm>
                          <a:off x="0" y="0"/>
                          <a:ext cx="222885" cy="5715"/>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1.4pt;margin-top:232.1pt;height:0.45pt;width:17.55pt;z-index:251679744;mso-width-relative:page;mso-height-relative:page;" o:connectortype="straight" filled="f" stroked="t" coordsize="21600,21600" o:gfxdata="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H9nLNUAAAALAQAADwAAAAAAAAABACAAAAAiAAAA&#10;ZHJzL2Rvd25yZXYueG1sUEsBAhQAFAAAAAgAh07iQHKLWFsKAgAA9wMAAA4AAAAAAAAAAQAgAAAA&#10;JAEAAGRycy9lMm9Eb2MueG1sUEsFBgAAAAAGAAYAWQEAAKAFA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78720" behindDoc="0" locked="0" layoutInCell="1" allowOverlap="1">
                <wp:simplePos x="0" y="0"/>
                <wp:positionH relativeFrom="column">
                  <wp:posOffset>2042795</wp:posOffset>
                </wp:positionH>
                <wp:positionV relativeFrom="paragraph">
                  <wp:posOffset>3096260</wp:posOffset>
                </wp:positionV>
                <wp:extent cx="838200" cy="263525"/>
                <wp:effectExtent l="0" t="0" r="0" b="0"/>
                <wp:wrapNone/>
                <wp:docPr id="111" name="矩形 111"/>
                <wp:cNvGraphicFramePr/>
                <a:graphic xmlns:a="http://schemas.openxmlformats.org/drawingml/2006/main">
                  <a:graphicData uri="http://schemas.microsoft.com/office/word/2010/wordprocessingShape">
                    <wps:wsp>
                      <wps:cNvSpPr/>
                      <wps:spPr>
                        <a:xfrm>
                          <a:off x="0" y="0"/>
                          <a:ext cx="838200" cy="263525"/>
                        </a:xfrm>
                        <a:prstGeom prst="rect">
                          <a:avLst/>
                        </a:prstGeom>
                        <a:noFill/>
                        <a:ln w="15875">
                          <a:noFill/>
                        </a:ln>
                      </wps:spPr>
                      <wps:txbx>
                        <w:txbxContent>
                          <w:p>
                            <w:pPr>
                              <w:jc w:val="center"/>
                              <w:rPr>
                                <w:b/>
                                <w:bCs/>
                                <w:color w:val="FF0000"/>
                              </w:rPr>
                            </w:pPr>
                            <w:r>
                              <w:rPr>
                                <w:rFonts w:hint="eastAsia"/>
                                <w:b/>
                                <w:bCs/>
                                <w:color w:val="FF0000"/>
                              </w:rPr>
                              <w:t>项目位置</w:t>
                            </w:r>
                          </w:p>
                        </w:txbxContent>
                      </wps:txbx>
                      <wps:bodyPr upright="1"/>
                    </wps:wsp>
                  </a:graphicData>
                </a:graphic>
              </wp:anchor>
            </w:drawing>
          </mc:Choice>
          <mc:Fallback>
            <w:pict>
              <v:rect id="_x0000_s1026" o:spid="_x0000_s1026" o:spt="1" style="position:absolute;left:0pt;margin-left:160.85pt;margin-top:243.8pt;height:20.75pt;width:66pt;z-index:251678720;mso-width-relative:page;mso-height-relative:page;" filled="f" stroked="f" coordsize="21600,21600" o:gfxdata="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h5qMNoA&#10;AAALAQAADwAAAAAAAAABACAAAAAiAAAAZHJzL2Rvd25yZXYueG1sUEsBAhQAFAAAAAgAh07iQNcX&#10;XQqrAQAATgMAAA4AAAAAAAAAAQAgAAAAKQEAAGRycy9lMm9Eb2MueG1sUEsFBgAAAAAGAAYAWQEA&#10;AEYFAAAAAA==&#10;">
                <v:fill on="f" focussize="0,0"/>
                <v:stroke on="f" weight="1.25pt"/>
                <v:imagedata o:title=""/>
                <o:lock v:ext="edit" aspectratio="f"/>
                <v:textbox>
                  <w:txbxContent>
                    <w:p>
                      <w:pPr>
                        <w:jc w:val="center"/>
                        <w:rPr>
                          <w:b/>
                          <w:bCs/>
                          <w:color w:val="FF0000"/>
                        </w:rPr>
                      </w:pPr>
                      <w:r>
                        <w:rPr>
                          <w:rFonts w:hint="eastAsia"/>
                          <w:b/>
                          <w:bCs/>
                          <w:color w:val="FF0000"/>
                        </w:rPr>
                        <w:t>项目位置</w:t>
                      </w:r>
                    </w:p>
                  </w:txbxContent>
                </v:textbox>
              </v:rect>
            </w:pict>
          </mc:Fallback>
        </mc:AlternateContent>
      </w:r>
      <w:r>
        <w:rPr>
          <w:sz w:val="28"/>
          <w:szCs w:val="28"/>
        </w:rPr>
        <mc:AlternateContent>
          <mc:Choice Requires="wps">
            <w:drawing>
              <wp:anchor distT="0" distB="0" distL="114300" distR="114300" simplePos="0" relativeHeight="251677696" behindDoc="0" locked="0" layoutInCell="1" allowOverlap="1">
                <wp:simplePos x="0" y="0"/>
                <wp:positionH relativeFrom="column">
                  <wp:posOffset>2042795</wp:posOffset>
                </wp:positionH>
                <wp:positionV relativeFrom="paragraph">
                  <wp:posOffset>930910</wp:posOffset>
                </wp:positionV>
                <wp:extent cx="838200" cy="444500"/>
                <wp:effectExtent l="0" t="0" r="0" b="0"/>
                <wp:wrapNone/>
                <wp:docPr id="112" name="矩形 112"/>
                <wp:cNvGraphicFramePr/>
                <a:graphic xmlns:a="http://schemas.openxmlformats.org/drawingml/2006/main">
                  <a:graphicData uri="http://schemas.microsoft.com/office/word/2010/wordprocessingShape">
                    <wps:wsp>
                      <wps:cNvSpPr/>
                      <wps:spPr>
                        <a:xfrm>
                          <a:off x="0" y="0"/>
                          <a:ext cx="838200" cy="444500"/>
                        </a:xfrm>
                        <a:prstGeom prst="rect">
                          <a:avLst/>
                        </a:prstGeom>
                        <a:noFill/>
                        <a:ln w="15875">
                          <a:noFill/>
                        </a:ln>
                      </wps:spPr>
                      <wps:txbx>
                        <w:txbxContent>
                          <w:p>
                            <w:pPr>
                              <w:jc w:val="center"/>
                              <w:rPr>
                                <w:b/>
                                <w:bCs/>
                                <w:color w:val="FF00FF"/>
                              </w:rPr>
                            </w:pPr>
                            <w:r>
                              <w:rPr>
                                <w:rFonts w:hint="eastAsia"/>
                                <w:b/>
                                <w:bCs/>
                                <w:color w:val="FF00FF"/>
                              </w:rPr>
                              <w:t>永金化工</w:t>
                            </w:r>
                          </w:p>
                          <w:p>
                            <w:pPr>
                              <w:jc w:val="center"/>
                              <w:rPr>
                                <w:b/>
                                <w:bCs/>
                                <w:color w:val="FF00FF"/>
                              </w:rPr>
                            </w:pPr>
                            <w:r>
                              <w:rPr>
                                <w:rFonts w:hint="eastAsia"/>
                                <w:b/>
                                <w:bCs/>
                                <w:color w:val="FF00FF"/>
                              </w:rPr>
                              <w:t>厂区门口</w:t>
                            </w:r>
                          </w:p>
                        </w:txbxContent>
                      </wps:txbx>
                      <wps:bodyPr upright="1"/>
                    </wps:wsp>
                  </a:graphicData>
                </a:graphic>
              </wp:anchor>
            </w:drawing>
          </mc:Choice>
          <mc:Fallback>
            <w:pict>
              <v:rect id="_x0000_s1026" o:spid="_x0000_s1026" o:spt="1" style="position:absolute;left:0pt;margin-left:160.85pt;margin-top:73.3pt;height:35pt;width:66pt;z-index:251677696;mso-width-relative:page;mso-height-relative:page;" filled="f" stroked="f" coordsize="21600,21600" o:gfxdata="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wrPEtkA&#10;AAALAQAADwAAAAAAAAABACAAAAAiAAAAZHJzL2Rvd25yZXYueG1sUEsBAhQAFAAAAAgAh07iQC+1&#10;iaGsAQAATgMAAA4AAAAAAAAAAQAgAAAAKAEAAGRycy9lMm9Eb2MueG1sUEsFBgAAAAAGAAYAWQEA&#10;AEYFAAAAAA==&#10;">
                <v:fill on="f" focussize="0,0"/>
                <v:stroke on="f" weight="1.25pt"/>
                <v:imagedata o:title=""/>
                <o:lock v:ext="edit" aspectratio="f"/>
                <v:textbox>
                  <w:txbxContent>
                    <w:p>
                      <w:pPr>
                        <w:jc w:val="center"/>
                        <w:rPr>
                          <w:b/>
                          <w:bCs/>
                          <w:color w:val="FF00FF"/>
                        </w:rPr>
                      </w:pPr>
                      <w:r>
                        <w:rPr>
                          <w:rFonts w:hint="eastAsia"/>
                          <w:b/>
                          <w:bCs/>
                          <w:color w:val="FF00FF"/>
                        </w:rPr>
                        <w:t>永金化工</w:t>
                      </w:r>
                    </w:p>
                    <w:p>
                      <w:pPr>
                        <w:jc w:val="center"/>
                        <w:rPr>
                          <w:b/>
                          <w:bCs/>
                          <w:color w:val="FF00FF"/>
                        </w:rPr>
                      </w:pPr>
                      <w:r>
                        <w:rPr>
                          <w:rFonts w:hint="eastAsia"/>
                          <w:b/>
                          <w:bCs/>
                          <w:color w:val="FF00FF"/>
                        </w:rPr>
                        <w:t>厂区门口</w:t>
                      </w:r>
                    </w:p>
                  </w:txbxContent>
                </v:textbox>
              </v:rect>
            </w:pict>
          </mc:Fallback>
        </mc:AlternateContent>
      </w:r>
      <w:r>
        <w:rPr>
          <w:sz w:val="28"/>
          <w:szCs w:val="28"/>
        </w:rPr>
        <mc:AlternateContent>
          <mc:Choice Requires="wps">
            <w:drawing>
              <wp:anchor distT="0" distB="0" distL="114300" distR="114300" simplePos="0" relativeHeight="251676672" behindDoc="0" locked="0" layoutInCell="1" allowOverlap="1">
                <wp:simplePos x="0" y="0"/>
                <wp:positionH relativeFrom="column">
                  <wp:posOffset>5344160</wp:posOffset>
                </wp:positionH>
                <wp:positionV relativeFrom="paragraph">
                  <wp:posOffset>1940560</wp:posOffset>
                </wp:positionV>
                <wp:extent cx="838200" cy="444500"/>
                <wp:effectExtent l="0" t="0" r="0" b="0"/>
                <wp:wrapNone/>
                <wp:docPr id="113" name="矩形 113"/>
                <wp:cNvGraphicFramePr/>
                <a:graphic xmlns:a="http://schemas.openxmlformats.org/drawingml/2006/main">
                  <a:graphicData uri="http://schemas.microsoft.com/office/word/2010/wordprocessingShape">
                    <wps:wsp>
                      <wps:cNvSpPr/>
                      <wps:spPr>
                        <a:xfrm>
                          <a:off x="0" y="0"/>
                          <a:ext cx="838200" cy="444500"/>
                        </a:xfrm>
                        <a:prstGeom prst="rect">
                          <a:avLst/>
                        </a:prstGeom>
                        <a:noFill/>
                        <a:ln w="15875">
                          <a:noFill/>
                        </a:ln>
                      </wps:spPr>
                      <wps:txbx>
                        <w:txbxContent>
                          <w:p>
                            <w:pPr>
                              <w:jc w:val="center"/>
                              <w:rPr>
                                <w:b/>
                                <w:bCs/>
                                <w:color w:val="FF00FF"/>
                              </w:rPr>
                            </w:pPr>
                            <w:r>
                              <w:rPr>
                                <w:rFonts w:hint="eastAsia"/>
                                <w:b/>
                                <w:bCs/>
                                <w:color w:val="FF00FF"/>
                              </w:rPr>
                              <w:t>中原大化</w:t>
                            </w:r>
                          </w:p>
                          <w:p>
                            <w:pPr>
                              <w:jc w:val="center"/>
                              <w:rPr>
                                <w:b/>
                                <w:bCs/>
                                <w:color w:val="FF00FF"/>
                              </w:rPr>
                            </w:pPr>
                            <w:r>
                              <w:rPr>
                                <w:rFonts w:hint="eastAsia"/>
                                <w:b/>
                                <w:bCs/>
                                <w:color w:val="FF00FF"/>
                              </w:rPr>
                              <w:t>厂区门口</w:t>
                            </w:r>
                          </w:p>
                        </w:txbxContent>
                      </wps:txbx>
                      <wps:bodyPr upright="1"/>
                    </wps:wsp>
                  </a:graphicData>
                </a:graphic>
              </wp:anchor>
            </w:drawing>
          </mc:Choice>
          <mc:Fallback>
            <w:pict>
              <v:rect id="_x0000_s1026" o:spid="_x0000_s1026" o:spt="1" style="position:absolute;left:0pt;margin-left:420.8pt;margin-top:152.8pt;height:35pt;width:66pt;z-index:251676672;mso-width-relative:page;mso-height-relative:page;" filled="f" stroked="f" coordsize="21600,21600" o:gfxdata="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EWV9kA&#10;AAALAQAADwAAAAAAAAABACAAAAAiAAAAZHJzL2Rvd25yZXYueG1sUEsBAhQAFAAAAAgAh07iQN7r&#10;ohysAQAATgMAAA4AAAAAAAAAAQAgAAAAKAEAAGRycy9lMm9Eb2MueG1sUEsFBgAAAAAGAAYAWQEA&#10;AEYFAAAAAA==&#10;">
                <v:fill on="f" focussize="0,0"/>
                <v:stroke on="f" weight="1.25pt"/>
                <v:imagedata o:title=""/>
                <o:lock v:ext="edit" aspectratio="f"/>
                <v:textbox>
                  <w:txbxContent>
                    <w:p>
                      <w:pPr>
                        <w:jc w:val="center"/>
                        <w:rPr>
                          <w:b/>
                          <w:bCs/>
                          <w:color w:val="FF00FF"/>
                        </w:rPr>
                      </w:pPr>
                      <w:r>
                        <w:rPr>
                          <w:rFonts w:hint="eastAsia"/>
                          <w:b/>
                          <w:bCs/>
                          <w:color w:val="FF00FF"/>
                        </w:rPr>
                        <w:t>中原大化</w:t>
                      </w:r>
                    </w:p>
                    <w:p>
                      <w:pPr>
                        <w:jc w:val="center"/>
                        <w:rPr>
                          <w:b/>
                          <w:bCs/>
                          <w:color w:val="FF00FF"/>
                        </w:rPr>
                      </w:pPr>
                      <w:r>
                        <w:rPr>
                          <w:rFonts w:hint="eastAsia"/>
                          <w:b/>
                          <w:bCs/>
                          <w:color w:val="FF00FF"/>
                        </w:rPr>
                        <w:t>厂区门口</w:t>
                      </w:r>
                    </w:p>
                  </w:txbxContent>
                </v:textbox>
              </v:rect>
            </w:pict>
          </mc:Fallback>
        </mc:AlternateContent>
      </w:r>
      <w:r>
        <w:rPr>
          <w:sz w:val="28"/>
          <w:szCs w:val="28"/>
        </w:rPr>
        <mc:AlternateContent>
          <mc:Choice Requires="wps">
            <w:drawing>
              <wp:anchor distT="0" distB="0" distL="114300" distR="114300" simplePos="0" relativeHeight="251674624" behindDoc="0" locked="0" layoutInCell="1" allowOverlap="1">
                <wp:simplePos x="0" y="0"/>
                <wp:positionH relativeFrom="column">
                  <wp:posOffset>5712460</wp:posOffset>
                </wp:positionH>
                <wp:positionV relativeFrom="paragraph">
                  <wp:posOffset>1798320</wp:posOffset>
                </wp:positionV>
                <wp:extent cx="171450" cy="146050"/>
                <wp:effectExtent l="13970" t="15875" r="24130" b="9525"/>
                <wp:wrapNone/>
                <wp:docPr id="114" name="等腰三角形 114"/>
                <wp:cNvGraphicFramePr/>
                <a:graphic xmlns:a="http://schemas.openxmlformats.org/drawingml/2006/main">
                  <a:graphicData uri="http://schemas.microsoft.com/office/word/2010/wordprocessingShape">
                    <wps:wsp>
                      <wps:cNvSpPr/>
                      <wps:spPr>
                        <a:xfrm>
                          <a:off x="0" y="0"/>
                          <a:ext cx="171450" cy="146050"/>
                        </a:xfrm>
                        <a:prstGeom prst="triangle">
                          <a:avLst>
                            <a:gd name="adj" fmla="val 50000"/>
                          </a:avLst>
                        </a:prstGeom>
                        <a:solidFill>
                          <a:srgbClr val="FF00FF"/>
                        </a:solidFill>
                        <a:ln w="15875" cap="flat" cmpd="sng">
                          <a:solidFill>
                            <a:srgbClr val="FF00FF"/>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449.8pt;margin-top:141.6pt;height:11.5pt;width:13.5pt;z-index:251674624;mso-width-relative:page;mso-height-relative:page;" fillcolor="#FF00FF" filled="t" stroked="t" coordsize="21600,21600" o:gfxdata="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nq&#10;5kTYAAAACwEAAA8AAAAAAAAAAQAgAAAAIgAAAGRycy9kb3ducmV2LnhtbFBLAQIUABQAAAAIAIdO&#10;4kDIqpHnIwIAAFsEAAAOAAAAAAAAAAEAIAAAACcBAABkcnMvZTJvRG9jLnhtbFBLBQYAAAAABgAG&#10;AFkBAAC8BQAAAAA=&#10;" adj="10800">
                <v:fill on="t" focussize="0,0"/>
                <v:stroke weight="1.25pt" color="#FF00FF" joinstyle="miter"/>
                <v:imagedata o:title=""/>
                <o:lock v:ext="edit" aspectratio="f"/>
              </v:shape>
            </w:pict>
          </mc:Fallback>
        </mc:AlternateContent>
      </w:r>
      <w:r>
        <w:rPr>
          <w:sz w:val="28"/>
          <w:szCs w:val="28"/>
        </w:rPr>
        <mc:AlternateContent>
          <mc:Choice Requires="wps">
            <w:drawing>
              <wp:anchor distT="0" distB="0" distL="114300" distR="114300" simplePos="0" relativeHeight="251675648" behindDoc="0" locked="0" layoutInCell="1" allowOverlap="1">
                <wp:simplePos x="0" y="0"/>
                <wp:positionH relativeFrom="column">
                  <wp:posOffset>2728595</wp:posOffset>
                </wp:positionH>
                <wp:positionV relativeFrom="paragraph">
                  <wp:posOffset>1012825</wp:posOffset>
                </wp:positionV>
                <wp:extent cx="171450" cy="146050"/>
                <wp:effectExtent l="13970" t="15875" r="24130" b="9525"/>
                <wp:wrapNone/>
                <wp:docPr id="115" name="等腰三角形 115"/>
                <wp:cNvGraphicFramePr/>
                <a:graphic xmlns:a="http://schemas.openxmlformats.org/drawingml/2006/main">
                  <a:graphicData uri="http://schemas.microsoft.com/office/word/2010/wordprocessingShape">
                    <wps:wsp>
                      <wps:cNvSpPr/>
                      <wps:spPr>
                        <a:xfrm>
                          <a:off x="0" y="0"/>
                          <a:ext cx="171450" cy="146050"/>
                        </a:xfrm>
                        <a:prstGeom prst="triangle">
                          <a:avLst>
                            <a:gd name="adj" fmla="val 50000"/>
                          </a:avLst>
                        </a:prstGeom>
                        <a:solidFill>
                          <a:srgbClr val="FF00FF"/>
                        </a:solidFill>
                        <a:ln w="15875" cap="flat" cmpd="sng">
                          <a:solidFill>
                            <a:srgbClr val="FF00FF"/>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214.85pt;margin-top:79.75pt;height:11.5pt;width:13.5pt;z-index:251675648;mso-width-relative:page;mso-height-relative:page;" fillcolor="#FF00FF" filled="t" stroked="t" coordsize="21600,21600" o:gfxdata="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aw+&#10;nNcAAAALAQAADwAAAAAAAAABACAAAAAiAAAAZHJzL2Rvd25yZXYueG1sUEsBAhQAFAAAAAgAh07i&#10;QB9Bjr0jAgAAWwQAAA4AAAAAAAAAAQAgAAAAJgEAAGRycy9lMm9Eb2MueG1sUEsFBgAAAAAGAAYA&#10;WQEAALsFAAAAAA==&#10;" adj="10800">
                <v:fill on="t" focussize="0,0"/>
                <v:stroke weight="1.25pt" color="#FF00FF" joinstyle="miter"/>
                <v:imagedata o:title=""/>
                <o:lock v:ext="edit" aspectratio="f"/>
              </v:shape>
            </w:pict>
          </mc:Fallback>
        </mc:AlternateContent>
      </w:r>
      <w:r>
        <w:rPr>
          <w:sz w:val="28"/>
          <w:szCs w:val="28"/>
        </w:rPr>
        <mc:AlternateContent>
          <mc:Choice Requires="wps">
            <w:drawing>
              <wp:anchor distT="0" distB="0" distL="114300" distR="114300" simplePos="0" relativeHeight="251673600" behindDoc="0" locked="0" layoutInCell="1" allowOverlap="1">
                <wp:simplePos x="0" y="0"/>
                <wp:positionH relativeFrom="column">
                  <wp:posOffset>2849880</wp:posOffset>
                </wp:positionH>
                <wp:positionV relativeFrom="paragraph">
                  <wp:posOffset>1207770</wp:posOffset>
                </wp:positionV>
                <wp:extent cx="269875" cy="17780"/>
                <wp:effectExtent l="0" t="33020" r="15875" b="25400"/>
                <wp:wrapNone/>
                <wp:docPr id="116" name="直接箭头连接符 116"/>
                <wp:cNvGraphicFramePr/>
                <a:graphic xmlns:a="http://schemas.openxmlformats.org/drawingml/2006/main">
                  <a:graphicData uri="http://schemas.microsoft.com/office/word/2010/wordprocessingShape">
                    <wps:wsp>
                      <wps:cNvCnPr/>
                      <wps:spPr>
                        <a:xfrm flipH="1" flipV="1">
                          <a:off x="0" y="0"/>
                          <a:ext cx="269875" cy="1778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224.4pt;margin-top:95.1pt;height:1.4pt;width:21.25pt;z-index:251673600;mso-width-relative:page;mso-height-relative:page;" o:connectortype="straight" filled="f" stroked="t" coordsize="21600,21600" o:gfxdata="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6thWTYAAAACwEA&#10;AA8AAAAAAAAAAQAgAAAAIgAAAGRycy9kb3ducmV2LnhtbFBLAQIUABQAAAAIAIdO4kBukUc+GgIA&#10;AAwEAAAOAAAAAAAAAAEAIAAAACcBAABkcnMvZTJvRG9jLnhtbFBLBQYAAAAABgAGAFkBAACzBQAA&#10;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72576" behindDoc="0" locked="0" layoutInCell="1" allowOverlap="1">
                <wp:simplePos x="0" y="0"/>
                <wp:positionH relativeFrom="column">
                  <wp:posOffset>3074035</wp:posOffset>
                </wp:positionH>
                <wp:positionV relativeFrom="paragraph">
                  <wp:posOffset>1239520</wp:posOffset>
                </wp:positionV>
                <wp:extent cx="62865" cy="944880"/>
                <wp:effectExtent l="9525" t="0" r="41910" b="7620"/>
                <wp:wrapNone/>
                <wp:docPr id="117" name="直接箭头连接符 117"/>
                <wp:cNvGraphicFramePr/>
                <a:graphic xmlns:a="http://schemas.openxmlformats.org/drawingml/2006/main">
                  <a:graphicData uri="http://schemas.microsoft.com/office/word/2010/wordprocessingShape">
                    <wps:wsp>
                      <wps:cNvCnPr/>
                      <wps:spPr>
                        <a:xfrm flipV="1">
                          <a:off x="0" y="0"/>
                          <a:ext cx="62865" cy="94488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42.05pt;margin-top:97.6pt;height:74.4pt;width:4.95pt;z-index:251672576;mso-width-relative:page;mso-height-relative:page;" o:connectortype="straight" filled="f" stroked="t" coordsize="21600,21600" o:gfxdata="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FKJYdsAAAALAQAA&#10;DwAAAAAAAAABACAAAAAiAAAAZHJzL2Rvd25yZXYueG1sUEsBAhQAFAAAAAgAh07iQDapLYgWAgAA&#10;AgQAAA4AAAAAAAAAAQAgAAAAKgEAAGRycy9lMm9Eb2MueG1sUEsFBgAAAAAGAAYAWQEAALIFAAAA&#10;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71552" behindDoc="0" locked="0" layoutInCell="1" allowOverlap="1">
                <wp:simplePos x="0" y="0"/>
                <wp:positionH relativeFrom="column">
                  <wp:posOffset>3013710</wp:posOffset>
                </wp:positionH>
                <wp:positionV relativeFrom="paragraph">
                  <wp:posOffset>2241550</wp:posOffset>
                </wp:positionV>
                <wp:extent cx="269875" cy="17780"/>
                <wp:effectExtent l="0" t="33020" r="15875" b="25400"/>
                <wp:wrapNone/>
                <wp:docPr id="118" name="直接箭头连接符 118"/>
                <wp:cNvGraphicFramePr/>
                <a:graphic xmlns:a="http://schemas.openxmlformats.org/drawingml/2006/main">
                  <a:graphicData uri="http://schemas.microsoft.com/office/word/2010/wordprocessingShape">
                    <wps:wsp>
                      <wps:cNvCnPr/>
                      <wps:spPr>
                        <a:xfrm flipH="1" flipV="1">
                          <a:off x="0" y="0"/>
                          <a:ext cx="269875" cy="1778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237.3pt;margin-top:176.5pt;height:1.4pt;width:21.25pt;z-index:251671552;mso-width-relative:page;mso-height-relative:page;" o:connectortype="straight" filled="f" stroked="t" coordsize="21600,21600" o:gfxdata="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4bP6NoAAAAL&#10;AQAADwAAAAAAAAABACAAAAAiAAAAZHJzL2Rvd25yZXYueG1sUEsBAhQAFAAAAAgAh07iQCAECywa&#10;AgAADAQAAA4AAAAAAAAAAQAgAAAAKQEAAGRycy9lMm9Eb2MueG1sUEsFBgAAAAAGAAYAWQEAALUF&#10;A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65408" behindDoc="0" locked="0" layoutInCell="1" allowOverlap="1">
                <wp:simplePos x="0" y="0"/>
                <wp:positionH relativeFrom="column">
                  <wp:posOffset>2804160</wp:posOffset>
                </wp:positionH>
                <wp:positionV relativeFrom="paragraph">
                  <wp:posOffset>2783840</wp:posOffset>
                </wp:positionV>
                <wp:extent cx="12700" cy="200025"/>
                <wp:effectExtent l="29845" t="0" r="33655" b="9525"/>
                <wp:wrapNone/>
                <wp:docPr id="119" name="直接箭头连接符 119"/>
                <wp:cNvGraphicFramePr/>
                <a:graphic xmlns:a="http://schemas.openxmlformats.org/drawingml/2006/main">
                  <a:graphicData uri="http://schemas.microsoft.com/office/word/2010/wordprocessingShape">
                    <wps:wsp>
                      <wps:cNvCnPr/>
                      <wps:spPr>
                        <a:xfrm flipV="1">
                          <a:off x="0" y="0"/>
                          <a:ext cx="12700" cy="200025"/>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20.8pt;margin-top:219.2pt;height:15.75pt;width:1pt;z-index:251665408;mso-width-relative:page;mso-height-relative:page;" o:connectortype="straight" filled="f" stroked="t" coordsize="21600,21600" o:gfxdata="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SihtfcAAAACwEAAA8AAAAA&#10;AAAAAQAgAAAAIgAAAGRycy9kb3ducmV2LnhtbFBLAQIUABQAAAAIAIdO4kDJqhybEAIAAAIEAAAO&#10;AAAAAAAAAAEAIAAAACsBAABkcnMvZTJvRG9jLnhtbFBLBQYAAAAABgAGAFkBAACtBQ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68480" behindDoc="0" locked="0" layoutInCell="1" allowOverlap="1">
                <wp:simplePos x="0" y="0"/>
                <wp:positionH relativeFrom="column">
                  <wp:posOffset>3355975</wp:posOffset>
                </wp:positionH>
                <wp:positionV relativeFrom="paragraph">
                  <wp:posOffset>2217420</wp:posOffset>
                </wp:positionV>
                <wp:extent cx="438785" cy="12700"/>
                <wp:effectExtent l="0" t="27305" r="18415" b="36195"/>
                <wp:wrapNone/>
                <wp:docPr id="120" name="直接箭头连接符 120"/>
                <wp:cNvGraphicFramePr/>
                <a:graphic xmlns:a="http://schemas.openxmlformats.org/drawingml/2006/main">
                  <a:graphicData uri="http://schemas.microsoft.com/office/word/2010/wordprocessingShape">
                    <wps:wsp>
                      <wps:cNvCnPr/>
                      <wps:spPr>
                        <a:xfrm>
                          <a:off x="0" y="0"/>
                          <a:ext cx="438785" cy="1270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64.25pt;margin-top:174.6pt;height:1pt;width:34.55pt;z-index:251668480;mso-width-relative:page;mso-height-relative:page;" o:connectortype="straight" filled="f" stroked="t" coordsize="21600,21600" o:gfxdata="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UPSFbWAAAACwEAAA8AAAAAAAAAAQAgAAAA&#10;IgAAAGRycy9kb3ducmV2LnhtbFBLAQIUABQAAAAIAIdO4kAHcg56DQIAAPgDAAAOAAAAAAAAAAEA&#10;IAAAACUBAABkcnMvZTJvRG9jLnhtbFBLBQYAAAAABgAGAFkBAACkBQ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70528" behindDoc="0" locked="0" layoutInCell="1" allowOverlap="1">
                <wp:simplePos x="0" y="0"/>
                <wp:positionH relativeFrom="column">
                  <wp:posOffset>3871595</wp:posOffset>
                </wp:positionH>
                <wp:positionV relativeFrom="paragraph">
                  <wp:posOffset>1798320</wp:posOffset>
                </wp:positionV>
                <wp:extent cx="1855470" cy="68580"/>
                <wp:effectExtent l="635" t="9525" r="10795" b="36195"/>
                <wp:wrapNone/>
                <wp:docPr id="121" name="直接箭头连接符 121"/>
                <wp:cNvGraphicFramePr/>
                <a:graphic xmlns:a="http://schemas.openxmlformats.org/drawingml/2006/main">
                  <a:graphicData uri="http://schemas.microsoft.com/office/word/2010/wordprocessingShape">
                    <wps:wsp>
                      <wps:cNvCnPr/>
                      <wps:spPr>
                        <a:xfrm>
                          <a:off x="0" y="0"/>
                          <a:ext cx="1855470" cy="6858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04.85pt;margin-top:141.6pt;height:5.4pt;width:146.1pt;z-index:251670528;mso-width-relative:page;mso-height-relative:page;" o:connectortype="straight" filled="f" stroked="t" coordsize="21600,21600" o:gfxdata="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Qb/37VAAAACwEAAA8AAAAAAAAAAQAgAAAA&#10;IgAAAGRycy9kb3ducmV2LnhtbFBLAQIUABQAAAAIAIdO4kDlpfyEDgIAAPkDAAAOAAAAAAAAAAEA&#10;IAAAACQBAABkcnMvZTJvRG9jLnhtbFBLBQYAAAAABgAGAFkBAACkBQ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69504" behindDoc="0" locked="0" layoutInCell="1" allowOverlap="1">
                <wp:simplePos x="0" y="0"/>
                <wp:positionH relativeFrom="column">
                  <wp:posOffset>3803015</wp:posOffset>
                </wp:positionH>
                <wp:positionV relativeFrom="paragraph">
                  <wp:posOffset>1792605</wp:posOffset>
                </wp:positionV>
                <wp:extent cx="31115" cy="448945"/>
                <wp:effectExtent l="12065" t="0" r="33020" b="8255"/>
                <wp:wrapNone/>
                <wp:docPr id="122" name="直接箭头连接符 122"/>
                <wp:cNvGraphicFramePr/>
                <a:graphic xmlns:a="http://schemas.openxmlformats.org/drawingml/2006/main">
                  <a:graphicData uri="http://schemas.microsoft.com/office/word/2010/wordprocessingShape">
                    <wps:wsp>
                      <wps:cNvCnPr/>
                      <wps:spPr>
                        <a:xfrm flipV="1">
                          <a:off x="0" y="0"/>
                          <a:ext cx="31115" cy="448945"/>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99.45pt;margin-top:141.15pt;height:35.35pt;width:2.45pt;z-index:251669504;mso-width-relative:page;mso-height-relative:page;" o:connectortype="straight" filled="f" stroked="t" coordsize="21600,21600" o:gfxdata="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hGJy3QAAAAsBAAAP&#10;AAAAAAAAAAEAIAAAACIAAABkcnMvZG93bnJldi54bWxQSwECFAAUAAAACACHTuJAqHPTORMCAAAC&#10;BAAADgAAAAAAAAABACAAAAAsAQAAZHJzL2Uyb0RvYy54bWxQSwUGAAAAAAYABgBZAQAAsQU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67456" behindDoc="0" locked="0" layoutInCell="1" allowOverlap="1">
                <wp:simplePos x="0" y="0"/>
                <wp:positionH relativeFrom="column">
                  <wp:posOffset>3302000</wp:posOffset>
                </wp:positionH>
                <wp:positionV relativeFrom="paragraph">
                  <wp:posOffset>2209165</wp:posOffset>
                </wp:positionV>
                <wp:extent cx="36195" cy="521335"/>
                <wp:effectExtent l="9525" t="0" r="49530" b="12065"/>
                <wp:wrapNone/>
                <wp:docPr id="123" name="直接箭头连接符 123"/>
                <wp:cNvGraphicFramePr/>
                <a:graphic xmlns:a="http://schemas.openxmlformats.org/drawingml/2006/main">
                  <a:graphicData uri="http://schemas.microsoft.com/office/word/2010/wordprocessingShape">
                    <wps:wsp>
                      <wps:cNvCnPr/>
                      <wps:spPr>
                        <a:xfrm flipV="1">
                          <a:off x="0" y="0"/>
                          <a:ext cx="36195" cy="521335"/>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60pt;margin-top:173.95pt;height:41.05pt;width:2.85pt;z-index:251667456;mso-width-relative:page;mso-height-relative:page;" o:connectortype="straight" filled="f" stroked="t" coordsize="21600,21600" o:gfxdata="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eelgNsAAAALAQAADwAA&#10;AAAAAAABACAAAAAiAAAAZHJzL2Rvd25yZXYueG1sUEsBAhQAFAAAAAgAh07iQPxs8QUTAgAAAgQA&#10;AA4AAAAAAAAAAQAgAAAAKgEAAGRycy9lMm9Eb2MueG1sUEsFBgAAAAAGAAYAWQEAAK8FAAAAAA==&#10;">
                <v:fill on="f" focussize="0,0"/>
                <v:stroke weight="1.5pt" color="#FF00FF" joinstyle="round" endarrow="block"/>
                <v:imagedata o:title=""/>
                <o:lock v:ext="edit" aspectratio="f"/>
              </v:shape>
            </w:pict>
          </mc:Fallback>
        </mc:AlternateContent>
      </w:r>
      <w:r>
        <w:rPr>
          <w:sz w:val="28"/>
          <w:szCs w:val="28"/>
        </w:rPr>
        <mc:AlternateContent>
          <mc:Choice Requires="wps">
            <w:drawing>
              <wp:anchor distT="0" distB="0" distL="114300" distR="114300" simplePos="0" relativeHeight="251666432" behindDoc="0" locked="0" layoutInCell="1" allowOverlap="1">
                <wp:simplePos x="0" y="0"/>
                <wp:positionH relativeFrom="column">
                  <wp:posOffset>2816860</wp:posOffset>
                </wp:positionH>
                <wp:positionV relativeFrom="paragraph">
                  <wp:posOffset>2778760</wp:posOffset>
                </wp:positionV>
                <wp:extent cx="474345" cy="0"/>
                <wp:effectExtent l="0" t="38100" r="1905" b="38100"/>
                <wp:wrapNone/>
                <wp:docPr id="124" name="直接箭头连接符 124"/>
                <wp:cNvGraphicFramePr/>
                <a:graphic xmlns:a="http://schemas.openxmlformats.org/drawingml/2006/main">
                  <a:graphicData uri="http://schemas.microsoft.com/office/word/2010/wordprocessingShape">
                    <wps:wsp>
                      <wps:cNvCnPr/>
                      <wps:spPr>
                        <a:xfrm>
                          <a:off x="0" y="0"/>
                          <a:ext cx="474345" cy="0"/>
                        </a:xfrm>
                        <a:prstGeom prst="straightConnector1">
                          <a:avLst/>
                        </a:prstGeom>
                        <a:ln w="19050" cap="flat" cmpd="sng">
                          <a:solidFill>
                            <a:srgbClr val="FF00FF"/>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21.8pt;margin-top:218.8pt;height:0pt;width:37.35pt;z-index:251666432;mso-width-relative:page;mso-height-relative:page;" o:connectortype="straight" filled="f" stroked="t" coordsize="21600,21600" o:gfxdata="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&#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mt1+F1AAAAAsBAAAPAAAAAAAAAAEAIAAAACIAAABk&#10;cnMvZG93bnJldi54bWxQSwECFAAUAAAACACHTuJAxFqBnQoCAAD0AwAADgAAAAAAAAABACAAAAAj&#10;AQAAZHJzL2Uyb0RvYy54bWxQSwUGAAAAAAYABgBZAQAAnwUAAAAA&#10;">
                <v:fill on="f" focussize="0,0"/>
                <v:stroke weight="1.5pt" color="#FF00FF" joinstyle="round" endarrow="block"/>
                <v:imagedata o:title=""/>
                <o:lock v:ext="edit" aspectratio="f"/>
              </v:shape>
            </w:pict>
          </mc:Fallback>
        </mc:AlternateContent>
      </w:r>
      <w:r>
        <w:rPr>
          <w:rFonts w:eastAsia="Times New Roman"/>
          <w:snapToGrid w:val="0"/>
          <w:w w:val="0"/>
          <w:kern w:val="0"/>
          <w:sz w:val="16"/>
          <w:szCs w:val="0"/>
          <w:u w:val="none" w:color="000000"/>
          <w:shd w:val="clear" w:color="000000" w:fill="000000"/>
        </w:rPr>
        <w:t xml:space="preserve"> </w:t>
      </w:r>
      <w:r>
        <w:rPr>
          <w:sz w:val="28"/>
          <w:szCs w:val="28"/>
        </w:rPr>
        <w:drawing>
          <wp:inline distT="0" distB="0" distL="114300" distR="114300">
            <wp:extent cx="6511290" cy="5153660"/>
            <wp:effectExtent l="0" t="0" r="3810" b="8890"/>
            <wp:docPr id="125" name="图片 28" descr="1617009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8" descr="1617009862(1)"/>
                    <pic:cNvPicPr>
                      <a:picLocks noChangeAspect="1"/>
                    </pic:cNvPicPr>
                  </pic:nvPicPr>
                  <pic:blipFill>
                    <a:blip r:embed="rId128"/>
                    <a:stretch>
                      <a:fillRect/>
                    </a:stretch>
                  </pic:blipFill>
                  <pic:spPr>
                    <a:xfrm>
                      <a:off x="0" y="0"/>
                      <a:ext cx="6511290" cy="5153660"/>
                    </a:xfrm>
                    <a:prstGeom prst="rect">
                      <a:avLst/>
                    </a:prstGeom>
                    <a:noFill/>
                    <a:ln>
                      <a:noFill/>
                    </a:ln>
                  </pic:spPr>
                </pic:pic>
              </a:graphicData>
            </a:graphic>
          </wp:inline>
        </w:drawing>
      </w:r>
    </w:p>
    <w:p>
      <w:pPr>
        <w:pStyle w:val="32"/>
        <w:tabs>
          <w:tab w:val="clear" w:pos="900"/>
        </w:tabs>
        <w:ind w:firstLineChars="83"/>
        <w:jc w:val="center"/>
        <w:rPr>
          <w:snapToGrid w:val="0"/>
          <w:szCs w:val="24"/>
        </w:rPr>
      </w:pPr>
      <w:r>
        <w:rPr>
          <w:szCs w:val="24"/>
        </w:rPr>
        <w:t xml:space="preserve">图7.9-1     </w:t>
      </w:r>
      <w:r>
        <w:rPr>
          <w:snapToGrid w:val="0"/>
          <w:szCs w:val="24"/>
        </w:rPr>
        <w:t>厂区应急疏散路线示意图</w:t>
      </w:r>
    </w:p>
    <w:p>
      <w:pPr>
        <w:rPr>
          <w:sz w:val="28"/>
          <w:szCs w:val="28"/>
        </w:rPr>
        <w:sectPr>
          <w:pgSz w:w="16838" w:h="11906" w:orient="landscape"/>
          <w:pgMar w:top="1474" w:right="1474" w:bottom="1474" w:left="1474" w:header="851" w:footer="851" w:gutter="0"/>
          <w:pgNumType w:chapStyle="1"/>
          <w:cols w:space="720" w:num="1"/>
          <w:docGrid w:linePitch="312" w:charSpace="0"/>
        </w:sectPr>
      </w:pPr>
    </w:p>
    <w:p>
      <w:pPr>
        <w:pStyle w:val="29"/>
        <w:outlineLvl w:val="3"/>
      </w:pPr>
      <w:r>
        <w:t>7.9.1.6  事故废水排放防范措施</w:t>
      </w:r>
    </w:p>
    <w:p>
      <w:pPr>
        <w:spacing w:line="520" w:lineRule="exact"/>
        <w:ind w:firstLine="560" w:firstLineChars="200"/>
        <w:rPr>
          <w:sz w:val="28"/>
          <w:szCs w:val="28"/>
        </w:rPr>
      </w:pPr>
      <w:r>
        <w:rPr>
          <w:rFonts w:hint="eastAsia"/>
          <w:sz w:val="28"/>
          <w:szCs w:val="28"/>
        </w:rPr>
        <w:t>中原大化厂区目前已建立</w:t>
      </w:r>
      <w:r>
        <w:rPr>
          <w:sz w:val="28"/>
          <w:szCs w:val="28"/>
        </w:rPr>
        <w:t>事故废水环境风险防范</w:t>
      </w:r>
      <w:r>
        <w:rPr>
          <w:rFonts w:hint="eastAsia"/>
          <w:sz w:val="28"/>
          <w:szCs w:val="28"/>
        </w:rPr>
        <w:t>体系</w:t>
      </w:r>
      <w:r>
        <w:rPr>
          <w:sz w:val="28"/>
          <w:szCs w:val="28"/>
        </w:rPr>
        <w:t>，厂区“三级防控体系”设置事故废水收集和应急储存设施，以满足事故状态下收集泄漏物料、污染消防水和污染雨水的需要，从污染源头、过程处理和最终排放等多级防止事故污水外排的保障措施，以防止环境风险事故造成水环境污染。</w:t>
      </w:r>
    </w:p>
    <w:p>
      <w:pPr>
        <w:autoSpaceDE w:val="0"/>
        <w:autoSpaceDN w:val="0"/>
        <w:adjustRightInd w:val="0"/>
        <w:spacing w:line="520" w:lineRule="exact"/>
        <w:ind w:firstLine="560" w:firstLineChars="200"/>
        <w:jc w:val="left"/>
        <w:rPr>
          <w:sz w:val="28"/>
          <w:szCs w:val="28"/>
        </w:rPr>
      </w:pPr>
      <w:r>
        <w:rPr>
          <w:rFonts w:hint="eastAsia"/>
          <w:sz w:val="28"/>
          <w:szCs w:val="28"/>
        </w:rPr>
        <w:t>而对于本中试项目，因物料储存量较小不单独设置储罐区，主要涉及危险物质的物料储罐罐为乙二醇罐（2m</w:t>
      </w:r>
      <w:r>
        <w:rPr>
          <w:sz w:val="28"/>
          <w:szCs w:val="28"/>
          <w:vertAlign w:val="superscript"/>
        </w:rPr>
        <w:t>3</w:t>
      </w:r>
      <w:r>
        <w:rPr>
          <w:rFonts w:hint="eastAsia"/>
          <w:sz w:val="28"/>
          <w:szCs w:val="28"/>
        </w:rPr>
        <w:t>），设置在装置区。根据厂区环境风险应急预案，装置区泄漏物料可通过雨水管网收集池收集，随后经废水管道导入事故池，或排入公司污水终端处理设施。当工艺装置、储罐区发生有毒有害物质泄漏、火灾爆炸等事故时，开启应急消防系统，此时雨水外排泵及阀门关闭，受污染的消防水直接进入雨水收集池后再泵入事故池，通过管道导入公司污水终端处理设施。</w:t>
      </w:r>
    </w:p>
    <w:p>
      <w:pPr>
        <w:spacing w:line="520" w:lineRule="exact"/>
        <w:ind w:firstLine="560" w:firstLineChars="200"/>
        <w:rPr>
          <w:sz w:val="28"/>
          <w:szCs w:val="28"/>
        </w:rPr>
      </w:pPr>
      <w:r>
        <w:rPr>
          <w:sz w:val="28"/>
          <w:szCs w:val="28"/>
        </w:rPr>
        <w:t>项目事故废水</w:t>
      </w:r>
      <w:r>
        <w:rPr>
          <w:rFonts w:hint="eastAsia"/>
          <w:sz w:val="28"/>
          <w:szCs w:val="28"/>
        </w:rPr>
        <w:t>收集管网及</w:t>
      </w:r>
      <w:r>
        <w:rPr>
          <w:sz w:val="28"/>
          <w:szCs w:val="28"/>
        </w:rPr>
        <w:t>封堵系统示意图见图7.9</w:t>
      </w:r>
      <w:r>
        <w:rPr>
          <w:rFonts w:hint="eastAsia"/>
          <w:sz w:val="28"/>
          <w:szCs w:val="28"/>
        </w:rPr>
        <w:t>-</w:t>
      </w:r>
      <w:r>
        <w:rPr>
          <w:sz w:val="28"/>
          <w:szCs w:val="28"/>
        </w:rPr>
        <w:t>2。</w:t>
      </w:r>
    </w:p>
    <w:p>
      <w:pPr>
        <w:autoSpaceDE w:val="0"/>
        <w:autoSpaceDN w:val="0"/>
        <w:adjustRightInd w:val="0"/>
        <w:spacing w:line="360" w:lineRule="auto"/>
        <w:jc w:val="left"/>
        <w:rPr>
          <w:rFonts w:hint="eastAsia" w:ascii="仿宋_GB2312" w:hAnsi="宋体" w:eastAsia="仿宋_GB2312" w:cs="宋体"/>
          <w:kern w:val="0"/>
          <w:sz w:val="28"/>
          <w:szCs w:val="28"/>
        </w:rPr>
      </w:pPr>
      <w:r>
        <w:rPr>
          <w:rFonts w:ascii="仿宋_GB2312" w:hAnsi="宋体" w:eastAsia="仿宋_GB2312" w:cs="宋体"/>
          <w:kern w:val="0"/>
          <w:sz w:val="28"/>
          <w:szCs w:val="28"/>
        </w:rPr>
        <mc:AlternateContent>
          <mc:Choice Requires="wpc">
            <w:drawing>
              <wp:inline distT="0" distB="0" distL="114300" distR="114300">
                <wp:extent cx="5714365" cy="2387600"/>
                <wp:effectExtent l="4445" t="24130" r="15240" b="7620"/>
                <wp:docPr id="100" name="画布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1" name="文本框 71"/>
                        <wps:cNvSpPr txBox="1"/>
                        <wps:spPr>
                          <a:xfrm>
                            <a:off x="0" y="8890"/>
                            <a:ext cx="1142365"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仿宋_GB2312" w:eastAsia="仿宋_GB2312"/>
                                </w:rPr>
                              </w:pPr>
                              <w:r>
                                <w:rPr>
                                  <w:rFonts w:hint="eastAsia" w:ascii="仿宋_GB2312" w:eastAsia="仿宋_GB2312"/>
                                </w:rPr>
                                <w:t>装置区排水沟</w:t>
                              </w:r>
                            </w:p>
                          </w:txbxContent>
                        </wps:txbx>
                        <wps:bodyPr upright="1"/>
                      </wps:wsp>
                      <wps:wsp>
                        <wps:cNvPr id="78" name="直接连接符 78"/>
                        <wps:cNvSpPr/>
                        <wps:spPr>
                          <a:xfrm>
                            <a:off x="1142365" y="306070"/>
                            <a:ext cx="914400" cy="635"/>
                          </a:xfrm>
                          <a:prstGeom prst="line">
                            <a:avLst/>
                          </a:prstGeom>
                          <a:ln w="9525" cap="flat" cmpd="sng">
                            <a:solidFill>
                              <a:srgbClr val="000000"/>
                            </a:solidFill>
                            <a:prstDash val="dash"/>
                            <a:headEnd type="none" w="med" len="med"/>
                            <a:tailEnd type="triangle" w="med" len="med"/>
                          </a:ln>
                        </wps:spPr>
                        <wps:bodyPr upright="1"/>
                      </wps:wsp>
                      <wps:wsp>
                        <wps:cNvPr id="79" name="流程图: 对照 79"/>
                        <wps:cNvSpPr/>
                        <wps:spPr>
                          <a:xfrm rot="5400000">
                            <a:off x="1296670" y="63500"/>
                            <a:ext cx="227330" cy="984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80" name="直接连接符 80"/>
                        <wps:cNvSpPr/>
                        <wps:spPr>
                          <a:xfrm>
                            <a:off x="1142365" y="107950"/>
                            <a:ext cx="1028700" cy="1270"/>
                          </a:xfrm>
                          <a:prstGeom prst="line">
                            <a:avLst/>
                          </a:prstGeom>
                          <a:ln w="9525" cap="flat" cmpd="sng">
                            <a:solidFill>
                              <a:srgbClr val="000000"/>
                            </a:solidFill>
                            <a:prstDash val="solid"/>
                            <a:headEnd type="none" w="med" len="med"/>
                            <a:tailEnd type="triangle" w="med" len="med"/>
                          </a:ln>
                        </wps:spPr>
                        <wps:bodyPr upright="1"/>
                      </wps:wsp>
                      <wps:wsp>
                        <wps:cNvPr id="81" name="文本框 81"/>
                        <wps:cNvSpPr txBox="1"/>
                        <wps:spPr>
                          <a:xfrm>
                            <a:off x="2285365" y="8890"/>
                            <a:ext cx="1257300"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仿宋_GB2312" w:eastAsia="仿宋_GB2312"/>
                                </w:rPr>
                              </w:pPr>
                              <w:r>
                                <w:rPr>
                                  <w:rFonts w:hint="eastAsia" w:ascii="仿宋_GB2312" w:eastAsia="仿宋_GB2312"/>
                                </w:rPr>
                                <w:t>废水终端处理</w:t>
                              </w:r>
                            </w:p>
                          </w:txbxContent>
                        </wps:txbx>
                        <wps:bodyPr upright="1"/>
                      </wps:wsp>
                      <wps:wsp>
                        <wps:cNvPr id="82" name="直接连接符 82"/>
                        <wps:cNvSpPr/>
                        <wps:spPr>
                          <a:xfrm>
                            <a:off x="3542665" y="107950"/>
                            <a:ext cx="914400" cy="1270"/>
                          </a:xfrm>
                          <a:prstGeom prst="line">
                            <a:avLst/>
                          </a:prstGeom>
                          <a:ln w="9525" cap="flat" cmpd="sng">
                            <a:solidFill>
                              <a:srgbClr val="000000"/>
                            </a:solidFill>
                            <a:prstDash val="solid"/>
                            <a:headEnd type="none" w="med" len="med"/>
                            <a:tailEnd type="triangle" w="med" len="med"/>
                          </a:ln>
                        </wps:spPr>
                        <wps:bodyPr upright="1"/>
                      </wps:wsp>
                      <wps:wsp>
                        <wps:cNvPr id="83" name="流程图: 对照 83"/>
                        <wps:cNvSpPr/>
                        <wps:spPr>
                          <a:xfrm rot="5400000">
                            <a:off x="3811905" y="64770"/>
                            <a:ext cx="227965" cy="97790"/>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84" name="文本框 84"/>
                        <wps:cNvSpPr txBox="1"/>
                        <wps:spPr>
                          <a:xfrm>
                            <a:off x="4457065" y="8890"/>
                            <a:ext cx="1257300" cy="5295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仿宋_GB2312" w:eastAsia="仿宋_GB2312"/>
                                </w:rPr>
                              </w:pPr>
                              <w:r>
                                <w:rPr>
                                  <w:rFonts w:hint="eastAsia" w:ascii="仿宋_GB2312" w:eastAsia="仿宋_GB2312"/>
                                </w:rPr>
                                <w:t>濮阳市第二污水处理厂</w:t>
                              </w:r>
                            </w:p>
                          </w:txbxContent>
                        </wps:txbx>
                        <wps:bodyPr upright="1"/>
                      </wps:wsp>
                      <wps:wsp>
                        <wps:cNvPr id="85" name="文本框 85"/>
                        <wps:cNvSpPr txBox="1"/>
                        <wps:spPr>
                          <a:xfrm>
                            <a:off x="2285365" y="998855"/>
                            <a:ext cx="1257300" cy="39687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仿宋_GB2312" w:eastAsia="仿宋_GB2312"/>
                                </w:rPr>
                              </w:pPr>
                              <w:r>
                                <w:rPr>
                                  <w:rFonts w:hint="eastAsia" w:ascii="仿宋_GB2312" w:eastAsia="仿宋_GB2312"/>
                                </w:rPr>
                                <w:t>应急事故池</w:t>
                              </w:r>
                            </w:p>
                          </w:txbxContent>
                        </wps:txbx>
                        <wps:bodyPr upright="1"/>
                      </wps:wsp>
                      <wps:wsp>
                        <wps:cNvPr id="86" name="直接连接符 86"/>
                        <wps:cNvSpPr/>
                        <wps:spPr>
                          <a:xfrm flipV="1">
                            <a:off x="2856865" y="405130"/>
                            <a:ext cx="635" cy="593725"/>
                          </a:xfrm>
                          <a:prstGeom prst="line">
                            <a:avLst/>
                          </a:prstGeom>
                          <a:ln w="9525" cap="flat" cmpd="sng">
                            <a:solidFill>
                              <a:srgbClr val="000000"/>
                            </a:solidFill>
                            <a:prstDash val="solid"/>
                            <a:headEnd type="triangle" w="med" len="med"/>
                            <a:tailEnd type="triangle" w="med" len="med"/>
                          </a:ln>
                        </wps:spPr>
                        <wps:bodyPr upright="1"/>
                      </wps:wsp>
                      <wps:wsp>
                        <wps:cNvPr id="87" name="流程图: 对照 87"/>
                        <wps:cNvSpPr/>
                        <wps:spPr>
                          <a:xfrm>
                            <a:off x="2742565" y="702310"/>
                            <a:ext cx="227965" cy="99060"/>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88" name="文本框 88"/>
                        <wps:cNvSpPr txBox="1"/>
                        <wps:spPr>
                          <a:xfrm>
                            <a:off x="0" y="1891030"/>
                            <a:ext cx="1142365" cy="3962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仿宋_GB2312" w:eastAsia="仿宋_GB2312"/>
                                </w:rPr>
                              </w:pPr>
                              <w:r>
                                <w:rPr>
                                  <w:rFonts w:hint="eastAsia" w:ascii="仿宋_GB2312" w:eastAsia="仿宋_GB2312"/>
                                </w:rPr>
                                <w:t>储罐区围堰</w:t>
                              </w:r>
                            </w:p>
                          </w:txbxContent>
                        </wps:txbx>
                        <wps:bodyPr upright="1"/>
                      </wps:wsp>
                      <wps:wsp>
                        <wps:cNvPr id="89" name="直接连接符 89"/>
                        <wps:cNvSpPr/>
                        <wps:spPr>
                          <a:xfrm>
                            <a:off x="1142365" y="1990090"/>
                            <a:ext cx="685800" cy="635"/>
                          </a:xfrm>
                          <a:prstGeom prst="line">
                            <a:avLst/>
                          </a:prstGeom>
                          <a:ln w="9525" cap="flat" cmpd="sng">
                            <a:solidFill>
                              <a:srgbClr val="000000"/>
                            </a:solidFill>
                            <a:prstDash val="solid"/>
                            <a:headEnd type="none" w="med" len="med"/>
                            <a:tailEnd type="triangle" w="med" len="med"/>
                          </a:ln>
                        </wps:spPr>
                        <wps:bodyPr upright="1"/>
                      </wps:wsp>
                      <wps:wsp>
                        <wps:cNvPr id="90" name="流程图: 对照 90"/>
                        <wps:cNvSpPr/>
                        <wps:spPr>
                          <a:xfrm rot="5400000">
                            <a:off x="1419860" y="1954530"/>
                            <a:ext cx="227330" cy="99060"/>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91" name="直接连接符 91"/>
                        <wps:cNvSpPr/>
                        <wps:spPr>
                          <a:xfrm>
                            <a:off x="1142365" y="2188210"/>
                            <a:ext cx="1143000" cy="635"/>
                          </a:xfrm>
                          <a:prstGeom prst="line">
                            <a:avLst/>
                          </a:prstGeom>
                          <a:ln w="9525" cap="flat" cmpd="sng">
                            <a:solidFill>
                              <a:srgbClr val="000000"/>
                            </a:solidFill>
                            <a:prstDash val="dash"/>
                            <a:headEnd type="none" w="med" len="med"/>
                            <a:tailEnd type="triangle" w="med" len="med"/>
                          </a:ln>
                        </wps:spPr>
                        <wps:bodyPr upright="1"/>
                      </wps:wsp>
                      <wps:wsp>
                        <wps:cNvPr id="92" name="直接连接符 92"/>
                        <wps:cNvSpPr/>
                        <wps:spPr>
                          <a:xfrm flipV="1">
                            <a:off x="1828165" y="107950"/>
                            <a:ext cx="635" cy="1882140"/>
                          </a:xfrm>
                          <a:prstGeom prst="line">
                            <a:avLst/>
                          </a:prstGeom>
                          <a:ln w="9525" cap="flat" cmpd="sng">
                            <a:solidFill>
                              <a:srgbClr val="000000"/>
                            </a:solidFill>
                            <a:prstDash val="solid"/>
                            <a:headEnd type="none" w="med" len="med"/>
                            <a:tailEnd type="triangle" w="med" len="med"/>
                          </a:ln>
                        </wps:spPr>
                        <wps:bodyPr upright="1"/>
                      </wps:wsp>
                      <wps:wsp>
                        <wps:cNvPr id="93" name="文本框 93"/>
                        <wps:cNvSpPr txBox="1"/>
                        <wps:spPr>
                          <a:xfrm>
                            <a:off x="4657090" y="1101090"/>
                            <a:ext cx="588010" cy="397510"/>
                          </a:xfrm>
                          <a:prstGeom prst="rect">
                            <a:avLst/>
                          </a:prstGeom>
                          <a:noFill/>
                          <a:ln>
                            <a:noFill/>
                          </a:ln>
                        </wps:spPr>
                        <wps:txbx>
                          <w:txbxContent>
                            <w:p>
                              <w:pPr>
                                <w:rPr>
                                  <w:rFonts w:hint="eastAsia" w:ascii="仿宋_GB2312" w:eastAsia="仿宋_GB2312"/>
                                </w:rPr>
                              </w:pPr>
                              <w:r>
                                <w:rPr>
                                  <w:rFonts w:hint="eastAsia" w:ascii="仿宋_GB2312" w:eastAsia="仿宋_GB2312"/>
                                </w:rPr>
                                <w:t>马颊河</w:t>
                              </w:r>
                            </w:p>
                          </w:txbxContent>
                        </wps:txbx>
                        <wps:bodyPr upright="1"/>
                      </wps:wsp>
                      <wps:wsp>
                        <wps:cNvPr id="94" name="直接连接符 94"/>
                        <wps:cNvSpPr/>
                        <wps:spPr>
                          <a:xfrm>
                            <a:off x="2056765" y="306070"/>
                            <a:ext cx="635" cy="1882140"/>
                          </a:xfrm>
                          <a:prstGeom prst="line">
                            <a:avLst/>
                          </a:prstGeom>
                          <a:ln w="9525" cap="flat" cmpd="sng">
                            <a:solidFill>
                              <a:srgbClr val="000000"/>
                            </a:solidFill>
                            <a:prstDash val="dash"/>
                            <a:headEnd type="none" w="med" len="med"/>
                            <a:tailEnd type="none" w="med" len="med"/>
                          </a:ln>
                        </wps:spPr>
                        <wps:bodyPr upright="1"/>
                      </wps:wsp>
                      <wps:wsp>
                        <wps:cNvPr id="95" name="直接连接符 95"/>
                        <wps:cNvSpPr/>
                        <wps:spPr>
                          <a:xfrm flipV="1">
                            <a:off x="2881630" y="1395095"/>
                            <a:ext cx="0" cy="594360"/>
                          </a:xfrm>
                          <a:prstGeom prst="line">
                            <a:avLst/>
                          </a:prstGeom>
                          <a:ln w="9525" cap="flat" cmpd="sng">
                            <a:solidFill>
                              <a:srgbClr val="000000"/>
                            </a:solidFill>
                            <a:prstDash val="solid"/>
                            <a:headEnd type="none" w="med" len="med"/>
                            <a:tailEnd type="triangle" w="med" len="med"/>
                          </a:ln>
                        </wps:spPr>
                        <wps:bodyPr upright="1"/>
                      </wps:wsp>
                      <wps:wsp>
                        <wps:cNvPr id="96" name="流程图: 对照 96"/>
                        <wps:cNvSpPr/>
                        <wps:spPr>
                          <a:xfrm>
                            <a:off x="2742565" y="1593850"/>
                            <a:ext cx="227965" cy="9969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97" name="文本框 97"/>
                        <wps:cNvSpPr txBox="1"/>
                        <wps:spPr>
                          <a:xfrm>
                            <a:off x="2285365" y="1990090"/>
                            <a:ext cx="1257300" cy="397510"/>
                          </a:xfrm>
                          <a:prstGeom prst="rect">
                            <a:avLst/>
                          </a:prstGeom>
                          <a:noFill/>
                          <a:ln w="9525" cap="flat" cmpd="sng">
                            <a:solidFill>
                              <a:srgbClr val="000000"/>
                            </a:solidFill>
                            <a:prstDash val="solid"/>
                            <a:miter/>
                            <a:headEnd type="none" w="med" len="med"/>
                            <a:tailEnd type="none" w="med" len="med"/>
                          </a:ln>
                        </wps:spPr>
                        <wps:txbx>
                          <w:txbxContent>
                            <w:p>
                              <w:pPr>
                                <w:rPr>
                                  <w:rFonts w:hint="eastAsia" w:ascii="仿宋_GB2312" w:eastAsia="仿宋_GB2312"/>
                                </w:rPr>
                              </w:pPr>
                              <w:r>
                                <w:rPr>
                                  <w:rFonts w:hint="eastAsia" w:ascii="仿宋_GB2312" w:eastAsia="仿宋_GB2312"/>
                                </w:rPr>
                                <w:t>前期雨水收集池</w:t>
                              </w:r>
                            </w:p>
                          </w:txbxContent>
                        </wps:txbx>
                        <wps:bodyPr upright="1"/>
                      </wps:wsp>
                      <wps:wsp>
                        <wps:cNvPr id="98" name="直接连接符 98"/>
                        <wps:cNvSpPr/>
                        <wps:spPr>
                          <a:xfrm>
                            <a:off x="4914265" y="538480"/>
                            <a:ext cx="635" cy="589915"/>
                          </a:xfrm>
                          <a:prstGeom prst="line">
                            <a:avLst/>
                          </a:prstGeom>
                          <a:ln w="9525" cap="flat" cmpd="sng">
                            <a:solidFill>
                              <a:srgbClr val="000000"/>
                            </a:solidFill>
                            <a:prstDash val="solid"/>
                            <a:headEnd type="none" w="med" len="med"/>
                            <a:tailEnd type="triangle" w="med" len="med"/>
                          </a:ln>
                        </wps:spPr>
                        <wps:bodyPr upright="1"/>
                      </wps:wsp>
                      <wps:wsp>
                        <wps:cNvPr id="99" name="文本框 99"/>
                        <wps:cNvSpPr txBox="1"/>
                        <wps:spPr>
                          <a:xfrm>
                            <a:off x="2971165" y="1494790"/>
                            <a:ext cx="688975" cy="396240"/>
                          </a:xfrm>
                          <a:prstGeom prst="rect">
                            <a:avLst/>
                          </a:prstGeom>
                          <a:solidFill>
                            <a:srgbClr val="FFFFFF"/>
                          </a:solidFill>
                          <a:ln>
                            <a:noFill/>
                          </a:ln>
                        </wps:spPr>
                        <wps:txbx>
                          <w:txbxContent>
                            <w:p>
                              <w:pPr>
                                <w:rPr>
                                  <w:rFonts w:hint="eastAsia" w:ascii="仿宋_GB2312" w:eastAsia="仿宋_GB2312"/>
                                </w:rPr>
                              </w:pPr>
                              <w:r>
                                <w:rPr>
                                  <w:rFonts w:hint="eastAsia" w:ascii="仿宋_GB2312" w:eastAsia="仿宋_GB2312"/>
                                </w:rPr>
                                <w:t>消防尾水</w:t>
                              </w:r>
                            </w:p>
                          </w:txbxContent>
                        </wps:txbx>
                        <wps:bodyPr vert="eaVert" upright="1"/>
                      </wps:wsp>
                    </wpc:wpc>
                  </a:graphicData>
                </a:graphic>
              </wp:inline>
            </w:drawing>
          </mc:Choice>
          <mc:Fallback>
            <w:pict>
              <v:group id="_x0000_s1026" o:spid="_x0000_s1026" o:spt="203" style="height:188pt;width:449.95pt;" coordsize="5714365,2387600" editas="canvas" o:gfxdata="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">
                <o:lock v:ext="edit" aspectratio="f"/>
                <v:rect id="_x0000_s1026" o:spid="_x0000_s1026" o:spt="1" style="position:absolute;left:0;top:0;height:2387600;width:5714365;" filled="f" stroked="f" coordsize="21600,21600" o:gfxdata="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">
                  <v:fill on="f" focussize="0,0"/>
                  <v:stroke on="f"/>
                  <v:imagedata o:title=""/>
                  <o:lock v:ext="edit" rotation="t" text="t" aspectratio="t"/>
                </v:rect>
                <v:shape id="_x0000_s1026" o:spid="_x0000_s1026" o:spt="202" type="#_x0000_t202" style="position:absolute;left:0;top:8890;height:396240;width:1142365;" fillcolor="#FFFFFF" filled="t" stroked="t" coordsize="21600,21600" o:gfxdata="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9MqIA1gAAAAUBAAAPAAAAAAAAAAEA&#10;IAAAACIAAABkcnMvZG93bnJldi54bWxQSwECFAAUAAAACACHTuJAwOKgNxECAAA7BAAADgAAAAAA&#10;AAABACAAAAAlAQAAZHJzL2Uyb0RvYy54bWxQSwUGAAAAAAYABgBZAQAAqAUAAAAA&#10;">
                  <v:fill on="t" focussize="0,0"/>
                  <v:stroke color="#000000" joinstyle="miter"/>
                  <v:imagedata o:title=""/>
                  <o:lock v:ext="edit" aspectratio="f"/>
                  <v:textbox>
                    <w:txbxContent>
                      <w:p>
                        <w:pPr>
                          <w:rPr>
                            <w:rFonts w:hint="eastAsia" w:ascii="仿宋_GB2312" w:eastAsia="仿宋_GB2312"/>
                          </w:rPr>
                        </w:pPr>
                        <w:r>
                          <w:rPr>
                            <w:rFonts w:hint="eastAsia" w:ascii="仿宋_GB2312" w:eastAsia="仿宋_GB2312"/>
                          </w:rPr>
                          <w:t>装置区排水沟</w:t>
                        </w:r>
                      </w:p>
                    </w:txbxContent>
                  </v:textbox>
                </v:shape>
                <v:line id="_x0000_s1026" o:spid="_x0000_s1026" o:spt="20" style="position:absolute;left:1142365;top:306070;height:635;width:914400;" filled="f" stroked="t" coordsize="21600,21600" o:gfxdata="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LkoRNgAAAAFAQAADwAAAAAAAAABACAAAAAiAAAA&#10;ZHJzL2Rvd25yZXYueG1sUEsBAhQAFAAAAAgAh07iQOG8ezoHAgAA9QMAAA4AAAAAAAAAAQAgAAAA&#10;JwEAAGRycy9lMm9Eb2MueG1sUEsFBgAAAAAGAAYAWQEAAKAFAAAAAA==&#10;">
                  <v:fill on="f" focussize="0,0"/>
                  <v:stroke color="#000000" joinstyle="round" dashstyle="dash" endarrow="block"/>
                  <v:imagedata o:title=""/>
                  <o:lock v:ext="edit" aspectratio="f"/>
                </v:line>
                <v:shape id="_x0000_s1026" o:spid="_x0000_s1026" o:spt="125" type="#_x0000_t125" style="position:absolute;left:1296670;top:63500;height:98425;width:227330;rotation:5898240f;" fillcolor="#FFFFFF" filled="t" stroked="t" coordsize="21600,21600" o:gfxdata="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Mj4zH1gAAAAUBAAAPAAAAAAAAAAEAIAAAACIAAABkcnMvZG93bnJldi54bWxQSwECFAAU&#10;AAAACACHTuJAMlEPcCwCAABNBAAADgAAAAAAAAABACAAAAAlAQAAZHJzL2Uyb0RvYy54bWxQSwUG&#10;AAAAAAYABgBZAQAAwwUAAAAA&#10;">
                  <v:fill on="t" focussize="0,0"/>
                  <v:stroke color="#000000" joinstyle="miter"/>
                  <v:imagedata o:title=""/>
                  <o:lock v:ext="edit" aspectratio="f"/>
                </v:shape>
                <v:line id="_x0000_s1026" o:spid="_x0000_s1026" o:spt="20" style="position:absolute;left:1142365;top:107950;height:1270;width:1028700;" filled="f" stroked="t" coordsize="21600,21600" o:gfxdata="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uGmDYAAAABQEAAA8AAAAAAAAAAQAgAAAA&#10;IgAAAGRycy9kb3ducmV2LnhtbFBLAQIUABQAAAAIAIdO4kAx5sDLCwIAAPgDAAAOAAAAAAAAAAEA&#10;IAAAACcBAABkcnMvZTJvRG9jLnhtbFBLBQYAAAAABgAGAFkBAACkBQAAAAA=&#10;">
                  <v:fill on="f" focussize="0,0"/>
                  <v:stroke color="#000000" joinstyle="round" endarrow="block"/>
                  <v:imagedata o:title=""/>
                  <o:lock v:ext="edit" aspectratio="f"/>
                </v:line>
                <v:shape id="_x0000_s1026" o:spid="_x0000_s1026" o:spt="202" type="#_x0000_t202" style="position:absolute;left:2285365;top:8890;height:396240;width:1257300;" fillcolor="#FFFFFF" filled="t" stroked="t" coordsize="21600,21600" o:gfxdata="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0yogDWAAAABQEAAA8AAAAA&#10;AAAAAQAgAAAAIgAAAGRycy9kb3ducmV2LnhtbFBLAQIUABQAAAAIAIdO4kCbTaQIFgIAAEEEAAAO&#10;AAAAAAAAAAEAIAAAACUBAABkcnMvZTJvRG9jLnhtbFBLBQYAAAAABgAGAFkBAACtBQAAAAA=&#10;">
                  <v:fill on="t" focussize="0,0"/>
                  <v:stroke color="#000000" joinstyle="miter"/>
                  <v:imagedata o:title=""/>
                  <o:lock v:ext="edit" aspectratio="f"/>
                  <v:textbox>
                    <w:txbxContent>
                      <w:p>
                        <w:pPr>
                          <w:jc w:val="center"/>
                          <w:rPr>
                            <w:rFonts w:hint="eastAsia" w:ascii="仿宋_GB2312" w:eastAsia="仿宋_GB2312"/>
                          </w:rPr>
                        </w:pPr>
                        <w:r>
                          <w:rPr>
                            <w:rFonts w:hint="eastAsia" w:ascii="仿宋_GB2312" w:eastAsia="仿宋_GB2312"/>
                          </w:rPr>
                          <w:t>废水终端处理</w:t>
                        </w:r>
                      </w:p>
                    </w:txbxContent>
                  </v:textbox>
                </v:shape>
                <v:line id="_x0000_s1026" o:spid="_x0000_s1026" o:spt="20" style="position:absolute;left:3542664;top:107950;height:1270;width:914400;" filled="f" stroked="t" coordsize="21600,21600" o:gfxdata="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uGmDYAAAABQEAAA8AAAAAAAAAAQAgAAAA&#10;IgAAAGRycy9kb3ducmV2LnhtbFBLAQIUABQAAAAIAIdO4kDvyD00CwIAAPcDAAAOAAAAAAAAAAEA&#10;IAAAACcBAABkcnMvZTJvRG9jLnhtbFBLBQYAAAAABgAGAFkBAACkBQAAAAA=&#10;">
                  <v:fill on="f" focussize="0,0"/>
                  <v:stroke color="#000000" joinstyle="round" endarrow="block"/>
                  <v:imagedata o:title=""/>
                  <o:lock v:ext="edit" aspectratio="f"/>
                </v:line>
                <v:shape id="_x0000_s1026" o:spid="_x0000_s1026" o:spt="125" type="#_x0000_t125" style="position:absolute;left:3811905;top:64770;height:97790;width:227965;rotation:5898240f;" fillcolor="#FFFFFF" filled="t" stroked="t" coordsize="21600,21600" o:gfxdata="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yPjMfWAAAABQEAAA8AAAAAAAAAAQAgAAAAIgAAAGRycy9kb3ducmV2LnhtbFBLAQIU&#10;ABQAAAAIAIdO4kArPkKMLgIAAE0EAAAOAAAAAAAAAAEAIAAAACUBAABkcnMvZTJvRG9jLnhtbFBL&#10;BQYAAAAABgAGAFkBAADFBQAAAAA=&#10;">
                  <v:fill on="t" focussize="0,0"/>
                  <v:stroke color="#000000" joinstyle="miter"/>
                  <v:imagedata o:title=""/>
                  <o:lock v:ext="edit" aspectratio="f"/>
                </v:shape>
                <v:shape id="_x0000_s1026" o:spid="_x0000_s1026" o:spt="202" type="#_x0000_t202" style="position:absolute;left:4457065;top:8890;height:529590;width:1257300;" fillcolor="#FFFFFF" filled="t" stroked="t" coordsize="21600,21600" o:gfxdata="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TKiANYAAAAFAQAADwAAAAAA&#10;AAABACAAAAAiAAAAZHJzL2Rvd25yZXYueG1sUEsBAhQAFAAAAAgAh07iQGFnnuYVAgAAQQQAAA4A&#10;AAAAAAAAAQAgAAAAJQEAAGRycy9lMm9Eb2MueG1sUEsFBgAAAAAGAAYAWQEAAKwFAAAAAA==&#10;">
                  <v:fill on="t" focussize="0,0"/>
                  <v:stroke color="#000000" joinstyle="miter"/>
                  <v:imagedata o:title=""/>
                  <o:lock v:ext="edit" aspectratio="f"/>
                  <v:textbox>
                    <w:txbxContent>
                      <w:p>
                        <w:pPr>
                          <w:rPr>
                            <w:rFonts w:hint="eastAsia" w:ascii="仿宋_GB2312" w:eastAsia="仿宋_GB2312"/>
                          </w:rPr>
                        </w:pPr>
                        <w:r>
                          <w:rPr>
                            <w:rFonts w:hint="eastAsia" w:ascii="仿宋_GB2312" w:eastAsia="仿宋_GB2312"/>
                          </w:rPr>
                          <w:t>濮阳市第二污水处理厂</w:t>
                        </w:r>
                      </w:p>
                    </w:txbxContent>
                  </v:textbox>
                </v:shape>
                <v:shape id="_x0000_s1026" o:spid="_x0000_s1026" o:spt="202" type="#_x0000_t202" style="position:absolute;left:2285365;top:998854;height:396875;width:1257300;" filled="f" stroked="t" coordsize="21600,21600" o:gfxdata="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LY2rO1AAAAAUBAAAPAAAAAAAAAAEA&#10;IAAAACIAAABkcnMvZG93bnJldi54bWxQSwECFAAUAAAACACHTuJAj5Y3LhMCAAAaBAAADgAAAAAA&#10;AAABACAAAAAjAQAAZHJzL2Uyb0RvYy54bWxQSwUGAAAAAAYABgBZAQAAqAUAAAAA&#10;">
                  <v:fill on="f" focussize="0,0"/>
                  <v:stroke color="#000000" joinstyle="miter"/>
                  <v:imagedata o:title=""/>
                  <o:lock v:ext="edit" aspectratio="f"/>
                  <v:textbox>
                    <w:txbxContent>
                      <w:p>
                        <w:pPr>
                          <w:jc w:val="center"/>
                          <w:rPr>
                            <w:rFonts w:hint="eastAsia" w:ascii="仿宋_GB2312" w:eastAsia="仿宋_GB2312"/>
                          </w:rPr>
                        </w:pPr>
                        <w:r>
                          <w:rPr>
                            <w:rFonts w:hint="eastAsia" w:ascii="仿宋_GB2312" w:eastAsia="仿宋_GB2312"/>
                          </w:rPr>
                          <w:t>应急事故池</w:t>
                        </w:r>
                      </w:p>
                    </w:txbxContent>
                  </v:textbox>
                </v:shape>
                <v:line id="_x0000_s1026" o:spid="_x0000_s1026" o:spt="20" style="position:absolute;left:2856865;top:405130;flip:y;height:593725;width:635;" filled="f" stroked="t" coordsize="21600,21600" o:gfxdata="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D/+t62AAAAAUBAAAPAAAAAAAAAAEAIAAA&#10;ACIAAABkcnMvZG93bnJldi54bWxQSwECFAAUAAAACACHTuJAYG1hBwwCAAAEBAAADgAAAAAAAAAB&#10;ACAAAAAnAQAAZHJzL2Uyb0RvYy54bWxQSwUGAAAAAAYABgBZAQAApQUAAAAA&#10;">
                  <v:fill on="f" focussize="0,0"/>
                  <v:stroke color="#000000" joinstyle="round" startarrow="block" endarrow="block"/>
                  <v:imagedata o:title=""/>
                  <o:lock v:ext="edit" aspectratio="f"/>
                </v:line>
                <v:shape id="_x0000_s1026" o:spid="_x0000_s1026" o:spt="125" type="#_x0000_t125" style="position:absolute;left:2742565;top:702310;height:99060;width:227965;" fillcolor="#FFFFFF" filled="t" stroked="t" coordsize="21600,21600" o:gfxdata="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CeSETX&#10;AAAABQEAAA8AAAAAAAAAAQAgAAAAIgAAAGRycy9kb3ducmV2LnhtbFBLAQIUABQAAAAIAIdO4kBm&#10;PxPVIQIAAEAEAAAOAAAAAAAAAAEAIAAAACYBAABkcnMvZTJvRG9jLnhtbFBLBQYAAAAABgAGAFkB&#10;AAC5BQAAAAA=&#10;">
                  <v:fill on="t" focussize="0,0"/>
                  <v:stroke color="#000000" joinstyle="miter"/>
                  <v:imagedata o:title=""/>
                  <o:lock v:ext="edit" aspectratio="f"/>
                </v:shape>
                <v:shape id="_x0000_s1026" o:spid="_x0000_s1026" o:spt="202" type="#_x0000_t202" style="position:absolute;left:0;top:1891030;height:396240;width:1142365;" fillcolor="#FFFFFF" filled="t" stroked="t" coordsize="21600,21600" o:gfxdata="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KiANYAAAAFAQAADwAAAAAAAAAB&#10;ACAAAAAiAAAAZHJzL2Rvd25yZXYueG1sUEsBAhQAFAAAAAgAh07iQOIm4boSAgAAPgQAAA4AAAAA&#10;AAAAAQAgAAAAJQEAAGRycy9lMm9Eb2MueG1sUEsFBgAAAAAGAAYAWQEAAKkFAAAAAA==&#10;">
                  <v:fill on="t" focussize="0,0"/>
                  <v:stroke color="#000000" joinstyle="miter"/>
                  <v:imagedata o:title=""/>
                  <o:lock v:ext="edit" aspectratio="f"/>
                  <v:textbox>
                    <w:txbxContent>
                      <w:p>
                        <w:pPr>
                          <w:rPr>
                            <w:rFonts w:hint="eastAsia" w:ascii="仿宋_GB2312" w:eastAsia="仿宋_GB2312"/>
                          </w:rPr>
                        </w:pPr>
                        <w:r>
                          <w:rPr>
                            <w:rFonts w:hint="eastAsia" w:ascii="仿宋_GB2312" w:eastAsia="仿宋_GB2312"/>
                          </w:rPr>
                          <w:t>储罐区围堰</w:t>
                        </w:r>
                      </w:p>
                    </w:txbxContent>
                  </v:textbox>
                </v:shape>
                <v:line id="_x0000_s1026" o:spid="_x0000_s1026" o:spt="20" style="position:absolute;left:1142365;top:1990090;height:635;width:685800;" filled="f" stroked="t" coordsize="21600,21600" o:gfxdata="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vrhpg2AAAAAUBAAAPAAAAAAAAAAEAIAAAACIA&#10;AABkcnMvZG93bnJldi54bWxQSwECFAAUAAAACACHTuJAGiF+oQkCAAD3AwAADgAAAAAAAAABACAA&#10;AAAnAQAAZHJzL2Uyb0RvYy54bWxQSwUGAAAAAAYABgBZAQAAogUAAAAA&#10;">
                  <v:fill on="f" focussize="0,0"/>
                  <v:stroke color="#000000" joinstyle="round" endarrow="block"/>
                  <v:imagedata o:title=""/>
                  <o:lock v:ext="edit" aspectratio="f"/>
                </v:line>
                <v:shape id="_x0000_s1026" o:spid="_x0000_s1026" o:spt="125" type="#_x0000_t125" style="position:absolute;left:1419860;top:1954530;height:99060;width:227330;rotation:5898240f;" fillcolor="#FFFFFF" filled="t" stroked="t" coordsize="21600,21600" o:gfxdata="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jI+Mx9YAAAAFAQAADwAAAAAAAAABACAAAAAiAAAAZHJzL2Rvd25yZXYueG1sUEsBAhQA&#10;FAAAAAgAh07iQIkpB70tAgAATwQAAA4AAAAAAAAAAQAgAAAAJQEAAGRycy9lMm9Eb2MueG1sUEsF&#10;BgAAAAAGAAYAWQEAAMQFAAAAAA==&#10;">
                  <v:fill on="t" focussize="0,0"/>
                  <v:stroke color="#000000" joinstyle="miter"/>
                  <v:imagedata o:title=""/>
                  <o:lock v:ext="edit" aspectratio="f"/>
                </v:shape>
                <v:line id="_x0000_s1026" o:spid="_x0000_s1026" o:spt="20" style="position:absolute;left:1142365;top:2188210;height:635;width:1143000;" filled="f" stroked="t" coordsize="21600,21600" o:gfxdata="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LkoRNgAAAAFAQAADwAAAAAAAAABACAAAAAiAAAA&#10;ZHJzL2Rvd25yZXYueG1sUEsBAhQAFAAAAAgAh07iQEPXlIkHAgAA9wMAAA4AAAAAAAAAAQAgAAAA&#10;JwEAAGRycy9lMm9Eb2MueG1sUEsFBgAAAAAGAAYAWQEAAKAFAAAAAA==&#10;">
                  <v:fill on="f" focussize="0,0"/>
                  <v:stroke color="#000000" joinstyle="round" dashstyle="dash" endarrow="block"/>
                  <v:imagedata o:title=""/>
                  <o:lock v:ext="edit" aspectratio="f"/>
                </v:line>
                <v:line id="_x0000_s1026" o:spid="_x0000_s1026" o:spt="20" style="position:absolute;left:1828165;top:107950;flip:y;height:1882140;width:635;" filled="f" stroked="t" coordsize="21600,21600" o:gfxdata="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GjzPXAAAABQEAAA8AAAAAAAAAAQAg&#10;AAAAIgAAAGRycy9kb3ducmV2LnhtbFBLAQIUABQAAAAIAIdO4kC8zhcYDwIAAAEEAAAOAAAAAAAA&#10;AAEAIAAAACYBAABkcnMvZTJvRG9jLnhtbFBLBQYAAAAABgAGAFkBAACnBQAAAAA=&#10;">
                  <v:fill on="f" focussize="0,0"/>
                  <v:stroke color="#000000" joinstyle="round" endarrow="block"/>
                  <v:imagedata o:title=""/>
                  <o:lock v:ext="edit" aspectratio="f"/>
                </v:line>
                <v:shape id="_x0000_s1026" o:spid="_x0000_s1026" o:spt="202" type="#_x0000_t202" style="position:absolute;left:4657090;top:1101090;height:397510;width:588010;" filled="f" stroked="f" coordsize="21600,21600" o:gfxdata="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gH+vdQAAAAFAQAADwAAAAAAAAABACAAAAAiAAAAZHJzL2Rvd25yZXYueG1sUEsBAhQAFAAAAAgA&#10;h07iQJJA27+3AQAAWwMAAA4AAAAAAAAAAQAgAAAAIwEAAGRycy9lMm9Eb2MueG1sUEsFBgAAAAAG&#10;AAYAWQEAAEwFAAAAAA==&#10;">
                  <v:fill on="f" focussize="0,0"/>
                  <v:stroke on="f"/>
                  <v:imagedata o:title=""/>
                  <o:lock v:ext="edit" aspectratio="f"/>
                  <v:textbox>
                    <w:txbxContent>
                      <w:p>
                        <w:pPr>
                          <w:rPr>
                            <w:rFonts w:hint="eastAsia" w:ascii="仿宋_GB2312" w:eastAsia="仿宋_GB2312"/>
                          </w:rPr>
                        </w:pPr>
                        <w:r>
                          <w:rPr>
                            <w:rFonts w:hint="eastAsia" w:ascii="仿宋_GB2312" w:eastAsia="仿宋_GB2312"/>
                          </w:rPr>
                          <w:t>马颊河</w:t>
                        </w:r>
                      </w:p>
                    </w:txbxContent>
                  </v:textbox>
                </v:shape>
                <v:line id="_x0000_s1026" o:spid="_x0000_s1026" o:spt="20" style="position:absolute;left:2056765;top:306070;height:1882140;width:635;" filled="f" stroked="t" coordsize="21600,21600" o:gfxdata="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0Nh0dcAAAAFAQAADwAAAAAAAAABACAAAAAiAAAAZHJz&#10;L2Rvd25yZXYueG1sUEsBAhQAFAAAAAgAh07iQEQF0qQFAgAA8gMAAA4AAAAAAAAAAQAgAAAAJgEA&#10;AGRycy9lMm9Eb2MueG1sUEsFBgAAAAAGAAYAWQEAAJ0FAAAAAA==&#10;">
                  <v:fill on="f" focussize="0,0"/>
                  <v:stroke color="#000000" joinstyle="round" dashstyle="dash"/>
                  <v:imagedata o:title=""/>
                  <o:lock v:ext="edit" aspectratio="f"/>
                </v:line>
                <v:line id="_x0000_s1026" o:spid="_x0000_s1026" o:spt="20" style="position:absolute;left:2881630;top:1395095;flip:y;height:594360;width:0;" filled="f" stroked="t" coordsize="21600,21600" o:gfxdata="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GjzPXAAAABQEAAA8AAAAAAAAAAQAg&#10;AAAAIgAAAGRycy9kb3ducmV2LnhtbFBLAQIUABQAAAAIAIdO4kAj4NK1DwIAAP8DAAAOAAAAAAAA&#10;AAEAIAAAACYBAABkcnMvZTJvRG9jLnhtbFBLBQYAAAAABgAGAFkBAACnBQAAAAA=&#10;">
                  <v:fill on="f" focussize="0,0"/>
                  <v:stroke color="#000000" joinstyle="round" endarrow="block"/>
                  <v:imagedata o:title=""/>
                  <o:lock v:ext="edit" aspectratio="f"/>
                </v:line>
                <v:shape id="_x0000_s1026" o:spid="_x0000_s1026" o:spt="125" type="#_x0000_t125" style="position:absolute;left:2742565;top:1593849;height:99695;width:227965;" fillcolor="#FFFFFF" filled="t" stroked="t" coordsize="21600,21600" o:gfxdata="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QnkhE1wAA&#10;AAUBAAAPAAAAAAAAAAEAIAAAACIAAABkcnMvZG93bnJldi54bWxQSwECFAAUAAAACACHTuJA/S8m&#10;HB8CAABBBAAADgAAAAAAAAABACAAAAAmAQAAZHJzL2Uyb0RvYy54bWxQSwUGAAAAAAYABgBZAQAA&#10;twUAAAAA&#10;">
                  <v:fill on="t" focussize="0,0"/>
                  <v:stroke color="#000000" joinstyle="miter"/>
                  <v:imagedata o:title=""/>
                  <o:lock v:ext="edit" aspectratio="f"/>
                </v:shape>
                <v:shape id="_x0000_s1026" o:spid="_x0000_s1026" o:spt="202" type="#_x0000_t202" style="position:absolute;left:2285365;top:1990090;height:397510;width:1257300;" filled="f" stroked="t" coordsize="21600,21600" o:gfxdata="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LY2rO1AAAAAUBAAAPAAAAAAAAAAEA&#10;IAAAACIAAABkcnMvZG93bnJldi54bWxQSwECFAAUAAAACACHTuJA8an79hMCAAAbBAAADgAAAAAA&#10;AAABACAAAAAjAQAAZHJzL2Uyb0RvYy54bWxQSwUGAAAAAAYABgBZAQAAqAUAAAAA&#10;">
                  <v:fill on="f" focussize="0,0"/>
                  <v:stroke color="#000000" joinstyle="miter"/>
                  <v:imagedata o:title=""/>
                  <o:lock v:ext="edit" aspectratio="f"/>
                  <v:textbox>
                    <w:txbxContent>
                      <w:p>
                        <w:pPr>
                          <w:rPr>
                            <w:rFonts w:hint="eastAsia" w:ascii="仿宋_GB2312" w:eastAsia="仿宋_GB2312"/>
                          </w:rPr>
                        </w:pPr>
                        <w:r>
                          <w:rPr>
                            <w:rFonts w:hint="eastAsia" w:ascii="仿宋_GB2312" w:eastAsia="仿宋_GB2312"/>
                          </w:rPr>
                          <w:t>前期雨水收集池</w:t>
                        </w:r>
                      </w:p>
                    </w:txbxContent>
                  </v:textbox>
                </v:shape>
                <v:line id="_x0000_s1026" o:spid="_x0000_s1026" o:spt="20" style="position:absolute;left:4914265;top:538480;height:589915;width:635;" filled="f" stroked="t" coordsize="21600,21600" o:gfxdata="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uGmDYAAAABQEAAA8AAAAAAAAAAQAgAAAAIgAA&#10;AGRycy9kb3ducmV2LnhtbFBLAQIUABQAAAAIAIdO4kA92ysbCAIAAPYDAAAOAAAAAAAAAAEAIAAA&#10;ACcBAABkcnMvZTJvRG9jLnhtbFBLBQYAAAAABgAGAFkBAAChBQAAAAA=&#10;">
                  <v:fill on="f" focussize="0,0"/>
                  <v:stroke color="#000000" joinstyle="round" endarrow="block"/>
                  <v:imagedata o:title=""/>
                  <o:lock v:ext="edit" aspectratio="f"/>
                </v:line>
                <v:shape id="_x0000_s1026" o:spid="_x0000_s1026" o:spt="202" type="#_x0000_t202" style="position:absolute;left:2971165;top:1494790;height:396240;width:688975;" fillcolor="#FFFFFF" filled="t" stroked="f" coordsize="21600,21600" o:gfxdata="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cTSk51gAAAAUBAAAPAAAAAAAAAAEA&#10;IAAAACIAAABkcnMvZG93bnJldi54bWxQSwECFAAUAAAACACHTuJA2/NB1tgBAACSAwAADgAAAAAA&#10;AAABACAAAAAlAQAAZHJzL2Uyb0RvYy54bWxQSwUGAAAAAAYABgBZAQAAbwUAAAAA&#10;">
                  <v:fill on="t" focussize="0,0"/>
                  <v:stroke on="f"/>
                  <v:imagedata o:title=""/>
                  <o:lock v:ext="edit" aspectratio="f"/>
                  <v:textbox style="layout-flow:vertical-ideographic;">
                    <w:txbxContent>
                      <w:p>
                        <w:pPr>
                          <w:rPr>
                            <w:rFonts w:hint="eastAsia" w:ascii="仿宋_GB2312" w:eastAsia="仿宋_GB2312"/>
                          </w:rPr>
                        </w:pPr>
                        <w:r>
                          <w:rPr>
                            <w:rFonts w:hint="eastAsia" w:ascii="仿宋_GB2312" w:eastAsia="仿宋_GB2312"/>
                          </w:rPr>
                          <w:t>消防尾水</w:t>
                        </w:r>
                      </w:p>
                    </w:txbxContent>
                  </v:textbox>
                </v:shape>
                <w10:wrap type="none"/>
                <w10:anchorlock/>
              </v:group>
            </w:pict>
          </mc:Fallback>
        </mc:AlternateContent>
      </w:r>
    </w:p>
    <w:p>
      <w:pPr>
        <w:pStyle w:val="32"/>
        <w:tabs>
          <w:tab w:val="clear" w:pos="900"/>
        </w:tabs>
        <w:ind w:firstLineChars="83"/>
        <w:jc w:val="center"/>
        <w:rPr>
          <w:rFonts w:hint="eastAsia"/>
        </w:rPr>
      </w:pPr>
      <w:r>
        <w:rPr>
          <w:rFonts w:hint="eastAsia"/>
        </w:rPr>
        <w:t>图</w:t>
      </w:r>
      <w:r>
        <w:t>7</w:t>
      </w:r>
      <w:r>
        <w:rPr>
          <w:rFonts w:hint="eastAsia"/>
        </w:rPr>
        <w:t>.</w:t>
      </w:r>
      <w:r>
        <w:t>9</w:t>
      </w:r>
      <w:r>
        <w:rPr>
          <w:rFonts w:hint="eastAsia"/>
        </w:rPr>
        <w:t>-</w:t>
      </w:r>
      <w:r>
        <w:t>2</w:t>
      </w:r>
      <w:r>
        <w:rPr>
          <w:rFonts w:hint="eastAsia"/>
        </w:rPr>
        <w:t xml:space="preserve">  装置区事故废水收集及封堵示意图</w:t>
      </w:r>
    </w:p>
    <w:p>
      <w:pPr>
        <w:pStyle w:val="8"/>
        <w:spacing w:line="520" w:lineRule="exact"/>
        <w:ind w:firstLine="478" w:firstLineChars="171"/>
        <w:rPr>
          <w:rFonts w:hint="eastAsia"/>
          <w:color w:val="auto"/>
          <w:sz w:val="28"/>
          <w:szCs w:val="22"/>
        </w:rPr>
      </w:pPr>
      <w:r>
        <w:rPr>
          <w:rFonts w:hint="eastAsia"/>
          <w:color w:val="auto"/>
          <w:sz w:val="28"/>
          <w:szCs w:val="22"/>
        </w:rPr>
        <w:t>本项目事故池拟依托永金乙二醇项目事故池（3200</w:t>
      </w:r>
      <w:r>
        <w:rPr>
          <w:color w:val="auto"/>
          <w:sz w:val="28"/>
          <w:szCs w:val="22"/>
        </w:rPr>
        <w:t>m</w:t>
      </w:r>
      <w:r>
        <w:rPr>
          <w:color w:val="auto"/>
          <w:sz w:val="28"/>
          <w:szCs w:val="22"/>
          <w:vertAlign w:val="superscript"/>
        </w:rPr>
        <w:t>3</w:t>
      </w:r>
      <w:r>
        <w:rPr>
          <w:rFonts w:hint="eastAsia"/>
          <w:color w:val="auto"/>
          <w:sz w:val="28"/>
          <w:szCs w:val="22"/>
        </w:rPr>
        <w:t>），此外，煤化工厂区目前已建设有</w:t>
      </w:r>
      <w:r>
        <w:rPr>
          <w:color w:val="auto"/>
          <w:sz w:val="28"/>
          <w:szCs w:val="22"/>
        </w:rPr>
        <w:t>8000m</w:t>
      </w:r>
      <w:r>
        <w:rPr>
          <w:color w:val="auto"/>
          <w:sz w:val="28"/>
          <w:szCs w:val="22"/>
          <w:vertAlign w:val="superscript"/>
        </w:rPr>
        <w:t>3</w:t>
      </w:r>
      <w:r>
        <w:rPr>
          <w:color w:val="auto"/>
          <w:sz w:val="28"/>
          <w:szCs w:val="22"/>
        </w:rPr>
        <w:t>污水调节池</w:t>
      </w:r>
      <w:r>
        <w:rPr>
          <w:rFonts w:hint="eastAsia"/>
          <w:color w:val="auto"/>
          <w:sz w:val="28"/>
          <w:szCs w:val="22"/>
        </w:rPr>
        <w:t>（兼事故池）</w:t>
      </w:r>
      <w:r>
        <w:rPr>
          <w:color w:val="auto"/>
          <w:sz w:val="28"/>
          <w:szCs w:val="22"/>
        </w:rPr>
        <w:t>、5000m</w:t>
      </w:r>
      <w:r>
        <w:rPr>
          <w:color w:val="auto"/>
          <w:sz w:val="28"/>
          <w:szCs w:val="22"/>
          <w:vertAlign w:val="superscript"/>
        </w:rPr>
        <w:t>3</w:t>
      </w:r>
      <w:r>
        <w:rPr>
          <w:color w:val="auto"/>
          <w:sz w:val="28"/>
          <w:szCs w:val="22"/>
        </w:rPr>
        <w:t>事故池</w:t>
      </w:r>
      <w:r>
        <w:rPr>
          <w:rFonts w:hint="eastAsia"/>
          <w:color w:val="auto"/>
          <w:sz w:val="28"/>
          <w:szCs w:val="22"/>
        </w:rPr>
        <w:t>和250</w:t>
      </w:r>
      <w:r>
        <w:rPr>
          <w:color w:val="auto"/>
          <w:sz w:val="28"/>
          <w:szCs w:val="22"/>
        </w:rPr>
        <w:t>m</w:t>
      </w:r>
      <w:r>
        <w:rPr>
          <w:color w:val="auto"/>
          <w:sz w:val="28"/>
          <w:szCs w:val="22"/>
          <w:vertAlign w:val="superscript"/>
        </w:rPr>
        <w:t>3</w:t>
      </w:r>
      <w:r>
        <w:rPr>
          <w:color w:val="auto"/>
          <w:sz w:val="28"/>
          <w:szCs w:val="22"/>
        </w:rPr>
        <w:t>事故池</w:t>
      </w:r>
      <w:r>
        <w:rPr>
          <w:rFonts w:hint="eastAsia"/>
          <w:color w:val="auto"/>
          <w:sz w:val="28"/>
          <w:szCs w:val="22"/>
        </w:rPr>
        <w:t>（MMA装置西侧），均可以确保事故状态废水不外排，通过调节和切换，分批泵入装置区污水终端处理、设施处理达标后排放至濮阳市第二污水处理厂。</w:t>
      </w:r>
    </w:p>
    <w:p>
      <w:pPr>
        <w:autoSpaceDE w:val="0"/>
        <w:autoSpaceDN w:val="0"/>
        <w:adjustRightInd w:val="0"/>
        <w:spacing w:line="560" w:lineRule="exact"/>
        <w:ind w:firstLine="560" w:firstLineChars="200"/>
        <w:jc w:val="left"/>
        <w:rPr>
          <w:rFonts w:hint="eastAsia"/>
          <w:sz w:val="28"/>
          <w:szCs w:val="22"/>
        </w:rPr>
      </w:pPr>
      <w:r>
        <w:rPr>
          <w:rFonts w:hint="eastAsia"/>
          <w:sz w:val="28"/>
          <w:szCs w:val="22"/>
        </w:rPr>
        <w:t>公司为了防止事故对厂区及周边地下水造成污染，对装置区、罐区、仓库等设施的地基和地表进行了防渗处理；装置区设置排水沟，罐区设置围堰，同时对地表初期雨水进行了收集。通过设置可靠的消防水收集池和事故池，确保事故状态下有毒有害物质不直接排入外环境。</w:t>
      </w:r>
    </w:p>
    <w:p>
      <w:pPr>
        <w:spacing w:line="520" w:lineRule="exact"/>
        <w:ind w:firstLine="560" w:firstLineChars="200"/>
        <w:rPr>
          <w:sz w:val="28"/>
          <w:szCs w:val="28"/>
        </w:rPr>
      </w:pPr>
      <w:r>
        <w:rPr>
          <w:sz w:val="28"/>
          <w:szCs w:val="28"/>
        </w:rPr>
        <w:t>（2）建立区域防控体系</w:t>
      </w:r>
    </w:p>
    <w:p>
      <w:pPr>
        <w:spacing w:line="520" w:lineRule="exact"/>
        <w:ind w:firstLine="560" w:firstLineChars="200"/>
        <w:rPr>
          <w:sz w:val="28"/>
          <w:szCs w:val="28"/>
        </w:rPr>
      </w:pPr>
      <w:r>
        <w:rPr>
          <w:sz w:val="28"/>
          <w:szCs w:val="28"/>
        </w:rPr>
        <w:t>据调查，</w:t>
      </w:r>
      <w:r>
        <w:rPr>
          <w:rFonts w:hint="eastAsia"/>
          <w:sz w:val="28"/>
          <w:szCs w:val="28"/>
        </w:rPr>
        <w:t>中原大化公司未与</w:t>
      </w:r>
      <w:r>
        <w:rPr>
          <w:sz w:val="28"/>
          <w:szCs w:val="28"/>
        </w:rPr>
        <w:t>其他组织或单位签订应急救援协议或互救协议</w:t>
      </w:r>
      <w:r>
        <w:rPr>
          <w:rFonts w:hint="eastAsia"/>
          <w:sz w:val="28"/>
          <w:szCs w:val="28"/>
        </w:rPr>
        <w:t>，</w:t>
      </w:r>
      <w:r>
        <w:rPr>
          <w:sz w:val="28"/>
          <w:szCs w:val="28"/>
        </w:rPr>
        <w:t>评价建议，公司应</w:t>
      </w:r>
      <w:r>
        <w:rPr>
          <w:rFonts w:hint="eastAsia"/>
          <w:sz w:val="28"/>
          <w:szCs w:val="28"/>
        </w:rPr>
        <w:t>积极与周边企业、园区</w:t>
      </w:r>
      <w:r>
        <w:rPr>
          <w:sz w:val="28"/>
          <w:szCs w:val="28"/>
        </w:rPr>
        <w:t>建立区域防控体系，以调高区域应急防控水平和能力。</w:t>
      </w:r>
    </w:p>
    <w:p>
      <w:pPr>
        <w:spacing w:line="520" w:lineRule="exact"/>
        <w:ind w:firstLine="560" w:firstLineChars="200"/>
        <w:rPr>
          <w:sz w:val="28"/>
          <w:szCs w:val="28"/>
        </w:rPr>
      </w:pPr>
      <w:r>
        <w:rPr>
          <w:sz w:val="28"/>
          <w:szCs w:val="28"/>
        </w:rPr>
        <w:t>综上，在采取以上措施及建议后，项目可形成多级</w:t>
      </w:r>
      <w:r>
        <w:rPr>
          <w:rFonts w:hint="eastAsia"/>
          <w:sz w:val="28"/>
          <w:szCs w:val="28"/>
        </w:rPr>
        <w:t>有效</w:t>
      </w:r>
      <w:r>
        <w:rPr>
          <w:sz w:val="28"/>
          <w:szCs w:val="28"/>
        </w:rPr>
        <w:t>防控体系，有效防止事故废水对环境的影响。</w:t>
      </w:r>
    </w:p>
    <w:p>
      <w:pPr>
        <w:pStyle w:val="29"/>
        <w:outlineLvl w:val="3"/>
      </w:pPr>
      <w:r>
        <w:t>7.9.1.7  地下水环境风险防范措施</w:t>
      </w:r>
    </w:p>
    <w:p>
      <w:pPr>
        <w:pStyle w:val="8"/>
        <w:spacing w:line="520" w:lineRule="exact"/>
        <w:ind w:firstLine="560"/>
        <w:rPr>
          <w:color w:val="auto"/>
          <w:sz w:val="28"/>
          <w:szCs w:val="28"/>
        </w:rPr>
      </w:pPr>
      <w:r>
        <w:rPr>
          <w:color w:val="auto"/>
          <w:sz w:val="28"/>
          <w:szCs w:val="28"/>
        </w:rPr>
        <w:t>项目地下水污染防治措施将按照“源头控制、分区防治、污染监控、应急响应”相结合的原则，从污染物的产生、入渗、扩散、应急响应全方位进行控制。</w:t>
      </w:r>
    </w:p>
    <w:p>
      <w:pPr>
        <w:pStyle w:val="8"/>
        <w:spacing w:line="520" w:lineRule="exact"/>
        <w:ind w:firstLine="560"/>
        <w:rPr>
          <w:color w:val="auto"/>
          <w:sz w:val="28"/>
          <w:szCs w:val="28"/>
        </w:rPr>
      </w:pPr>
      <w:r>
        <w:rPr>
          <w:color w:val="auto"/>
          <w:sz w:val="28"/>
          <w:szCs w:val="28"/>
        </w:rPr>
        <w:t>（1）严格按照国家相关规范要求，对工艺、管道、设备、污水储存及处理构筑物采取相应的措施，以防止和降低污染物的跑、冒、滴、漏，将污染物泄漏的环境风险事故降到最低程度；工艺废水、地面冲洗废水、初期污染雨水等在界区内收集及预处理后通过管线送全厂污水处理站处理，处理后回用或</w:t>
      </w:r>
      <w:r>
        <w:rPr>
          <w:rFonts w:hint="eastAsia"/>
          <w:color w:val="auto"/>
          <w:sz w:val="28"/>
          <w:szCs w:val="28"/>
        </w:rPr>
        <w:t>达标排入濮阳市第二污水处理厂</w:t>
      </w:r>
      <w:r>
        <w:rPr>
          <w:color w:val="auto"/>
          <w:sz w:val="28"/>
          <w:szCs w:val="28"/>
        </w:rPr>
        <w:t>。</w:t>
      </w:r>
    </w:p>
    <w:p>
      <w:pPr>
        <w:spacing w:line="520" w:lineRule="exact"/>
        <w:ind w:firstLine="480"/>
        <w:rPr>
          <w:rStyle w:val="68"/>
          <w:sz w:val="28"/>
          <w:szCs w:val="28"/>
        </w:rPr>
      </w:pPr>
      <w:r>
        <w:rPr>
          <w:sz w:val="28"/>
          <w:szCs w:val="28"/>
        </w:rPr>
        <w:t>（2）将整个厂区划分为重点污染防治区、一般污染防治区、非污染防治区</w:t>
      </w:r>
      <w:r>
        <w:rPr>
          <w:rFonts w:hint="eastAsia"/>
          <w:sz w:val="28"/>
          <w:szCs w:val="28"/>
        </w:rPr>
        <w:t>进行防渗控制。</w:t>
      </w:r>
    </w:p>
    <w:p>
      <w:pPr>
        <w:pStyle w:val="8"/>
        <w:spacing w:line="520" w:lineRule="exact"/>
        <w:ind w:firstLine="560"/>
        <w:rPr>
          <w:color w:val="auto"/>
          <w:sz w:val="28"/>
          <w:szCs w:val="28"/>
        </w:rPr>
      </w:pPr>
      <w:r>
        <w:rPr>
          <w:color w:val="auto"/>
          <w:sz w:val="28"/>
          <w:szCs w:val="28"/>
        </w:rPr>
        <w:t>（3）在项目场地及周边设置地下水监测井，用以长期监控污染物在地下水中运移情况；如发现异常或发生事故，加密监测频次，并分析污染原因，确定泄漏污染源，及时采取应急措施。</w:t>
      </w:r>
    </w:p>
    <w:p>
      <w:pPr>
        <w:pStyle w:val="29"/>
        <w:outlineLvl w:val="3"/>
      </w:pPr>
      <w:r>
        <w:t xml:space="preserve">7.9.1.8  </w:t>
      </w:r>
      <w:r>
        <w:rPr>
          <w:rFonts w:hint="eastAsia"/>
        </w:rPr>
        <w:t>建</w:t>
      </w:r>
      <w:r>
        <w:t>立健全安全环境管理制度</w:t>
      </w:r>
    </w:p>
    <w:p>
      <w:pPr>
        <w:pStyle w:val="8"/>
        <w:spacing w:line="520" w:lineRule="exact"/>
        <w:ind w:firstLine="560"/>
        <w:rPr>
          <w:color w:val="auto"/>
          <w:sz w:val="28"/>
          <w:szCs w:val="28"/>
        </w:rPr>
      </w:pPr>
      <w:r>
        <w:rPr>
          <w:color w:val="auto"/>
          <w:sz w:val="28"/>
          <w:szCs w:val="28"/>
        </w:rPr>
        <w:t>化工行业具有易燃易爆、高温高压、有毒有害等特点，进行有效的安全环保管理工作尤其重要。建立健全各种环境风险应急管理规章制度，运用科学的技术手段和管理方法，对环境风险进行有效的预防、监控和响应。</w:t>
      </w:r>
    </w:p>
    <w:p>
      <w:pPr>
        <w:pStyle w:val="8"/>
        <w:spacing w:line="520" w:lineRule="exact"/>
        <w:ind w:firstLine="560"/>
        <w:rPr>
          <w:color w:val="auto"/>
          <w:sz w:val="28"/>
          <w:szCs w:val="28"/>
        </w:rPr>
      </w:pPr>
      <w:r>
        <w:rPr>
          <w:color w:val="auto"/>
          <w:sz w:val="28"/>
          <w:szCs w:val="28"/>
        </w:rPr>
        <w:t>（1）</w:t>
      </w:r>
      <w:r>
        <w:rPr>
          <w:rFonts w:hint="eastAsia"/>
          <w:color w:val="auto"/>
          <w:sz w:val="28"/>
          <w:szCs w:val="28"/>
        </w:rPr>
        <w:t>建设</w:t>
      </w:r>
      <w:r>
        <w:rPr>
          <w:color w:val="auto"/>
          <w:sz w:val="28"/>
          <w:szCs w:val="28"/>
        </w:rPr>
        <w:t>健全的安全、环境管理制度，并严格予以执行。</w:t>
      </w:r>
    </w:p>
    <w:p>
      <w:pPr>
        <w:pStyle w:val="8"/>
        <w:spacing w:line="520" w:lineRule="exact"/>
        <w:ind w:firstLine="560"/>
        <w:rPr>
          <w:color w:val="auto"/>
          <w:sz w:val="28"/>
          <w:szCs w:val="28"/>
        </w:rPr>
      </w:pPr>
      <w:r>
        <w:rPr>
          <w:color w:val="auto"/>
          <w:sz w:val="28"/>
          <w:szCs w:val="28"/>
        </w:rPr>
        <w:t>（2）严格执行我国有关的劳动安全、环境保护、工业卫生的规范和标准，最大限度地消除事故隐患，降低因事故引起的损失和对环境的污染。</w:t>
      </w:r>
    </w:p>
    <w:p>
      <w:pPr>
        <w:pStyle w:val="8"/>
        <w:spacing w:line="520" w:lineRule="exact"/>
        <w:ind w:firstLine="560"/>
        <w:rPr>
          <w:color w:val="auto"/>
          <w:sz w:val="28"/>
          <w:szCs w:val="28"/>
        </w:rPr>
      </w:pPr>
      <w:r>
        <w:rPr>
          <w:color w:val="auto"/>
          <w:sz w:val="28"/>
          <w:szCs w:val="28"/>
        </w:rPr>
        <w:t>（3）配备消防设备和人员，加强全员安全环保教育和培训，实行人员持证上岗制度。</w:t>
      </w:r>
    </w:p>
    <w:p>
      <w:pPr>
        <w:pStyle w:val="8"/>
        <w:spacing w:line="520" w:lineRule="exact"/>
        <w:ind w:firstLine="560"/>
        <w:rPr>
          <w:color w:val="auto"/>
          <w:sz w:val="28"/>
          <w:szCs w:val="28"/>
        </w:rPr>
      </w:pPr>
      <w:r>
        <w:rPr>
          <w:color w:val="auto"/>
          <w:sz w:val="28"/>
          <w:szCs w:val="28"/>
        </w:rPr>
        <w:t>（4）建立火灾报警系统，防火防爆防中毒等事故处理系统，紧急救援站或有毒气体防护站；可能散发可燃及有毒气体的工艺生产装置区（设备、阀门和法兰集中处）、罐区等，应设置可燃气体、有毒气体与温度的在线监测装置、测控探头，便携式检测与报警设施、报警系统，紧急切断及停车系统等。</w:t>
      </w:r>
    </w:p>
    <w:p>
      <w:pPr>
        <w:pStyle w:val="8"/>
        <w:spacing w:line="520" w:lineRule="exact"/>
        <w:ind w:firstLine="560"/>
        <w:rPr>
          <w:color w:val="auto"/>
          <w:sz w:val="28"/>
          <w:szCs w:val="28"/>
        </w:rPr>
      </w:pPr>
      <w:r>
        <w:rPr>
          <w:color w:val="auto"/>
          <w:sz w:val="28"/>
          <w:szCs w:val="28"/>
        </w:rPr>
        <w:t>（5）定期检查</w:t>
      </w:r>
      <w:r>
        <w:rPr>
          <w:rFonts w:hint="eastAsia"/>
          <w:color w:val="auto"/>
          <w:sz w:val="28"/>
          <w:szCs w:val="28"/>
        </w:rPr>
        <w:t>装置</w:t>
      </w:r>
      <w:r>
        <w:rPr>
          <w:color w:val="auto"/>
          <w:sz w:val="28"/>
          <w:szCs w:val="28"/>
        </w:rPr>
        <w:t>设备，杜绝事故隐患，降低事故发生概率。</w:t>
      </w:r>
    </w:p>
    <w:p>
      <w:pPr>
        <w:pStyle w:val="8"/>
        <w:spacing w:line="520" w:lineRule="exact"/>
        <w:ind w:firstLine="560"/>
        <w:rPr>
          <w:color w:val="auto"/>
          <w:sz w:val="28"/>
          <w:szCs w:val="28"/>
        </w:rPr>
      </w:pPr>
      <w:r>
        <w:rPr>
          <w:color w:val="auto"/>
          <w:sz w:val="28"/>
          <w:szCs w:val="28"/>
        </w:rPr>
        <w:t>（6）设置环境监测组，配备监测仪器，与厂区实验室统一管理，负责对全厂日常环境监测和应急监测。</w:t>
      </w:r>
    </w:p>
    <w:p>
      <w:pPr>
        <w:pStyle w:val="8"/>
        <w:spacing w:line="520" w:lineRule="exact"/>
        <w:ind w:firstLine="560"/>
        <w:rPr>
          <w:color w:val="auto"/>
          <w:sz w:val="28"/>
          <w:szCs w:val="28"/>
        </w:rPr>
      </w:pPr>
      <w:r>
        <w:rPr>
          <w:color w:val="auto"/>
          <w:sz w:val="28"/>
          <w:szCs w:val="28"/>
        </w:rPr>
        <w:t>（7）建立事故应急预案，并应实现与地方政府应急救援预案的对接与联动，与地区有关化学事故应急救援部门建立正常的定期联系；一旦出现事故可借助社会力量救援，使损失和对环境的污染降低到最低限度。</w:t>
      </w:r>
    </w:p>
    <w:p>
      <w:pPr>
        <w:pStyle w:val="31"/>
      </w:pPr>
      <w:r>
        <w:t xml:space="preserve">7.9.2  </w:t>
      </w:r>
      <w:r>
        <w:rPr>
          <w:rFonts w:hint="eastAsia"/>
        </w:rPr>
        <w:t>环境</w:t>
      </w:r>
      <w:r>
        <w:t>风险</w:t>
      </w:r>
      <w:r>
        <w:rPr>
          <w:rFonts w:hint="eastAsia"/>
        </w:rPr>
        <w:t>事故应急预案</w:t>
      </w:r>
    </w:p>
    <w:p>
      <w:pPr>
        <w:pStyle w:val="8"/>
        <w:spacing w:line="520" w:lineRule="exact"/>
        <w:ind w:firstLine="560"/>
        <w:rPr>
          <w:color w:val="auto"/>
          <w:sz w:val="28"/>
          <w:szCs w:val="28"/>
        </w:rPr>
      </w:pPr>
      <w:r>
        <w:rPr>
          <w:color w:val="auto"/>
          <w:sz w:val="28"/>
          <w:szCs w:val="28"/>
        </w:rPr>
        <w:t>风险事故发生后，能否迅速而有效的作出应急反应，对于控制污染、减少污染损失以及消除污染等都起到关键性的作用。</w:t>
      </w:r>
    </w:p>
    <w:p>
      <w:pPr>
        <w:pStyle w:val="8"/>
        <w:spacing w:line="520" w:lineRule="exact"/>
        <w:ind w:firstLine="560"/>
        <w:rPr>
          <w:color w:val="auto"/>
          <w:sz w:val="28"/>
          <w:szCs w:val="28"/>
        </w:rPr>
      </w:pPr>
      <w:r>
        <w:rPr>
          <w:color w:val="auto"/>
          <w:sz w:val="28"/>
          <w:szCs w:val="28"/>
        </w:rPr>
        <w:t>应急预案是在贯彻预防为主的前提下，对建设项目可能出现的事故，为及时控制危害源，抢救受害人员，指导居民防护和组织撤离，消除危害后果而组织的救援活动的预想方案。</w:t>
      </w:r>
      <w:r>
        <w:rPr>
          <w:rFonts w:hint="eastAsia"/>
          <w:color w:val="auto"/>
          <w:sz w:val="28"/>
          <w:szCs w:val="28"/>
        </w:rPr>
        <w:t>目前，河南省中原大化集团有限责任公司已编制相关突发环境事件应急预案，建议企业依据</w:t>
      </w:r>
      <w:r>
        <w:rPr>
          <w:color w:val="auto"/>
          <w:sz w:val="28"/>
          <w:szCs w:val="28"/>
        </w:rPr>
        <w:t>《危险化学品事故应急救援预案编制导则（单位版）》的具体要求及</w:t>
      </w:r>
      <w:r>
        <w:rPr>
          <w:rFonts w:hint="eastAsia"/>
          <w:color w:val="auto"/>
          <w:sz w:val="28"/>
          <w:szCs w:val="28"/>
        </w:rPr>
        <w:t>本项目的</w:t>
      </w:r>
      <w:r>
        <w:rPr>
          <w:color w:val="auto"/>
          <w:sz w:val="28"/>
          <w:szCs w:val="28"/>
        </w:rPr>
        <w:t>情况</w:t>
      </w:r>
      <w:r>
        <w:rPr>
          <w:rFonts w:hint="eastAsia"/>
          <w:color w:val="auto"/>
          <w:sz w:val="28"/>
          <w:szCs w:val="28"/>
        </w:rPr>
        <w:t>，完善厂区</w:t>
      </w:r>
      <w:r>
        <w:rPr>
          <w:color w:val="auto"/>
          <w:sz w:val="28"/>
          <w:szCs w:val="28"/>
        </w:rPr>
        <w:t>环境风险事故应急预案。</w:t>
      </w:r>
    </w:p>
    <w:p>
      <w:pPr>
        <w:pStyle w:val="29"/>
        <w:outlineLvl w:val="3"/>
      </w:pPr>
      <w:r>
        <w:t xml:space="preserve">7.9.2.1  </w:t>
      </w:r>
      <w:r>
        <w:rPr>
          <w:rFonts w:hint="eastAsia"/>
        </w:rPr>
        <w:t>总体要求</w:t>
      </w:r>
    </w:p>
    <w:p>
      <w:pPr>
        <w:pStyle w:val="8"/>
        <w:spacing w:line="520" w:lineRule="exact"/>
        <w:ind w:firstLine="560"/>
        <w:rPr>
          <w:color w:val="auto"/>
          <w:sz w:val="28"/>
          <w:szCs w:val="28"/>
        </w:rPr>
      </w:pPr>
      <w:r>
        <w:rPr>
          <w:color w:val="auto"/>
          <w:sz w:val="28"/>
          <w:szCs w:val="28"/>
        </w:rPr>
        <w:t>制定风险事故应急预案的目的是为了在发生风险事故时，能以最快的速度发挥最大的效能，有序的实施救援，尽快控制事态的发展，降低事故造成的危害，减少事故造成的损失。</w:t>
      </w:r>
    </w:p>
    <w:p>
      <w:pPr>
        <w:pStyle w:val="8"/>
        <w:spacing w:line="520" w:lineRule="exact"/>
        <w:ind w:firstLine="560"/>
        <w:rPr>
          <w:color w:val="auto"/>
          <w:sz w:val="28"/>
          <w:szCs w:val="28"/>
        </w:rPr>
      </w:pPr>
      <w:r>
        <w:rPr>
          <w:color w:val="auto"/>
          <w:sz w:val="28"/>
          <w:szCs w:val="28"/>
        </w:rPr>
        <w:t>风险事故应急预案的基本要求包括：科学性、实用性和权威性。风险事故的应急救援预案必须进行科学分析和论证；应急预案应符合项目的客观情况，具有实用、简单、易掌握等特性，便于实施；对事故处置过程中职责、权限、任务、工作标准、奖励与处罚等做出明确规定，使之成为企业的一项制度，确保其权威性。</w:t>
      </w:r>
    </w:p>
    <w:p>
      <w:pPr>
        <w:pStyle w:val="8"/>
        <w:spacing w:line="520" w:lineRule="exact"/>
        <w:ind w:firstLine="560"/>
        <w:rPr>
          <w:color w:val="auto"/>
          <w:sz w:val="28"/>
          <w:szCs w:val="28"/>
        </w:rPr>
      </w:pPr>
      <w:r>
        <w:rPr>
          <w:color w:val="auto"/>
          <w:sz w:val="28"/>
          <w:szCs w:val="28"/>
        </w:rPr>
        <w:t>项目风险事故应急预案仅是企业整体事故应急预案的一个组成部分，严格的应急预案应当在项目建成试生产前编制完成，在项目投产运行过程中不断充实完善，且应急预案由于需要内容详细，便于操作，因此应当结合安全评价报告专题制定。本次环评仅对应急预案提出要求，并对主要风险提纲挈领的提出应急措施和设施要求。</w:t>
      </w:r>
    </w:p>
    <w:p>
      <w:pPr>
        <w:pStyle w:val="8"/>
        <w:spacing w:line="520" w:lineRule="exact"/>
        <w:ind w:firstLine="560"/>
        <w:rPr>
          <w:color w:val="auto"/>
          <w:sz w:val="28"/>
          <w:szCs w:val="28"/>
        </w:rPr>
      </w:pPr>
      <w:r>
        <w:rPr>
          <w:color w:val="auto"/>
          <w:sz w:val="28"/>
          <w:szCs w:val="28"/>
        </w:rPr>
        <w:t>评价建议企业制定环境风险预案时，应根据事故规模、响应及处理时间制定妥善的预警、撤离方案，与周边生产企业及各环境敏感点进行联动，通过制定详细的应急疏散方案并定期进行演练，可以进一步减小本项目风险事故对周边环境敏感点影响。</w:t>
      </w:r>
    </w:p>
    <w:p>
      <w:pPr>
        <w:pStyle w:val="29"/>
        <w:outlineLvl w:val="3"/>
      </w:pPr>
      <w:r>
        <w:t xml:space="preserve">7.9.2.2  </w:t>
      </w:r>
      <w:r>
        <w:rPr>
          <w:rFonts w:hint="eastAsia"/>
        </w:rPr>
        <w:t>主要事故风险应急措施</w:t>
      </w:r>
    </w:p>
    <w:p>
      <w:pPr>
        <w:spacing w:line="520" w:lineRule="exact"/>
        <w:ind w:firstLine="560" w:firstLineChars="200"/>
        <w:rPr>
          <w:sz w:val="28"/>
          <w:szCs w:val="28"/>
        </w:rPr>
      </w:pPr>
      <w:r>
        <w:rPr>
          <w:sz w:val="28"/>
          <w:szCs w:val="28"/>
        </w:rPr>
        <w:t>事故应急救援内容包括污染源控制、人员疏散与救助、污染物处置等内容，具体如下：</w:t>
      </w:r>
    </w:p>
    <w:p>
      <w:pPr>
        <w:spacing w:line="520" w:lineRule="exact"/>
        <w:ind w:firstLine="560" w:firstLineChars="200"/>
        <w:rPr>
          <w:sz w:val="28"/>
          <w:szCs w:val="28"/>
        </w:rPr>
      </w:pPr>
      <w:r>
        <w:rPr>
          <w:rFonts w:hint="eastAsia"/>
          <w:sz w:val="28"/>
          <w:szCs w:val="28"/>
        </w:rPr>
        <w:t>（1）</w:t>
      </w:r>
      <w:r>
        <w:rPr>
          <w:sz w:val="28"/>
          <w:szCs w:val="28"/>
        </w:rPr>
        <w:t>事故发生后，装置人员要紧急进行污染源控制工作。如</w:t>
      </w:r>
      <w:r>
        <w:rPr>
          <w:rFonts w:hint="eastAsia"/>
          <w:sz w:val="28"/>
          <w:szCs w:val="28"/>
        </w:rPr>
        <w:t>装置</w:t>
      </w:r>
      <w:r>
        <w:rPr>
          <w:sz w:val="28"/>
          <w:szCs w:val="28"/>
        </w:rPr>
        <w:t>则查明泄漏部位，关闭附近开关，用应急工具堵塞，以防止泄漏继续扩大，在上述方法无法处置或泄漏量很多时，应立即熄灭场内的明火，同时停止</w:t>
      </w:r>
      <w:r>
        <w:rPr>
          <w:rFonts w:hint="eastAsia"/>
          <w:sz w:val="28"/>
          <w:szCs w:val="28"/>
        </w:rPr>
        <w:t>进料</w:t>
      </w:r>
      <w:r>
        <w:rPr>
          <w:sz w:val="28"/>
          <w:szCs w:val="28"/>
        </w:rPr>
        <w:t>泵、</w:t>
      </w:r>
      <w:r>
        <w:rPr>
          <w:rFonts w:hint="eastAsia"/>
          <w:sz w:val="28"/>
          <w:szCs w:val="28"/>
        </w:rPr>
        <w:t>压缩机</w:t>
      </w:r>
      <w:r>
        <w:rPr>
          <w:sz w:val="28"/>
          <w:szCs w:val="28"/>
        </w:rPr>
        <w:t>等的运转，并关闭紧急切断阀、储槽主阀。将残余物料排至备用储罐或槽车、贮桶，并立即向指挥领导小组报告，听候调遣处置。发生泄漏后应确保消防设备待命和消防队员及时赶赴现场。</w:t>
      </w:r>
    </w:p>
    <w:p>
      <w:pPr>
        <w:spacing w:line="520" w:lineRule="exact"/>
        <w:ind w:firstLine="560" w:firstLineChars="200"/>
        <w:rPr>
          <w:sz w:val="28"/>
          <w:szCs w:val="28"/>
        </w:rPr>
      </w:pPr>
      <w:r>
        <w:rPr>
          <w:rFonts w:hint="eastAsia"/>
          <w:sz w:val="28"/>
          <w:szCs w:val="28"/>
        </w:rPr>
        <w:t>（2）</w:t>
      </w:r>
      <w:r>
        <w:rPr>
          <w:sz w:val="28"/>
          <w:szCs w:val="28"/>
        </w:rPr>
        <w:t>指挥部成员通知所在科室按专业对口迅速向主管上级公安、劳动、环保、卫生等领导机关报告事故情况。</w:t>
      </w:r>
    </w:p>
    <w:p>
      <w:pPr>
        <w:spacing w:line="520" w:lineRule="exact"/>
        <w:ind w:firstLine="560" w:firstLineChars="200"/>
        <w:rPr>
          <w:sz w:val="28"/>
          <w:szCs w:val="28"/>
        </w:rPr>
      </w:pPr>
      <w:r>
        <w:rPr>
          <w:rFonts w:hint="eastAsia"/>
          <w:sz w:val="28"/>
          <w:szCs w:val="28"/>
        </w:rPr>
        <w:t>（3）</w:t>
      </w:r>
      <w:r>
        <w:rPr>
          <w:sz w:val="28"/>
          <w:szCs w:val="28"/>
        </w:rPr>
        <w:t>发生事故的工段，应迅速查明事故发生源点、泄漏部位和原因。指挥部成员到达事故现场后，根据事故状态及危害程度作出相应的应急决定，并命令各应急救援队立即开展救援，如事故扩大时，应及时请求厂外支援。</w:t>
      </w:r>
    </w:p>
    <w:p>
      <w:pPr>
        <w:spacing w:line="520" w:lineRule="exact"/>
        <w:ind w:firstLine="560" w:firstLineChars="200"/>
        <w:rPr>
          <w:sz w:val="28"/>
          <w:szCs w:val="28"/>
        </w:rPr>
      </w:pPr>
      <w:r>
        <w:rPr>
          <w:rFonts w:hint="eastAsia"/>
          <w:sz w:val="28"/>
          <w:szCs w:val="28"/>
        </w:rPr>
        <w:t>（4）</w:t>
      </w:r>
      <w:r>
        <w:rPr>
          <w:sz w:val="28"/>
          <w:szCs w:val="28"/>
        </w:rPr>
        <w:t>事故发生时至少派一人往下风向开展紧急监测，佩戴随身无线通讯工具，随时向指挥部报告下风向污染物浓度和距离情况，必要时根据指挥部决定通知扩散区域内的群众撤离或指导采取简易有效的保护措施。</w:t>
      </w:r>
    </w:p>
    <w:p>
      <w:pPr>
        <w:spacing w:line="520" w:lineRule="exact"/>
        <w:ind w:firstLine="560" w:firstLineChars="200"/>
        <w:rPr>
          <w:sz w:val="28"/>
          <w:szCs w:val="28"/>
        </w:rPr>
      </w:pPr>
      <w:r>
        <w:rPr>
          <w:rFonts w:hint="eastAsia"/>
          <w:sz w:val="28"/>
          <w:szCs w:val="28"/>
        </w:rPr>
        <w:t>（5）</w:t>
      </w:r>
      <w:r>
        <w:rPr>
          <w:sz w:val="28"/>
          <w:szCs w:val="28"/>
        </w:rPr>
        <w:t>如泄漏部位泄漏量较大，则由指挥部派遣人员佩戴防护设备进入装置泄漏部位进行紧急处置，加装紧急机械密封或采用密封胶密封。</w:t>
      </w:r>
    </w:p>
    <w:p>
      <w:pPr>
        <w:spacing w:line="520" w:lineRule="exact"/>
        <w:ind w:firstLine="560" w:firstLineChars="200"/>
        <w:rPr>
          <w:sz w:val="28"/>
          <w:szCs w:val="28"/>
        </w:rPr>
      </w:pPr>
      <w:r>
        <w:rPr>
          <w:rFonts w:hint="eastAsia"/>
          <w:sz w:val="28"/>
          <w:szCs w:val="28"/>
        </w:rPr>
        <w:t>（6）</w:t>
      </w:r>
      <w:r>
        <w:rPr>
          <w:sz w:val="28"/>
          <w:szCs w:val="28"/>
        </w:rPr>
        <w:t>火灾和爆炸等低概率、高危害事故发生后影响较大，应向消防队、公安等部门申请应急救援，并开展紧急疏散和人员急救。应急救援策略厂内采用防护、逃生及应急处置三重考虑，而区域居民和邻近企业以尽快撤离逃生为主。</w:t>
      </w:r>
    </w:p>
    <w:p>
      <w:pPr>
        <w:spacing w:line="520" w:lineRule="exact"/>
        <w:ind w:firstLine="560" w:firstLineChars="200"/>
        <w:rPr>
          <w:sz w:val="28"/>
          <w:szCs w:val="28"/>
        </w:rPr>
      </w:pPr>
      <w:r>
        <w:rPr>
          <w:rFonts w:hint="eastAsia"/>
          <w:sz w:val="28"/>
          <w:szCs w:val="28"/>
        </w:rPr>
        <w:t>（7）</w:t>
      </w:r>
      <w:r>
        <w:rPr>
          <w:sz w:val="28"/>
          <w:szCs w:val="28"/>
        </w:rPr>
        <w:t>厂内设立风向标，根据事故泄漏情况和风向，设置警戒区域，由派遣增援的公安人员协助维持秩序，担负治安和交通指挥，在事故现场周围设岗，划分禁区并加强警戒和巡逻检查。扩散危及到厂内外人员安全时，应迅速组织有关人员协助友邻单位、厂区外过往行人在区、市指挥部指挥协调下，向上侧风方向的安全地带疏散。</w:t>
      </w:r>
    </w:p>
    <w:p>
      <w:pPr>
        <w:spacing w:line="520" w:lineRule="exact"/>
        <w:ind w:firstLine="560" w:firstLineChars="200"/>
        <w:rPr>
          <w:sz w:val="28"/>
          <w:szCs w:val="28"/>
        </w:rPr>
      </w:pPr>
      <w:r>
        <w:rPr>
          <w:rFonts w:hint="eastAsia"/>
          <w:sz w:val="28"/>
          <w:szCs w:val="28"/>
        </w:rPr>
        <w:t>（8）</w:t>
      </w:r>
      <w:r>
        <w:rPr>
          <w:sz w:val="28"/>
          <w:szCs w:val="28"/>
        </w:rPr>
        <w:t>现场（或重大事故厂内外区域）如有中毒人员，则医疗救护队与消防队配合，应立即救护伤员和中毒人员，对中毒人员应根据中毒症状及时采取相应的急救措施，对伤员进行清洗包扎或输氧急救，重伤员及时送往医院抢救。发生腐蚀性伤害则先用大量水冲洗然后送医院。</w:t>
      </w:r>
    </w:p>
    <w:p>
      <w:pPr>
        <w:spacing w:line="520" w:lineRule="exact"/>
        <w:ind w:firstLine="560" w:firstLineChars="200"/>
        <w:rPr>
          <w:sz w:val="28"/>
          <w:szCs w:val="28"/>
        </w:rPr>
      </w:pPr>
      <w:r>
        <w:rPr>
          <w:rFonts w:hint="eastAsia"/>
          <w:sz w:val="28"/>
          <w:szCs w:val="28"/>
        </w:rPr>
        <w:t>（9）</w:t>
      </w:r>
      <w:r>
        <w:rPr>
          <w:sz w:val="28"/>
          <w:szCs w:val="28"/>
        </w:rPr>
        <w:t>指挥领导小组接到报警后，应迅速通知有关部门、车间，要求查明事故发生部位和和原因，下达应急救援处置指令，同时发出警报，通知指挥部成员及消防队和各专业救援队伍迅速赶往事故现场。</w:t>
      </w:r>
    </w:p>
    <w:p>
      <w:pPr>
        <w:spacing w:line="520" w:lineRule="exact"/>
        <w:ind w:firstLine="560" w:firstLineChars="200"/>
        <w:rPr>
          <w:sz w:val="28"/>
          <w:szCs w:val="28"/>
        </w:rPr>
      </w:pPr>
      <w:r>
        <w:rPr>
          <w:rFonts w:hint="eastAsia"/>
          <w:sz w:val="28"/>
          <w:szCs w:val="28"/>
        </w:rPr>
        <w:t>（1</w:t>
      </w:r>
      <w:r>
        <w:rPr>
          <w:sz w:val="28"/>
          <w:szCs w:val="28"/>
        </w:rPr>
        <w:t>0</w:t>
      </w:r>
      <w:r>
        <w:rPr>
          <w:rFonts w:hint="eastAsia"/>
          <w:sz w:val="28"/>
          <w:szCs w:val="28"/>
        </w:rPr>
        <w:t>）</w:t>
      </w:r>
      <w:r>
        <w:rPr>
          <w:sz w:val="28"/>
          <w:szCs w:val="28"/>
        </w:rPr>
        <w:t>当事故得到控制后指挥部要成立调查组，分析事故原因，并研究制定防范措施、抢修方案。</w:t>
      </w:r>
    </w:p>
    <w:p>
      <w:pPr>
        <w:pStyle w:val="29"/>
        <w:outlineLvl w:val="3"/>
      </w:pPr>
      <w:r>
        <w:t xml:space="preserve">7.9.2.3  </w:t>
      </w:r>
      <w:r>
        <w:rPr>
          <w:rFonts w:hint="eastAsia"/>
        </w:rPr>
        <w:t>应急预案的组织及应急处置行为规范</w:t>
      </w:r>
    </w:p>
    <w:p>
      <w:pPr>
        <w:spacing w:line="520" w:lineRule="exact"/>
        <w:ind w:firstLine="560" w:firstLineChars="200"/>
        <w:rPr>
          <w:sz w:val="28"/>
          <w:szCs w:val="28"/>
        </w:rPr>
      </w:pPr>
      <w:r>
        <w:rPr>
          <w:sz w:val="28"/>
          <w:szCs w:val="28"/>
        </w:rPr>
        <w:t>在事故状态下，应急救援组织机构应组织、领导各部门启动应急救援预案，组织事故处置和落实抢修任务。</w:t>
      </w:r>
    </w:p>
    <w:p>
      <w:pPr>
        <w:spacing w:line="520" w:lineRule="exact"/>
        <w:ind w:firstLine="560" w:firstLineChars="200"/>
        <w:rPr>
          <w:sz w:val="28"/>
          <w:szCs w:val="28"/>
        </w:rPr>
      </w:pPr>
      <w:r>
        <w:rPr>
          <w:rFonts w:hint="eastAsia"/>
          <w:sz w:val="28"/>
          <w:szCs w:val="28"/>
        </w:rPr>
        <w:t>（1）</w:t>
      </w:r>
      <w:r>
        <w:rPr>
          <w:sz w:val="28"/>
          <w:szCs w:val="28"/>
        </w:rPr>
        <w:t>应急救援组织机构</w:t>
      </w:r>
    </w:p>
    <w:p>
      <w:pPr>
        <w:spacing w:line="520" w:lineRule="exact"/>
        <w:ind w:firstLine="560" w:firstLineChars="200"/>
        <w:rPr>
          <w:sz w:val="28"/>
          <w:szCs w:val="28"/>
        </w:rPr>
      </w:pPr>
      <w:r>
        <w:rPr>
          <w:rFonts w:hint="eastAsia"/>
          <w:sz w:val="28"/>
          <w:szCs w:val="28"/>
        </w:rPr>
        <w:t>中原大化公司突发环境事件应急组织体系包括应急指挥部、应急救援办公室、应急救援指挥中心和相关专业组。接到外单位求援时，应急组织机构即为外援组织机构，见图</w:t>
      </w:r>
      <w:r>
        <w:rPr>
          <w:sz w:val="28"/>
          <w:szCs w:val="28"/>
        </w:rPr>
        <w:t>7.9</w:t>
      </w:r>
      <w:r>
        <w:rPr>
          <w:rFonts w:hint="eastAsia"/>
          <w:sz w:val="28"/>
          <w:szCs w:val="28"/>
        </w:rPr>
        <w:t>-</w:t>
      </w:r>
      <w:r>
        <w:rPr>
          <w:sz w:val="28"/>
          <w:szCs w:val="28"/>
        </w:rPr>
        <w:t>3</w:t>
      </w:r>
      <w:r>
        <w:rPr>
          <w:rFonts w:hint="eastAsia"/>
          <w:sz w:val="28"/>
          <w:szCs w:val="28"/>
        </w:rPr>
        <w:t>。</w:t>
      </w:r>
    </w:p>
    <w:p>
      <w:pPr>
        <w:ind w:firstLine="420" w:firstLineChars="200"/>
      </w:pPr>
    </w:p>
    <w:p>
      <w:pPr>
        <w:ind w:firstLine="420" w:firstLineChars="200"/>
        <w:jc w:val="center"/>
        <w:rPr>
          <w:rFonts w:eastAsia="黑体"/>
          <w:b/>
          <w:bCs/>
          <w:sz w:val="24"/>
        </w:rPr>
      </w:pPr>
      <w:r>
        <w:object>
          <v:shape id="_x0000_i1053" o:spt="75" type="#_x0000_t75" style="height:227.75pt;width:447.7pt;" o:ole="t" filled="f" stroked="f" coordsize="21600,21600">
            <v:path/>
            <v:fill on="f" focussize="0,0"/>
            <v:stroke on="f"/>
            <v:imagedata r:id="rId130" o:title=""/>
            <o:lock v:ext="edit" aspectratio="t"/>
            <w10:wrap type="none"/>
            <w10:anchorlock/>
          </v:shape>
          <o:OLEObject Type="Embed" ProgID="Visio.Drawing.11" ShapeID="_x0000_i1053" DrawAspect="Content" ObjectID="_1468075735" r:id="rId129">
            <o:LockedField>false</o:LockedField>
          </o:OLEObject>
        </w:object>
      </w:r>
      <w:r>
        <w:rPr>
          <w:rFonts w:eastAsia="黑体"/>
          <w:b/>
          <w:bCs/>
          <w:sz w:val="24"/>
        </w:rPr>
        <w:t>图7.9-3    中原大化应急救援组织机构图</w:t>
      </w:r>
    </w:p>
    <w:p>
      <w:pPr>
        <w:spacing w:line="520" w:lineRule="exact"/>
        <w:ind w:firstLine="560" w:firstLineChars="200"/>
        <w:rPr>
          <w:sz w:val="28"/>
          <w:szCs w:val="28"/>
        </w:rPr>
      </w:pPr>
      <w:r>
        <w:rPr>
          <w:rFonts w:hint="eastAsia"/>
          <w:sz w:val="28"/>
          <w:szCs w:val="28"/>
        </w:rPr>
        <w:t>主要职责：</w:t>
      </w:r>
    </w:p>
    <w:p>
      <w:pPr>
        <w:spacing w:line="520" w:lineRule="exact"/>
        <w:ind w:firstLine="560" w:firstLineChars="200"/>
        <w:rPr>
          <w:sz w:val="28"/>
          <w:szCs w:val="28"/>
        </w:rPr>
      </w:pPr>
      <w:r>
        <w:rPr>
          <w:rFonts w:hint="eastAsia" w:ascii="宋体" w:hAnsi="宋体"/>
          <w:sz w:val="28"/>
          <w:szCs w:val="28"/>
        </w:rPr>
        <w:t>Ⅰ</w:t>
      </w:r>
      <w:r>
        <w:rPr>
          <w:rFonts w:hint="eastAsia"/>
          <w:sz w:val="28"/>
          <w:szCs w:val="28"/>
        </w:rPr>
        <w:t xml:space="preserve"> </w:t>
      </w:r>
      <w:r>
        <w:rPr>
          <w:sz w:val="28"/>
          <w:szCs w:val="28"/>
        </w:rPr>
        <w:t>应急救援指挥部主要职责</w:t>
      </w:r>
    </w:p>
    <w:p>
      <w:pPr>
        <w:spacing w:line="520" w:lineRule="exact"/>
        <w:ind w:firstLine="560" w:firstLineChars="200"/>
        <w:rPr>
          <w:sz w:val="28"/>
          <w:szCs w:val="28"/>
        </w:rPr>
      </w:pPr>
      <w:r>
        <w:rPr>
          <w:rFonts w:hint="eastAsia" w:ascii="宋体" w:hAnsi="宋体" w:cs="宋体"/>
          <w:sz w:val="28"/>
          <w:szCs w:val="28"/>
        </w:rPr>
        <w:t>①</w:t>
      </w:r>
      <w:r>
        <w:rPr>
          <w:sz w:val="28"/>
          <w:szCs w:val="28"/>
        </w:rPr>
        <w:t>组织制定和修订本单位事故应急救援预案；</w:t>
      </w:r>
    </w:p>
    <w:p>
      <w:pPr>
        <w:spacing w:line="520" w:lineRule="exact"/>
        <w:ind w:firstLine="560" w:firstLineChars="200"/>
        <w:rPr>
          <w:sz w:val="28"/>
          <w:szCs w:val="28"/>
        </w:rPr>
      </w:pPr>
      <w:r>
        <w:rPr>
          <w:rFonts w:hint="eastAsia" w:ascii="宋体" w:hAnsi="宋体" w:cs="宋体"/>
          <w:sz w:val="28"/>
          <w:szCs w:val="28"/>
        </w:rPr>
        <w:t>②</w:t>
      </w:r>
      <w:r>
        <w:rPr>
          <w:sz w:val="28"/>
          <w:szCs w:val="28"/>
        </w:rPr>
        <w:t>审批现场救援方案,组织协调现场的救援工作；</w:t>
      </w:r>
    </w:p>
    <w:p>
      <w:pPr>
        <w:spacing w:line="520" w:lineRule="exact"/>
        <w:ind w:firstLine="560" w:firstLineChars="200"/>
        <w:rPr>
          <w:sz w:val="28"/>
          <w:szCs w:val="28"/>
        </w:rPr>
      </w:pPr>
      <w:r>
        <w:rPr>
          <w:rFonts w:hint="eastAsia" w:ascii="宋体" w:hAnsi="宋体" w:cs="宋体"/>
          <w:sz w:val="28"/>
          <w:szCs w:val="28"/>
        </w:rPr>
        <w:t>③</w:t>
      </w:r>
      <w:r>
        <w:rPr>
          <w:sz w:val="28"/>
          <w:szCs w:val="28"/>
        </w:rPr>
        <w:t>负责人员、资源配置、应急队伍的调动；</w:t>
      </w:r>
    </w:p>
    <w:p>
      <w:pPr>
        <w:spacing w:line="520" w:lineRule="exact"/>
        <w:ind w:firstLine="560" w:firstLineChars="200"/>
        <w:rPr>
          <w:sz w:val="28"/>
          <w:szCs w:val="28"/>
        </w:rPr>
      </w:pPr>
      <w:r>
        <w:rPr>
          <w:rFonts w:hint="eastAsia" w:ascii="宋体" w:hAnsi="宋体" w:cs="宋体"/>
          <w:sz w:val="28"/>
          <w:szCs w:val="28"/>
        </w:rPr>
        <w:t>④</w:t>
      </w:r>
      <w:r>
        <w:rPr>
          <w:sz w:val="28"/>
          <w:szCs w:val="28"/>
        </w:rPr>
        <w:t>检查督促做好事故的预防措施和应急救援各项准备工作；</w:t>
      </w:r>
    </w:p>
    <w:p>
      <w:pPr>
        <w:spacing w:line="520" w:lineRule="exact"/>
        <w:ind w:firstLine="560" w:firstLineChars="200"/>
        <w:rPr>
          <w:sz w:val="28"/>
          <w:szCs w:val="28"/>
        </w:rPr>
      </w:pPr>
      <w:r>
        <w:rPr>
          <w:rFonts w:hint="eastAsia" w:ascii="宋体" w:hAnsi="宋体" w:cs="宋体"/>
          <w:sz w:val="28"/>
          <w:szCs w:val="28"/>
        </w:rPr>
        <w:t>⑤</w:t>
      </w:r>
      <w:r>
        <w:rPr>
          <w:sz w:val="28"/>
          <w:szCs w:val="28"/>
        </w:rPr>
        <w:t>组织公司级应急事故演练；</w:t>
      </w:r>
    </w:p>
    <w:p>
      <w:pPr>
        <w:spacing w:line="520" w:lineRule="exact"/>
        <w:ind w:firstLine="560" w:firstLineChars="200"/>
        <w:rPr>
          <w:sz w:val="28"/>
          <w:szCs w:val="28"/>
        </w:rPr>
      </w:pPr>
      <w:r>
        <w:rPr>
          <w:rFonts w:hint="eastAsia" w:ascii="宋体" w:hAnsi="宋体" w:cs="宋体"/>
          <w:sz w:val="28"/>
          <w:szCs w:val="28"/>
        </w:rPr>
        <w:t>⑥</w:t>
      </w:r>
      <w:r>
        <w:rPr>
          <w:sz w:val="28"/>
          <w:szCs w:val="28"/>
        </w:rPr>
        <w:t>负责组织应急物资的保障和人员的应急救援教育培训；</w:t>
      </w:r>
    </w:p>
    <w:p>
      <w:pPr>
        <w:spacing w:line="520" w:lineRule="exact"/>
        <w:ind w:firstLine="560" w:firstLineChars="200"/>
        <w:rPr>
          <w:sz w:val="28"/>
          <w:szCs w:val="28"/>
        </w:rPr>
      </w:pPr>
      <w:r>
        <w:rPr>
          <w:rFonts w:hint="eastAsia" w:ascii="宋体" w:hAnsi="宋体" w:cs="宋体"/>
          <w:sz w:val="28"/>
          <w:szCs w:val="28"/>
        </w:rPr>
        <w:t>⑦</w:t>
      </w:r>
      <w:r>
        <w:rPr>
          <w:sz w:val="28"/>
          <w:szCs w:val="28"/>
        </w:rPr>
        <w:t>批准本预案的启动与终止；</w:t>
      </w:r>
    </w:p>
    <w:p>
      <w:pPr>
        <w:spacing w:line="520" w:lineRule="exact"/>
        <w:ind w:firstLine="560" w:firstLineChars="200"/>
        <w:rPr>
          <w:sz w:val="28"/>
          <w:szCs w:val="28"/>
        </w:rPr>
      </w:pPr>
      <w:r>
        <w:rPr>
          <w:rFonts w:hint="eastAsia" w:ascii="宋体" w:hAnsi="宋体" w:cs="宋体"/>
          <w:sz w:val="28"/>
          <w:szCs w:val="28"/>
        </w:rPr>
        <w:t>⑧</w:t>
      </w:r>
      <w:r>
        <w:rPr>
          <w:sz w:val="28"/>
          <w:szCs w:val="28"/>
        </w:rPr>
        <w:t>向上级有关部门汇报事故救援进展情况；</w:t>
      </w:r>
    </w:p>
    <w:p>
      <w:pPr>
        <w:spacing w:line="520" w:lineRule="exact"/>
        <w:ind w:firstLine="560" w:firstLineChars="200"/>
        <w:rPr>
          <w:sz w:val="28"/>
          <w:szCs w:val="28"/>
        </w:rPr>
      </w:pPr>
      <w:r>
        <w:rPr>
          <w:rFonts w:hint="eastAsia" w:ascii="宋体" w:hAnsi="宋体" w:cs="宋体"/>
          <w:sz w:val="28"/>
          <w:szCs w:val="28"/>
        </w:rPr>
        <w:t>⑨</w:t>
      </w:r>
      <w:r>
        <w:rPr>
          <w:sz w:val="28"/>
          <w:szCs w:val="28"/>
        </w:rPr>
        <w:t>与其他单位联系救援需求，接受政府的指令和调动；</w:t>
      </w:r>
    </w:p>
    <w:p>
      <w:pPr>
        <w:spacing w:line="520" w:lineRule="exact"/>
        <w:ind w:firstLine="560" w:firstLineChars="200"/>
        <w:rPr>
          <w:sz w:val="28"/>
          <w:szCs w:val="28"/>
        </w:rPr>
      </w:pPr>
      <w:r>
        <w:rPr>
          <w:rFonts w:hint="eastAsia" w:ascii="宋体" w:hAnsi="宋体" w:cs="宋体"/>
          <w:sz w:val="28"/>
          <w:szCs w:val="28"/>
        </w:rPr>
        <w:t>⑩</w:t>
      </w:r>
      <w:r>
        <w:rPr>
          <w:sz w:val="28"/>
          <w:szCs w:val="28"/>
        </w:rPr>
        <w:t>组织事故调查，总结应急救援工作经验教训。</w:t>
      </w:r>
    </w:p>
    <w:p>
      <w:pPr>
        <w:spacing w:line="520" w:lineRule="exact"/>
        <w:ind w:firstLine="560" w:firstLineChars="200"/>
        <w:rPr>
          <w:sz w:val="28"/>
          <w:szCs w:val="28"/>
        </w:rPr>
      </w:pPr>
      <w:r>
        <w:rPr>
          <w:rFonts w:hint="eastAsia" w:ascii="宋体" w:hAnsi="宋体"/>
          <w:sz w:val="28"/>
          <w:szCs w:val="28"/>
        </w:rPr>
        <w:t>Ⅱ</w:t>
      </w:r>
      <w:r>
        <w:rPr>
          <w:rFonts w:hint="eastAsia"/>
          <w:sz w:val="28"/>
          <w:szCs w:val="28"/>
        </w:rPr>
        <w:t xml:space="preserve"> </w:t>
      </w:r>
      <w:r>
        <w:rPr>
          <w:sz w:val="28"/>
          <w:szCs w:val="28"/>
        </w:rPr>
        <w:t>指挥部人员主要职责</w:t>
      </w:r>
    </w:p>
    <w:p>
      <w:pPr>
        <w:spacing w:line="520" w:lineRule="exact"/>
        <w:ind w:firstLine="560" w:firstLineChars="200"/>
        <w:rPr>
          <w:sz w:val="28"/>
          <w:szCs w:val="28"/>
        </w:rPr>
      </w:pPr>
      <w:r>
        <w:rPr>
          <w:rFonts w:hint="eastAsia" w:ascii="宋体" w:hAnsi="宋体" w:cs="宋体"/>
          <w:sz w:val="28"/>
          <w:szCs w:val="28"/>
        </w:rPr>
        <w:t>①</w:t>
      </w:r>
      <w:r>
        <w:rPr>
          <w:sz w:val="28"/>
          <w:szCs w:val="28"/>
        </w:rPr>
        <w:t>总指挥</w:t>
      </w:r>
    </w:p>
    <w:p>
      <w:pPr>
        <w:spacing w:line="520" w:lineRule="exact"/>
        <w:ind w:firstLine="560" w:firstLineChars="200"/>
        <w:rPr>
          <w:sz w:val="28"/>
          <w:szCs w:val="28"/>
        </w:rPr>
      </w:pPr>
      <w:r>
        <w:rPr>
          <w:sz w:val="28"/>
          <w:szCs w:val="28"/>
        </w:rPr>
        <w:t>组织指挥全公司突发环境事件的应急救援工作。</w:t>
      </w:r>
    </w:p>
    <w:p>
      <w:pPr>
        <w:spacing w:line="520" w:lineRule="exact"/>
        <w:ind w:firstLine="560" w:firstLineChars="200"/>
        <w:rPr>
          <w:sz w:val="28"/>
          <w:szCs w:val="28"/>
        </w:rPr>
      </w:pPr>
      <w:r>
        <w:rPr>
          <w:rFonts w:hint="eastAsia" w:ascii="宋体" w:hAnsi="宋体" w:cs="宋体"/>
          <w:sz w:val="28"/>
          <w:szCs w:val="28"/>
        </w:rPr>
        <w:t>②</w:t>
      </w:r>
      <w:r>
        <w:rPr>
          <w:sz w:val="28"/>
          <w:szCs w:val="28"/>
        </w:rPr>
        <w:t>副总指挥</w:t>
      </w:r>
    </w:p>
    <w:p>
      <w:pPr>
        <w:spacing w:line="520" w:lineRule="exact"/>
        <w:ind w:firstLine="560" w:firstLineChars="200"/>
        <w:rPr>
          <w:sz w:val="28"/>
          <w:szCs w:val="28"/>
        </w:rPr>
      </w:pPr>
      <w:r>
        <w:rPr>
          <w:sz w:val="28"/>
          <w:szCs w:val="28"/>
        </w:rPr>
        <w:t>协助总指挥负责救援具体工作。</w:t>
      </w:r>
    </w:p>
    <w:p>
      <w:pPr>
        <w:spacing w:line="520" w:lineRule="exact"/>
        <w:ind w:firstLine="560" w:firstLineChars="200"/>
        <w:rPr>
          <w:sz w:val="28"/>
          <w:szCs w:val="28"/>
        </w:rPr>
      </w:pPr>
      <w:r>
        <w:rPr>
          <w:rFonts w:hint="eastAsia" w:ascii="宋体" w:hAnsi="宋体"/>
          <w:sz w:val="28"/>
          <w:szCs w:val="28"/>
        </w:rPr>
        <w:t>Ⅲ</w:t>
      </w:r>
      <w:r>
        <w:rPr>
          <w:rFonts w:hint="eastAsia"/>
          <w:sz w:val="28"/>
          <w:szCs w:val="28"/>
        </w:rPr>
        <w:t xml:space="preserve"> </w:t>
      </w:r>
      <w:r>
        <w:rPr>
          <w:sz w:val="28"/>
          <w:szCs w:val="28"/>
        </w:rPr>
        <w:t>应急救援办公室主要职责</w:t>
      </w:r>
    </w:p>
    <w:p>
      <w:pPr>
        <w:spacing w:line="520" w:lineRule="exact"/>
        <w:ind w:firstLine="560" w:firstLineChars="200"/>
        <w:rPr>
          <w:sz w:val="28"/>
          <w:szCs w:val="28"/>
        </w:rPr>
      </w:pPr>
      <w:r>
        <w:rPr>
          <w:sz w:val="28"/>
          <w:szCs w:val="28"/>
        </w:rPr>
        <w:t>应急救援办公室设在安全环保部，职责为：</w:t>
      </w:r>
    </w:p>
    <w:p>
      <w:pPr>
        <w:spacing w:line="520" w:lineRule="exact"/>
        <w:ind w:firstLine="560" w:firstLineChars="200"/>
        <w:rPr>
          <w:sz w:val="28"/>
          <w:szCs w:val="28"/>
        </w:rPr>
      </w:pPr>
      <w:r>
        <w:rPr>
          <w:rFonts w:hint="eastAsia" w:ascii="宋体" w:hAnsi="宋体" w:cs="宋体"/>
          <w:sz w:val="28"/>
          <w:szCs w:val="28"/>
        </w:rPr>
        <w:t>①</w:t>
      </w:r>
      <w:r>
        <w:rPr>
          <w:sz w:val="28"/>
          <w:szCs w:val="28"/>
        </w:rPr>
        <w:t>负责应急物资的准备和检查。</w:t>
      </w:r>
    </w:p>
    <w:p>
      <w:pPr>
        <w:spacing w:line="520" w:lineRule="exact"/>
        <w:ind w:firstLine="560" w:firstLineChars="200"/>
        <w:rPr>
          <w:sz w:val="28"/>
          <w:szCs w:val="28"/>
        </w:rPr>
      </w:pPr>
      <w:r>
        <w:rPr>
          <w:rFonts w:hint="eastAsia" w:ascii="宋体" w:hAnsi="宋体" w:cs="宋体"/>
          <w:sz w:val="28"/>
          <w:szCs w:val="28"/>
        </w:rPr>
        <w:t>②</w:t>
      </w:r>
      <w:r>
        <w:rPr>
          <w:sz w:val="28"/>
          <w:szCs w:val="28"/>
        </w:rPr>
        <w:t>负责制定应急预案演练计划，督促各单位做好预案演练，并做好总结评估工作。</w:t>
      </w:r>
    </w:p>
    <w:p>
      <w:pPr>
        <w:spacing w:line="520" w:lineRule="exact"/>
        <w:ind w:firstLine="560" w:firstLineChars="200"/>
        <w:rPr>
          <w:sz w:val="28"/>
          <w:szCs w:val="28"/>
        </w:rPr>
      </w:pPr>
      <w:r>
        <w:rPr>
          <w:rFonts w:hint="eastAsia" w:ascii="宋体" w:hAnsi="宋体" w:cs="宋体"/>
          <w:sz w:val="28"/>
          <w:szCs w:val="28"/>
        </w:rPr>
        <w:t>③</w:t>
      </w:r>
      <w:r>
        <w:rPr>
          <w:sz w:val="28"/>
          <w:szCs w:val="28"/>
        </w:rPr>
        <w:t>组织协调对外求援等事宜，负责事故的上报。</w:t>
      </w:r>
    </w:p>
    <w:p>
      <w:pPr>
        <w:spacing w:line="520" w:lineRule="exact"/>
        <w:ind w:firstLine="560" w:firstLineChars="200"/>
        <w:rPr>
          <w:sz w:val="28"/>
          <w:szCs w:val="28"/>
        </w:rPr>
      </w:pPr>
      <w:r>
        <w:rPr>
          <w:rFonts w:hint="eastAsia" w:ascii="宋体" w:hAnsi="宋体" w:cs="宋体"/>
          <w:sz w:val="28"/>
          <w:szCs w:val="28"/>
        </w:rPr>
        <w:t>④</w:t>
      </w:r>
      <w:r>
        <w:rPr>
          <w:sz w:val="28"/>
          <w:szCs w:val="28"/>
        </w:rPr>
        <w:t>负责事故的调查处理。</w:t>
      </w:r>
    </w:p>
    <w:p>
      <w:pPr>
        <w:spacing w:line="520" w:lineRule="exact"/>
        <w:ind w:firstLine="560" w:firstLineChars="200"/>
        <w:rPr>
          <w:sz w:val="28"/>
          <w:szCs w:val="28"/>
        </w:rPr>
      </w:pPr>
      <w:r>
        <w:rPr>
          <w:rFonts w:hint="eastAsia" w:ascii="宋体" w:hAnsi="宋体"/>
          <w:sz w:val="28"/>
          <w:szCs w:val="28"/>
        </w:rPr>
        <w:t>Ⅳ</w:t>
      </w:r>
      <w:r>
        <w:rPr>
          <w:rFonts w:hint="eastAsia"/>
          <w:sz w:val="28"/>
          <w:szCs w:val="28"/>
        </w:rPr>
        <w:t xml:space="preserve"> </w:t>
      </w:r>
      <w:r>
        <w:rPr>
          <w:sz w:val="28"/>
          <w:szCs w:val="28"/>
        </w:rPr>
        <w:t>应急救援指挥中心主要职责</w:t>
      </w:r>
    </w:p>
    <w:p>
      <w:pPr>
        <w:spacing w:line="520" w:lineRule="exact"/>
        <w:ind w:firstLine="560" w:firstLineChars="200"/>
        <w:rPr>
          <w:sz w:val="28"/>
          <w:szCs w:val="28"/>
        </w:rPr>
      </w:pPr>
      <w:r>
        <w:rPr>
          <w:sz w:val="28"/>
          <w:szCs w:val="28"/>
        </w:rPr>
        <w:t>应急救援指挥中心设在生产技术部调度室。职责为：</w:t>
      </w:r>
    </w:p>
    <w:p>
      <w:pPr>
        <w:spacing w:line="520" w:lineRule="exact"/>
        <w:ind w:firstLine="560" w:firstLineChars="200"/>
        <w:rPr>
          <w:sz w:val="28"/>
          <w:szCs w:val="28"/>
        </w:rPr>
      </w:pPr>
      <w:r>
        <w:rPr>
          <w:rFonts w:hint="eastAsia" w:ascii="宋体" w:hAnsi="宋体" w:cs="宋体"/>
          <w:sz w:val="28"/>
          <w:szCs w:val="28"/>
        </w:rPr>
        <w:t>①</w:t>
      </w:r>
      <w:r>
        <w:rPr>
          <w:sz w:val="28"/>
          <w:szCs w:val="28"/>
        </w:rPr>
        <w:t>承接事故、事件报告，请示总指挥启动事故应急预案。</w:t>
      </w:r>
    </w:p>
    <w:p>
      <w:pPr>
        <w:spacing w:line="520" w:lineRule="exact"/>
        <w:ind w:firstLine="560" w:firstLineChars="200"/>
        <w:rPr>
          <w:sz w:val="28"/>
          <w:szCs w:val="28"/>
        </w:rPr>
      </w:pPr>
      <w:r>
        <w:rPr>
          <w:rFonts w:hint="eastAsia" w:ascii="宋体" w:hAnsi="宋体" w:cs="宋体"/>
          <w:sz w:val="28"/>
          <w:szCs w:val="28"/>
        </w:rPr>
        <w:t>②</w:t>
      </w:r>
      <w:r>
        <w:rPr>
          <w:sz w:val="28"/>
          <w:szCs w:val="28"/>
        </w:rPr>
        <w:t>负责生产系统紧急情况下的统一指挥。</w:t>
      </w:r>
    </w:p>
    <w:p>
      <w:pPr>
        <w:spacing w:line="520" w:lineRule="exact"/>
        <w:ind w:firstLine="560" w:firstLineChars="200"/>
        <w:rPr>
          <w:sz w:val="28"/>
          <w:szCs w:val="28"/>
        </w:rPr>
      </w:pPr>
      <w:r>
        <w:rPr>
          <w:rFonts w:hint="eastAsia" w:ascii="宋体" w:hAnsi="宋体" w:cs="宋体"/>
          <w:sz w:val="28"/>
          <w:szCs w:val="28"/>
        </w:rPr>
        <w:t>③</w:t>
      </w:r>
      <w:r>
        <w:rPr>
          <w:sz w:val="28"/>
          <w:szCs w:val="28"/>
        </w:rPr>
        <w:t>负责24小时应急值守电话管理和应急处理。</w:t>
      </w:r>
    </w:p>
    <w:p>
      <w:pPr>
        <w:spacing w:line="520" w:lineRule="exact"/>
        <w:ind w:firstLine="560" w:firstLineChars="200"/>
        <w:rPr>
          <w:sz w:val="28"/>
          <w:szCs w:val="28"/>
        </w:rPr>
      </w:pPr>
      <w:r>
        <w:rPr>
          <w:rFonts w:hint="eastAsia" w:ascii="宋体" w:hAnsi="宋体"/>
          <w:sz w:val="28"/>
          <w:szCs w:val="28"/>
        </w:rPr>
        <w:t>Ⅴ</w:t>
      </w:r>
      <w:r>
        <w:rPr>
          <w:rFonts w:hint="eastAsia"/>
          <w:sz w:val="28"/>
          <w:szCs w:val="28"/>
        </w:rPr>
        <w:t xml:space="preserve"> </w:t>
      </w:r>
      <w:r>
        <w:rPr>
          <w:sz w:val="28"/>
          <w:szCs w:val="28"/>
        </w:rPr>
        <w:t>应急救援指挥机构成员单位主要职责</w:t>
      </w:r>
    </w:p>
    <w:p>
      <w:pPr>
        <w:spacing w:line="520" w:lineRule="exact"/>
        <w:ind w:firstLine="560" w:firstLineChars="200"/>
        <w:rPr>
          <w:sz w:val="28"/>
          <w:szCs w:val="28"/>
        </w:rPr>
      </w:pPr>
      <w:r>
        <w:rPr>
          <w:rFonts w:hint="eastAsia" w:ascii="宋体" w:hAnsi="宋体" w:cs="宋体"/>
          <w:sz w:val="28"/>
          <w:szCs w:val="28"/>
        </w:rPr>
        <w:t>①</w:t>
      </w:r>
      <w:r>
        <w:rPr>
          <w:sz w:val="28"/>
          <w:szCs w:val="28"/>
        </w:rPr>
        <w:t>安全环保部：监督检查现场救援方案的实施</w:t>
      </w:r>
      <w:r>
        <w:rPr>
          <w:rFonts w:hint="eastAsia"/>
          <w:sz w:val="28"/>
          <w:szCs w:val="28"/>
        </w:rPr>
        <w:t>，</w:t>
      </w:r>
      <w:r>
        <w:rPr>
          <w:sz w:val="28"/>
          <w:szCs w:val="28"/>
        </w:rPr>
        <w:t>确定事故现场监测方案，提出有效的控制措施，指导消除污染；参加事故的调查与处理，协助调查事故原因；及时向上级有关部门汇报事故和抢险救援情况。</w:t>
      </w:r>
    </w:p>
    <w:p>
      <w:pPr>
        <w:spacing w:line="520" w:lineRule="exact"/>
        <w:ind w:firstLine="560" w:firstLineChars="200"/>
        <w:rPr>
          <w:sz w:val="28"/>
          <w:szCs w:val="28"/>
        </w:rPr>
      </w:pPr>
      <w:r>
        <w:rPr>
          <w:rFonts w:hint="eastAsia" w:ascii="宋体" w:hAnsi="宋体" w:cs="宋体"/>
          <w:sz w:val="28"/>
          <w:szCs w:val="28"/>
        </w:rPr>
        <w:t>②</w:t>
      </w:r>
      <w:r>
        <w:rPr>
          <w:sz w:val="28"/>
          <w:szCs w:val="28"/>
        </w:rPr>
        <w:t>生产技术部：负责承接事故报告，根据情况报告总指挥启动事故应急预案，通知指挥部成员单位立即赶赴事故现场，协调各成员单位的抢险救援工作，及时向上级有关部门汇报事故和抢险救援情况，传达、落实上级有关领导及指挥部关于事故抢险救援的指示和批示。</w:t>
      </w:r>
    </w:p>
    <w:p>
      <w:pPr>
        <w:spacing w:line="520" w:lineRule="exact"/>
        <w:ind w:firstLine="560" w:firstLineChars="200"/>
        <w:rPr>
          <w:sz w:val="28"/>
          <w:szCs w:val="28"/>
        </w:rPr>
      </w:pPr>
      <w:r>
        <w:rPr>
          <w:rFonts w:hint="eastAsia" w:ascii="宋体" w:hAnsi="宋体" w:cs="宋体"/>
          <w:sz w:val="28"/>
          <w:szCs w:val="28"/>
        </w:rPr>
        <w:t>③</w:t>
      </w:r>
      <w:r>
        <w:rPr>
          <w:sz w:val="28"/>
          <w:szCs w:val="28"/>
        </w:rPr>
        <w:t>保卫武装部：负责维护事故现场和周围地区的秩序，做好安全警戒，保障救援交通畅通，便于人员疏散和受害者的护送，保证事故救援、调查、处理工作的顺利进行；负责或配合相关单位扑灭事故现场火灾，抢救遇险遇难人员；负责快速集结应急分队，按救援方案协助抢救。</w:t>
      </w:r>
    </w:p>
    <w:p>
      <w:pPr>
        <w:spacing w:line="520" w:lineRule="exact"/>
        <w:ind w:firstLine="560" w:firstLineChars="200"/>
        <w:rPr>
          <w:sz w:val="28"/>
          <w:szCs w:val="28"/>
        </w:rPr>
      </w:pPr>
      <w:r>
        <w:rPr>
          <w:rFonts w:hint="eastAsia" w:ascii="宋体" w:hAnsi="宋体" w:cs="宋体"/>
          <w:sz w:val="28"/>
          <w:szCs w:val="28"/>
        </w:rPr>
        <w:t>④</w:t>
      </w:r>
      <w:r>
        <w:rPr>
          <w:sz w:val="28"/>
          <w:szCs w:val="28"/>
        </w:rPr>
        <w:t>中心化验室：按照事故现场监测方案，立即开展监测工作，确定事故现场的污染成份和程度。</w:t>
      </w:r>
    </w:p>
    <w:p>
      <w:pPr>
        <w:spacing w:line="520" w:lineRule="exact"/>
        <w:ind w:firstLine="560" w:firstLineChars="200"/>
        <w:rPr>
          <w:sz w:val="28"/>
          <w:szCs w:val="28"/>
        </w:rPr>
      </w:pPr>
      <w:r>
        <w:rPr>
          <w:rFonts w:hint="eastAsia" w:ascii="宋体" w:hAnsi="宋体" w:cs="宋体"/>
          <w:sz w:val="28"/>
          <w:szCs w:val="28"/>
        </w:rPr>
        <w:t>⑤</w:t>
      </w:r>
      <w:r>
        <w:rPr>
          <w:sz w:val="28"/>
          <w:szCs w:val="28"/>
        </w:rPr>
        <w:t>大化医院：负责对受伤、中毒人员的医疗救治及转院工作。</w:t>
      </w:r>
    </w:p>
    <w:p>
      <w:pPr>
        <w:spacing w:line="520" w:lineRule="exact"/>
        <w:ind w:firstLine="560" w:firstLineChars="200"/>
        <w:rPr>
          <w:sz w:val="28"/>
          <w:szCs w:val="28"/>
        </w:rPr>
      </w:pPr>
      <w:r>
        <w:rPr>
          <w:rFonts w:hint="eastAsia" w:ascii="宋体" w:hAnsi="宋体" w:cs="宋体"/>
          <w:sz w:val="28"/>
          <w:szCs w:val="28"/>
        </w:rPr>
        <w:t>⑥</w:t>
      </w:r>
      <w:r>
        <w:rPr>
          <w:sz w:val="28"/>
          <w:szCs w:val="28"/>
        </w:rPr>
        <w:t>采购供应中心、机械动力部、财务部：负责应急物资的储备；负责抢险设备、器材、物资和资金的调配。</w:t>
      </w:r>
    </w:p>
    <w:p>
      <w:pPr>
        <w:spacing w:line="520" w:lineRule="exact"/>
        <w:ind w:firstLine="560" w:firstLineChars="200"/>
        <w:rPr>
          <w:sz w:val="28"/>
          <w:szCs w:val="28"/>
        </w:rPr>
      </w:pPr>
      <w:r>
        <w:rPr>
          <w:rFonts w:hint="eastAsia" w:ascii="宋体" w:hAnsi="宋体" w:cs="宋体"/>
          <w:sz w:val="28"/>
          <w:szCs w:val="28"/>
        </w:rPr>
        <w:t>⑦</w:t>
      </w:r>
      <w:r>
        <w:rPr>
          <w:sz w:val="28"/>
          <w:szCs w:val="28"/>
        </w:rPr>
        <w:t>党委工作部、工会、物业管理公司：负责做好事故现场抢险情况的宣传报道，正确引导舆论；负责做好污染事故影响区域人员的疏散及伤亡家属的安抚善后工作；负责协助消毒和垃圾清扫工作。</w:t>
      </w:r>
    </w:p>
    <w:p>
      <w:pPr>
        <w:spacing w:line="520" w:lineRule="exact"/>
        <w:ind w:firstLine="560" w:firstLineChars="200"/>
        <w:rPr>
          <w:sz w:val="28"/>
          <w:szCs w:val="28"/>
        </w:rPr>
      </w:pPr>
      <w:r>
        <w:rPr>
          <w:rFonts w:hint="eastAsia" w:ascii="宋体" w:hAnsi="宋体" w:cs="宋体"/>
          <w:sz w:val="28"/>
          <w:szCs w:val="28"/>
        </w:rPr>
        <w:t>⑧</w:t>
      </w:r>
      <w:r>
        <w:rPr>
          <w:sz w:val="28"/>
          <w:szCs w:val="28"/>
        </w:rPr>
        <w:t>综合办公室：负责组织救援车辆，运送事故抢救人员和抢险物资；负责建立和维护好应急通讯网络，保证通信畅通；负责做好上级视察单位接待工作。</w:t>
      </w:r>
    </w:p>
    <w:p>
      <w:pPr>
        <w:spacing w:line="520" w:lineRule="exact"/>
        <w:ind w:firstLine="560" w:firstLineChars="200"/>
        <w:rPr>
          <w:sz w:val="28"/>
          <w:szCs w:val="28"/>
        </w:rPr>
      </w:pPr>
      <w:r>
        <w:rPr>
          <w:rFonts w:hint="eastAsia" w:ascii="宋体" w:hAnsi="宋体" w:cs="宋体"/>
          <w:sz w:val="28"/>
          <w:szCs w:val="28"/>
        </w:rPr>
        <w:t>⑨</w:t>
      </w:r>
      <w:r>
        <w:rPr>
          <w:sz w:val="28"/>
          <w:szCs w:val="28"/>
        </w:rPr>
        <w:t>电仪公司：负责事故现场电力和通讯保障。</w:t>
      </w:r>
    </w:p>
    <w:p>
      <w:pPr>
        <w:spacing w:line="520" w:lineRule="exact"/>
        <w:ind w:firstLine="560" w:firstLineChars="200"/>
        <w:rPr>
          <w:sz w:val="28"/>
          <w:szCs w:val="28"/>
        </w:rPr>
      </w:pPr>
      <w:r>
        <w:rPr>
          <w:rFonts w:hint="eastAsia" w:ascii="宋体" w:hAnsi="宋体" w:cs="宋体"/>
          <w:sz w:val="28"/>
          <w:szCs w:val="28"/>
        </w:rPr>
        <w:t>⑩</w:t>
      </w:r>
      <w:r>
        <w:rPr>
          <w:sz w:val="28"/>
          <w:szCs w:val="28"/>
        </w:rPr>
        <w:t>事故单位（事业部）：事故发生后，立即报告公司应急救援指挥部，协助应急救援方案的实施；参加事故的调查与处理，协助调查事故原因。</w:t>
      </w:r>
    </w:p>
    <w:p>
      <w:pPr>
        <w:pStyle w:val="29"/>
        <w:outlineLvl w:val="3"/>
      </w:pPr>
      <w:r>
        <w:t>7.9.2.4  预案分级响应条件及响应时间</w:t>
      </w:r>
    </w:p>
    <w:p>
      <w:pPr>
        <w:spacing w:line="520" w:lineRule="exact"/>
        <w:ind w:firstLine="560" w:firstLineChars="200"/>
        <w:rPr>
          <w:sz w:val="28"/>
          <w:szCs w:val="28"/>
        </w:rPr>
      </w:pPr>
      <w:r>
        <w:rPr>
          <w:sz w:val="28"/>
          <w:szCs w:val="28"/>
        </w:rPr>
        <w:t>根据《国家突发环境事件应急预案》相关规定，按照突发事件严重性和紧急程度，突发环境事件分为特别重大突发环境事件（Ⅰ级）、重大突发环境事件（Ⅱ级）、较大突发环境事件（Ⅲ级）和一般突发环境事件（Ⅳ级）四级。</w:t>
      </w:r>
    </w:p>
    <w:p>
      <w:pPr>
        <w:spacing w:line="520" w:lineRule="exact"/>
        <w:ind w:firstLine="560" w:firstLineChars="200"/>
        <w:rPr>
          <w:sz w:val="28"/>
          <w:szCs w:val="28"/>
        </w:rPr>
      </w:pPr>
      <w:r>
        <w:rPr>
          <w:sz w:val="28"/>
          <w:szCs w:val="28"/>
        </w:rPr>
        <w:t>突发环境事件发生地设区的市级或者县级人民政府环境保护主管部门在发现或者得知突发环境事件信息后，应当立即进行核实，对突发环境事件的性质和类别做出初步认定。对初步认定为一般（IV级）或者较大（III级）突发环境事件的，事件发生地设区的市级或者县级人民政府环境保护主管部门应当在四小时内向本级人民政府和上一级人民政府环境保护主管部门报告。对初步认定为重大（II级）或者特别重大（I级）突发环境事件的，事件发生地设区的市级或者县级人民政府环境保护主管部门应当在两小时内向本级人民政府和省级人民政府环境保护主管部门报告，同时上报环境保护部。省级人民政府环境保护主管部门接到报告后，应当进行核实并在一小时内报告环境保护部。</w:t>
      </w:r>
    </w:p>
    <w:p>
      <w:pPr>
        <w:spacing w:line="520" w:lineRule="exact"/>
        <w:ind w:firstLine="560" w:firstLineChars="200"/>
        <w:rPr>
          <w:sz w:val="28"/>
          <w:szCs w:val="28"/>
        </w:rPr>
      </w:pPr>
      <w:r>
        <w:rPr>
          <w:sz w:val="28"/>
          <w:szCs w:val="28"/>
        </w:rPr>
        <w:t>按突发环境事件的可控性、严重程度和影响范围，突发环境事件的应急响应分为特别重大（Ⅰ级响应）、重大（Ⅱ级响应）、较大（Ⅲ级响应）、一般（Ⅳ级响应）四级。超出本级应急处置能力时，应及时请求上一级应急救援指挥机构启动上一级应急预案。Ⅰ级应急响应由环保总局和国务院有关部门组织实施。</w:t>
      </w:r>
    </w:p>
    <w:p>
      <w:pPr>
        <w:pStyle w:val="29"/>
        <w:outlineLvl w:val="3"/>
      </w:pPr>
      <w:r>
        <w:t>7.9.2.5  报警、通讯联络</w:t>
      </w:r>
    </w:p>
    <w:p>
      <w:pPr>
        <w:spacing w:line="520" w:lineRule="exact"/>
        <w:ind w:firstLine="560" w:firstLineChars="200"/>
        <w:rPr>
          <w:sz w:val="28"/>
          <w:szCs w:val="28"/>
        </w:rPr>
      </w:pPr>
      <w:r>
        <w:rPr>
          <w:sz w:val="28"/>
          <w:szCs w:val="28"/>
        </w:rPr>
        <w:t>突发环境污染事故现场人员作为第一责任人，采用最快捷的手段立即向生产部调度台报警，并向事发单位领导报告，事发单位领导组织本单位员工，进行紧急处置，降低事故危害。生产部调度接到报警后立即向应急指挥负责人报告，同时通知应急指挥部成员赶赴事故现场。应急救援指挥现场负责人，根据报警信息和现场实际情况，决定启动相应级别的应急预案，确定是否请求外部救援。同时，事故发生时，为避免周围企业员工受到伤害，建设单位应拨打周围企业的报警电话，通知相邻企业事故信息，及时采取应急措施。</w:t>
      </w:r>
    </w:p>
    <w:p>
      <w:pPr>
        <w:pStyle w:val="29"/>
        <w:outlineLvl w:val="3"/>
      </w:pPr>
      <w:r>
        <w:t>7.9.2.6  应急救援程序</w:t>
      </w:r>
    </w:p>
    <w:p>
      <w:pPr>
        <w:spacing w:line="520" w:lineRule="exact"/>
        <w:ind w:firstLine="560" w:firstLineChars="200"/>
        <w:rPr>
          <w:sz w:val="28"/>
          <w:szCs w:val="28"/>
        </w:rPr>
      </w:pPr>
      <w:r>
        <w:rPr>
          <w:sz w:val="28"/>
          <w:szCs w:val="28"/>
        </w:rPr>
        <w:t>发生突发性环境事件，必须立即通知应急领导组，由应急领导组安排应急指挥组带领应急处置组赶赴现场，进行现场处置，步骤如下：</w:t>
      </w:r>
    </w:p>
    <w:p>
      <w:pPr>
        <w:spacing w:line="520" w:lineRule="exact"/>
        <w:ind w:firstLine="560" w:firstLineChars="200"/>
        <w:rPr>
          <w:sz w:val="28"/>
          <w:szCs w:val="28"/>
        </w:rPr>
      </w:pPr>
      <w:r>
        <w:rPr>
          <w:rFonts w:hint="eastAsia"/>
          <w:sz w:val="28"/>
          <w:szCs w:val="28"/>
        </w:rPr>
        <w:t>（1）</w:t>
      </w:r>
      <w:r>
        <w:rPr>
          <w:sz w:val="28"/>
          <w:szCs w:val="28"/>
        </w:rPr>
        <w:t>询情：遇险人员情况；容器储量、泄漏时间、部位、形式、扩散范围；周边单位、居民、地形、电源、火源等情况；消防设施、工艺措施、到场人员处置意见。</w:t>
      </w:r>
    </w:p>
    <w:p>
      <w:pPr>
        <w:spacing w:line="520" w:lineRule="exact"/>
        <w:ind w:firstLine="560" w:firstLineChars="200"/>
        <w:rPr>
          <w:sz w:val="28"/>
          <w:szCs w:val="28"/>
        </w:rPr>
      </w:pPr>
      <w:r>
        <w:rPr>
          <w:rFonts w:hint="eastAsia"/>
          <w:sz w:val="28"/>
          <w:szCs w:val="28"/>
        </w:rPr>
        <w:t>（</w:t>
      </w:r>
      <w:r>
        <w:rPr>
          <w:sz w:val="28"/>
          <w:szCs w:val="28"/>
        </w:rPr>
        <w:t>2</w:t>
      </w:r>
      <w:r>
        <w:rPr>
          <w:rFonts w:hint="eastAsia"/>
          <w:sz w:val="28"/>
          <w:szCs w:val="28"/>
        </w:rPr>
        <w:t>）</w:t>
      </w:r>
      <w:r>
        <w:rPr>
          <w:sz w:val="28"/>
          <w:szCs w:val="28"/>
        </w:rPr>
        <w:t>侦检：搜寻遇险人员；使用检测仪器测定泄漏物质、浓度、扩散范围；测定风向、风速等气象数据；确认设施、建（构）筑物险情及可能引发二次事故的各种危险源；确认消防设施运行情况；确定攻防路线、阵地；现场及周边污染情况。</w:t>
      </w:r>
    </w:p>
    <w:p>
      <w:pPr>
        <w:spacing w:line="520" w:lineRule="exact"/>
        <w:ind w:firstLine="560" w:firstLineChars="200"/>
        <w:rPr>
          <w:sz w:val="28"/>
          <w:szCs w:val="28"/>
        </w:rPr>
      </w:pPr>
      <w:r>
        <w:rPr>
          <w:rFonts w:hint="eastAsia"/>
          <w:sz w:val="28"/>
          <w:szCs w:val="28"/>
        </w:rPr>
        <w:t>（</w:t>
      </w:r>
      <w:r>
        <w:rPr>
          <w:sz w:val="28"/>
          <w:szCs w:val="28"/>
        </w:rPr>
        <w:t>3</w:t>
      </w:r>
      <w:r>
        <w:rPr>
          <w:rFonts w:hint="eastAsia"/>
          <w:sz w:val="28"/>
          <w:szCs w:val="28"/>
        </w:rPr>
        <w:t>）</w:t>
      </w:r>
      <w:r>
        <w:rPr>
          <w:sz w:val="28"/>
          <w:szCs w:val="28"/>
        </w:rPr>
        <w:t>警戒：根据询情、侦检情况确定警戒区域；将警戒区域划分为重危区、中危区、轻危区和安全区，并设立警戒标志，在安全区视情设立隔离带；合理设置出入口，严格控制各区域进出人员、车辆、物资，并进行安全检查、逐一登记。</w:t>
      </w:r>
    </w:p>
    <w:p>
      <w:pPr>
        <w:spacing w:line="520" w:lineRule="exact"/>
        <w:ind w:firstLine="560" w:firstLineChars="200"/>
        <w:rPr>
          <w:sz w:val="28"/>
          <w:szCs w:val="28"/>
        </w:rPr>
      </w:pPr>
      <w:r>
        <w:rPr>
          <w:rFonts w:hint="eastAsia"/>
          <w:sz w:val="28"/>
          <w:szCs w:val="28"/>
        </w:rPr>
        <w:t>（</w:t>
      </w:r>
      <w:r>
        <w:rPr>
          <w:sz w:val="28"/>
          <w:szCs w:val="28"/>
        </w:rPr>
        <w:t>4</w:t>
      </w:r>
      <w:r>
        <w:rPr>
          <w:rFonts w:hint="eastAsia"/>
          <w:sz w:val="28"/>
          <w:szCs w:val="28"/>
        </w:rPr>
        <w:t>）</w:t>
      </w:r>
      <w:r>
        <w:rPr>
          <w:sz w:val="28"/>
          <w:szCs w:val="28"/>
        </w:rPr>
        <w:t>疏散：当出现重大事故时，管理者代表根据最高管理者指示，组织非抢险救援人员进行紧急疏散、撤离。紧急疏散与撤离的总原则是安全转移地点和转移路线尽量选择当时的上风向或侧风向。</w:t>
      </w:r>
    </w:p>
    <w:p>
      <w:pPr>
        <w:spacing w:line="520" w:lineRule="exact"/>
        <w:ind w:firstLine="560" w:firstLineChars="200"/>
        <w:rPr>
          <w:sz w:val="28"/>
          <w:szCs w:val="28"/>
        </w:rPr>
      </w:pPr>
      <w:r>
        <w:rPr>
          <w:rFonts w:hint="eastAsia"/>
          <w:sz w:val="28"/>
          <w:szCs w:val="28"/>
        </w:rPr>
        <w:t>（</w:t>
      </w:r>
      <w:r>
        <w:rPr>
          <w:sz w:val="28"/>
          <w:szCs w:val="28"/>
        </w:rPr>
        <w:t>5</w:t>
      </w:r>
      <w:r>
        <w:rPr>
          <w:rFonts w:hint="eastAsia"/>
          <w:sz w:val="28"/>
          <w:szCs w:val="28"/>
        </w:rPr>
        <w:t>）</w:t>
      </w:r>
      <w:r>
        <w:rPr>
          <w:sz w:val="28"/>
          <w:szCs w:val="28"/>
        </w:rPr>
        <w:t>救生：组成救生小组，携带救生器材迅速进入危险区域，将所有遇险人员移至安全区域；对救出人员进行登记、标识和现场急救；将伤情较重者送交医疗急救部门救治。</w:t>
      </w:r>
    </w:p>
    <w:p>
      <w:pPr>
        <w:spacing w:line="520" w:lineRule="exact"/>
        <w:ind w:firstLine="560" w:firstLineChars="200"/>
        <w:rPr>
          <w:sz w:val="28"/>
          <w:szCs w:val="28"/>
        </w:rPr>
      </w:pPr>
      <w:r>
        <w:rPr>
          <w:rFonts w:hint="eastAsia"/>
          <w:sz w:val="28"/>
          <w:szCs w:val="28"/>
        </w:rPr>
        <w:t>（</w:t>
      </w:r>
      <w:r>
        <w:rPr>
          <w:sz w:val="28"/>
          <w:szCs w:val="28"/>
        </w:rPr>
        <w:t>6</w:t>
      </w:r>
      <w:r>
        <w:rPr>
          <w:rFonts w:hint="eastAsia"/>
          <w:sz w:val="28"/>
          <w:szCs w:val="28"/>
        </w:rPr>
        <w:t>）</w:t>
      </w:r>
      <w:r>
        <w:rPr>
          <w:sz w:val="28"/>
          <w:szCs w:val="28"/>
        </w:rPr>
        <w:t>堵漏：根据现场泄漏情况，研究制定堵漏方案，并严格按照堵漏方案实施；若易燃液体泄漏，所有堵漏行动必须采取防爆措施，确保安全；关闭前置阀门或封堵漏口，切断泄漏源。</w:t>
      </w:r>
    </w:p>
    <w:p>
      <w:pPr>
        <w:spacing w:line="520" w:lineRule="exact"/>
        <w:ind w:firstLine="560" w:firstLineChars="200"/>
        <w:rPr>
          <w:sz w:val="28"/>
          <w:szCs w:val="28"/>
        </w:rPr>
      </w:pPr>
      <w:r>
        <w:rPr>
          <w:rFonts w:hint="eastAsia"/>
          <w:sz w:val="28"/>
          <w:szCs w:val="28"/>
        </w:rPr>
        <w:t>（</w:t>
      </w:r>
      <w:r>
        <w:rPr>
          <w:sz w:val="28"/>
          <w:szCs w:val="28"/>
        </w:rPr>
        <w:t>7</w:t>
      </w:r>
      <w:r>
        <w:rPr>
          <w:rFonts w:hint="eastAsia"/>
          <w:sz w:val="28"/>
          <w:szCs w:val="28"/>
        </w:rPr>
        <w:t>）</w:t>
      </w:r>
      <w:r>
        <w:rPr>
          <w:sz w:val="28"/>
          <w:szCs w:val="28"/>
        </w:rPr>
        <w:t>控险：启用单位应急救援设施；选定水源，铺设水带，设置阵地，有序展开；设置水幕或屏封水枪，稀释、降解泄漏物浓度，或设置蒸汽幕；采用雾状射流形成水幕墙，防止泄漏物向重要目标或危险源扩散。</w:t>
      </w:r>
    </w:p>
    <w:p>
      <w:pPr>
        <w:spacing w:line="520" w:lineRule="exact"/>
        <w:ind w:firstLine="560" w:firstLineChars="200"/>
        <w:rPr>
          <w:sz w:val="28"/>
          <w:szCs w:val="28"/>
        </w:rPr>
      </w:pPr>
      <w:r>
        <w:rPr>
          <w:rFonts w:hint="eastAsia"/>
          <w:sz w:val="28"/>
          <w:szCs w:val="28"/>
        </w:rPr>
        <w:t>（</w:t>
      </w:r>
      <w:r>
        <w:rPr>
          <w:sz w:val="28"/>
          <w:szCs w:val="28"/>
        </w:rPr>
        <w:t>8</w:t>
      </w:r>
      <w:r>
        <w:rPr>
          <w:rFonts w:hint="eastAsia"/>
          <w:sz w:val="28"/>
          <w:szCs w:val="28"/>
        </w:rPr>
        <w:t>）</w:t>
      </w:r>
      <w:r>
        <w:rPr>
          <w:sz w:val="28"/>
          <w:szCs w:val="28"/>
        </w:rPr>
        <w:t>输转：利用工艺措施倒罐或放空；转移较危险的瓶（罐）。</w:t>
      </w:r>
    </w:p>
    <w:p>
      <w:pPr>
        <w:spacing w:line="520" w:lineRule="exact"/>
        <w:ind w:firstLine="560" w:firstLineChars="200"/>
        <w:rPr>
          <w:sz w:val="28"/>
          <w:szCs w:val="28"/>
        </w:rPr>
      </w:pPr>
      <w:r>
        <w:rPr>
          <w:rFonts w:hint="eastAsia"/>
          <w:sz w:val="28"/>
          <w:szCs w:val="28"/>
        </w:rPr>
        <w:t>（</w:t>
      </w:r>
      <w:r>
        <w:rPr>
          <w:sz w:val="28"/>
          <w:szCs w:val="28"/>
        </w:rPr>
        <w:t>9</w:t>
      </w:r>
      <w:r>
        <w:rPr>
          <w:rFonts w:hint="eastAsia"/>
          <w:sz w:val="28"/>
          <w:szCs w:val="28"/>
        </w:rPr>
        <w:t>）</w:t>
      </w:r>
      <w:r>
        <w:rPr>
          <w:sz w:val="28"/>
          <w:szCs w:val="28"/>
        </w:rPr>
        <w:t>清理：用喷雾水、蒸汽、惰性气体清扫现场内事故罐、管道、低洼、沟渠等处，确保不留残气（液）；清点人员、车辆及器材；撤除警戒，做好移交，安全撤离。</w:t>
      </w:r>
    </w:p>
    <w:p>
      <w:pPr>
        <w:pStyle w:val="29"/>
        <w:outlineLvl w:val="3"/>
      </w:pPr>
      <w:r>
        <w:t>7.9.2.7  应急设备及材料</w:t>
      </w:r>
    </w:p>
    <w:p>
      <w:pPr>
        <w:spacing w:line="520" w:lineRule="exact"/>
        <w:ind w:firstLine="560" w:firstLineChars="200"/>
        <w:rPr>
          <w:sz w:val="28"/>
          <w:szCs w:val="28"/>
        </w:rPr>
      </w:pPr>
      <w:r>
        <w:rPr>
          <w:sz w:val="28"/>
          <w:szCs w:val="28"/>
        </w:rPr>
        <w:t>应急设备及材料是指在出现火灾或泄漏情况下，可紧急用于扑灭、围控、清除污染、清运污染物的设备、工具和物资材料。</w:t>
      </w:r>
    </w:p>
    <w:p>
      <w:pPr>
        <w:spacing w:line="520" w:lineRule="exact"/>
        <w:ind w:firstLine="560" w:firstLineChars="200"/>
        <w:rPr>
          <w:sz w:val="28"/>
          <w:szCs w:val="28"/>
        </w:rPr>
      </w:pPr>
      <w:r>
        <w:rPr>
          <w:sz w:val="28"/>
          <w:szCs w:val="28"/>
        </w:rPr>
        <w:t>建设单位应依据国家有关配备应急设备、材料、物资的规定和标准，根据项目性质和规模配备相应的火灾、泄漏应急设备和材料、物资（包括：干粉灭火器、砂土、应急人员防护用品、废料储运设备等）。单位应备有堵漏的工具、材料、应急人员的防毒面具、急救药品等，用于事故发生后的紧急救援。建议应急处理人员戴自给正压式呼吸器，穿化学防护服。不要直接接触泄漏物。尽可能切断泄漏源。用工业覆盖层或吸附/吸收剂盖住泄漏点附近的下水道等地方，防止气体进入。</w:t>
      </w:r>
    </w:p>
    <w:p>
      <w:pPr>
        <w:spacing w:line="520" w:lineRule="exact"/>
        <w:ind w:firstLine="560" w:firstLineChars="200"/>
        <w:rPr>
          <w:sz w:val="28"/>
          <w:szCs w:val="28"/>
        </w:rPr>
      </w:pPr>
      <w:r>
        <w:rPr>
          <w:sz w:val="28"/>
          <w:szCs w:val="28"/>
        </w:rPr>
        <w:t>应急设备应存放在化学品生产及储存装置周围，以备随时使用。所配备的设备、物资应做好日常维护保管以备风险污染事故应急使用和调动；应急设备和材料必须放置在便于取用的地方，并由专人管理；人员变化或临时外出时，必须事先向有关人员进行设备、材料的移交，保证任何情况下能够及时获取到应急设备和材料。对配备的应急设备、材料、物资建立设备材料清单和使用记录，及时更新和补充、维修损耗的设备、材料和物资。</w:t>
      </w:r>
    </w:p>
    <w:p>
      <w:pPr>
        <w:pStyle w:val="29"/>
        <w:outlineLvl w:val="3"/>
      </w:pPr>
      <w:r>
        <w:t>7.9.2.8  事故状态下危害物质的控制和处理</w:t>
      </w:r>
    </w:p>
    <w:p>
      <w:pPr>
        <w:spacing w:line="520" w:lineRule="exact"/>
        <w:ind w:firstLine="560" w:firstLineChars="200"/>
        <w:rPr>
          <w:sz w:val="28"/>
          <w:szCs w:val="28"/>
        </w:rPr>
      </w:pPr>
      <w:r>
        <w:rPr>
          <w:sz w:val="28"/>
          <w:szCs w:val="28"/>
        </w:rPr>
        <w:t>事故发生后要求操作人员和工厂紧急事故人员迅速行动，尽快疏散泄漏污染区人员至安全区，禁止无关人员进入污染区并切断火源。</w:t>
      </w:r>
    </w:p>
    <w:p>
      <w:pPr>
        <w:spacing w:line="520" w:lineRule="exact"/>
        <w:ind w:firstLine="560" w:firstLineChars="200"/>
        <w:rPr>
          <w:sz w:val="28"/>
          <w:szCs w:val="28"/>
        </w:rPr>
      </w:pPr>
      <w:r>
        <w:rPr>
          <w:rFonts w:hint="eastAsia"/>
          <w:sz w:val="28"/>
          <w:szCs w:val="28"/>
        </w:rPr>
        <w:t>泄漏应急处理：小量泄漏：用砂土、蛭石或其它惰性材料吸收。也可以用不燃性分散剂制成的乳液刷洗，洗液稀释后放入废水系统。大量泄漏：构筑围堤或挖坑收容。用泵转移至槽车或专用收集器内，回收或运至废物处理场所处置。</w:t>
      </w:r>
    </w:p>
    <w:p>
      <w:pPr>
        <w:spacing w:line="520" w:lineRule="exact"/>
        <w:ind w:firstLine="560" w:firstLineChars="200"/>
        <w:rPr>
          <w:sz w:val="24"/>
        </w:rPr>
      </w:pPr>
      <w:r>
        <w:rPr>
          <w:sz w:val="28"/>
          <w:szCs w:val="28"/>
        </w:rPr>
        <w:t>从上风向进入现场，同时合理通风，加速扩散。尽可能切断电源，小量泄漏，用沙土、不燃材料吸附或吸收。如大量泄漏，收入事故水池，在专家指导下清除。</w:t>
      </w:r>
    </w:p>
    <w:p>
      <w:pPr>
        <w:pStyle w:val="29"/>
        <w:outlineLvl w:val="3"/>
      </w:pPr>
      <w:r>
        <w:t>7.9.2.9  应急监测系统及实施计划</w:t>
      </w:r>
    </w:p>
    <w:p>
      <w:pPr>
        <w:spacing w:line="520" w:lineRule="exact"/>
        <w:ind w:firstLine="560" w:firstLineChars="200"/>
        <w:rPr>
          <w:sz w:val="28"/>
          <w:szCs w:val="28"/>
        </w:rPr>
      </w:pPr>
      <w:r>
        <w:rPr>
          <w:sz w:val="28"/>
          <w:szCs w:val="28"/>
        </w:rPr>
        <w:t>在事故发生后，环境应急事件应急监测工作可</w:t>
      </w:r>
      <w:r>
        <w:rPr>
          <w:rFonts w:hint="eastAsia"/>
          <w:sz w:val="28"/>
          <w:szCs w:val="28"/>
        </w:rPr>
        <w:t>委托濮阳市环境监测站</w:t>
      </w:r>
      <w:r>
        <w:rPr>
          <w:sz w:val="28"/>
          <w:szCs w:val="28"/>
        </w:rPr>
        <w:t>负责，厂内环境监控组配合。对现场进行全天候的空气、水质等项目监控，防止大气和废水污染区扩大。按照环境污染事故的类型，分别进行大气和水环境等监测，监测频率可按每小时一次安排。监测结果需随时提供给专业指挥部，为应急决策提供支持。应急监测方案见</w:t>
      </w:r>
      <w:r>
        <w:rPr>
          <w:rFonts w:hint="eastAsia"/>
          <w:sz w:val="28"/>
          <w:szCs w:val="28"/>
        </w:rPr>
        <w:t>表7</w:t>
      </w:r>
      <w:r>
        <w:rPr>
          <w:sz w:val="28"/>
          <w:szCs w:val="28"/>
        </w:rPr>
        <w:t>.9</w:t>
      </w:r>
      <w:r>
        <w:rPr>
          <w:rFonts w:hint="eastAsia"/>
          <w:sz w:val="28"/>
          <w:szCs w:val="28"/>
        </w:rPr>
        <w:t>-</w:t>
      </w:r>
      <w:r>
        <w:rPr>
          <w:sz w:val="28"/>
          <w:szCs w:val="28"/>
        </w:rPr>
        <w:t>1。</w:t>
      </w:r>
    </w:p>
    <w:p>
      <w:pPr>
        <w:pStyle w:val="32"/>
        <w:tabs>
          <w:tab w:val="clear" w:pos="900"/>
        </w:tabs>
        <w:ind w:firstLine="679" w:firstLineChars="282"/>
      </w:pPr>
      <w:bookmarkStart w:id="258" w:name="_Ref263129819"/>
      <w:bookmarkStart w:id="259" w:name="_Ref529042672"/>
      <w:r>
        <w:rPr>
          <w:rFonts w:hint="eastAsia"/>
        </w:rPr>
        <w:t>表</w:t>
      </w:r>
      <w:bookmarkEnd w:id="258"/>
      <w:bookmarkEnd w:id="259"/>
      <w:r>
        <w:t>7.9</w:t>
      </w:r>
      <w:r>
        <w:rPr>
          <w:rFonts w:hint="eastAsia"/>
        </w:rPr>
        <w:t>-</w:t>
      </w:r>
      <w:r>
        <w:t xml:space="preserve">1           </w:t>
      </w:r>
      <w:r>
        <w:rPr>
          <w:rFonts w:hint="eastAsia"/>
        </w:rPr>
        <w:t xml:space="preserve">  </w:t>
      </w:r>
      <w:r>
        <w:t xml:space="preserve">   </w:t>
      </w:r>
      <w:r>
        <w:rPr>
          <w:rFonts w:hint="eastAsia"/>
        </w:rPr>
        <w:t>本项目事故应急监测方案</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217"/>
        <w:gridCol w:w="2985"/>
        <w:gridCol w:w="3281"/>
        <w:gridCol w:w="153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noWrap w:val="0"/>
            <w:vAlign w:val="center"/>
          </w:tcPr>
          <w:p>
            <w:pPr>
              <w:pStyle w:val="36"/>
            </w:pPr>
            <w:r>
              <w:rPr>
                <w:rFonts w:hint="eastAsia"/>
              </w:rPr>
              <w:t>类别</w:t>
            </w:r>
          </w:p>
        </w:tc>
        <w:tc>
          <w:tcPr>
            <w:tcW w:w="1656" w:type="pct"/>
            <w:noWrap w:val="0"/>
            <w:vAlign w:val="center"/>
          </w:tcPr>
          <w:p>
            <w:pPr>
              <w:pStyle w:val="36"/>
            </w:pPr>
            <w:r>
              <w:rPr>
                <w:rFonts w:hint="eastAsia"/>
              </w:rPr>
              <w:t>监测点位</w:t>
            </w:r>
          </w:p>
        </w:tc>
        <w:tc>
          <w:tcPr>
            <w:tcW w:w="1820" w:type="pct"/>
            <w:noWrap w:val="0"/>
            <w:vAlign w:val="center"/>
          </w:tcPr>
          <w:p>
            <w:pPr>
              <w:pStyle w:val="36"/>
            </w:pPr>
            <w:r>
              <w:rPr>
                <w:rFonts w:hint="eastAsia"/>
              </w:rPr>
              <w:t>监测因子</w:t>
            </w:r>
          </w:p>
        </w:tc>
        <w:tc>
          <w:tcPr>
            <w:tcW w:w="849" w:type="pct"/>
            <w:noWrap w:val="0"/>
            <w:vAlign w:val="center"/>
          </w:tcPr>
          <w:p>
            <w:pPr>
              <w:pStyle w:val="36"/>
            </w:pPr>
            <w:r>
              <w:rPr>
                <w:rFonts w:hint="eastAsia"/>
              </w:rPr>
              <w:t>备注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noWrap w:val="0"/>
            <w:vAlign w:val="center"/>
          </w:tcPr>
          <w:p>
            <w:pPr>
              <w:pStyle w:val="36"/>
            </w:pPr>
            <w:r>
              <w:rPr>
                <w:rFonts w:hint="eastAsia"/>
              </w:rPr>
              <w:t>环境空气</w:t>
            </w:r>
          </w:p>
        </w:tc>
        <w:tc>
          <w:tcPr>
            <w:tcW w:w="1656" w:type="pct"/>
            <w:noWrap w:val="0"/>
            <w:vAlign w:val="center"/>
          </w:tcPr>
          <w:p>
            <w:pPr>
              <w:pStyle w:val="36"/>
            </w:pPr>
            <w:r>
              <w:rPr>
                <w:rFonts w:hint="eastAsia"/>
              </w:rPr>
              <w:t>厂界四周、下风向最近居民点</w:t>
            </w:r>
          </w:p>
        </w:tc>
        <w:tc>
          <w:tcPr>
            <w:tcW w:w="1820" w:type="pct"/>
            <w:noWrap w:val="0"/>
            <w:vAlign w:val="center"/>
          </w:tcPr>
          <w:p>
            <w:pPr>
              <w:pStyle w:val="36"/>
            </w:pPr>
            <w:r>
              <w:rPr>
                <w:rFonts w:hint="eastAsia"/>
              </w:rPr>
              <w:t>非甲烷总烃、C</w:t>
            </w:r>
            <w:r>
              <w:t>O</w:t>
            </w:r>
          </w:p>
        </w:tc>
        <w:tc>
          <w:tcPr>
            <w:tcW w:w="849" w:type="pct"/>
            <w:noWrap w:val="0"/>
            <w:vAlign w:val="center"/>
          </w:tcPr>
          <w:p>
            <w:pPr>
              <w:pStyle w:val="36"/>
            </w:pPr>
            <w:r>
              <w:rPr>
                <w:rFonts w:hint="eastAsia"/>
              </w:rPr>
              <w:t>即时监测</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Merge w:val="restart"/>
            <w:noWrap w:val="0"/>
            <w:vAlign w:val="center"/>
          </w:tcPr>
          <w:p>
            <w:pPr>
              <w:pStyle w:val="36"/>
            </w:pPr>
            <w:r>
              <w:rPr>
                <w:rFonts w:hint="eastAsia"/>
              </w:rPr>
              <w:t>排水水质</w:t>
            </w:r>
          </w:p>
        </w:tc>
        <w:tc>
          <w:tcPr>
            <w:tcW w:w="1656" w:type="pct"/>
            <w:noWrap w:val="0"/>
            <w:vAlign w:val="center"/>
          </w:tcPr>
          <w:p>
            <w:pPr>
              <w:pStyle w:val="36"/>
            </w:pPr>
            <w:r>
              <w:rPr>
                <w:rFonts w:hint="eastAsia"/>
              </w:rPr>
              <w:t>污水总排口</w:t>
            </w:r>
          </w:p>
        </w:tc>
        <w:tc>
          <w:tcPr>
            <w:tcW w:w="1820" w:type="pct"/>
            <w:vMerge w:val="restart"/>
            <w:noWrap w:val="0"/>
            <w:vAlign w:val="center"/>
          </w:tcPr>
          <w:p>
            <w:pPr>
              <w:pStyle w:val="36"/>
            </w:pPr>
            <w:r>
              <w:rPr>
                <w:rFonts w:hint="eastAsia"/>
              </w:rPr>
              <w:t>石油类、COD、SS</w:t>
            </w:r>
          </w:p>
        </w:tc>
        <w:tc>
          <w:tcPr>
            <w:tcW w:w="849" w:type="pct"/>
            <w:vMerge w:val="restart"/>
            <w:noWrap w:val="0"/>
            <w:vAlign w:val="center"/>
          </w:tcPr>
          <w:p>
            <w:pPr>
              <w:pStyle w:val="36"/>
            </w:pPr>
            <w:r>
              <w:rPr>
                <w:rFonts w:hint="eastAsia"/>
              </w:rPr>
              <w:t>即时监测</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Merge w:val="continue"/>
            <w:noWrap w:val="0"/>
            <w:vAlign w:val="center"/>
          </w:tcPr>
          <w:p>
            <w:pPr>
              <w:pStyle w:val="36"/>
            </w:pPr>
          </w:p>
        </w:tc>
        <w:tc>
          <w:tcPr>
            <w:tcW w:w="1656" w:type="pct"/>
            <w:noWrap w:val="0"/>
            <w:vAlign w:val="center"/>
          </w:tcPr>
          <w:p>
            <w:pPr>
              <w:pStyle w:val="36"/>
            </w:pPr>
            <w:r>
              <w:rPr>
                <w:rFonts w:hint="eastAsia"/>
              </w:rPr>
              <w:t>集聚区污水厂进口</w:t>
            </w:r>
          </w:p>
        </w:tc>
        <w:tc>
          <w:tcPr>
            <w:tcW w:w="1820" w:type="pct"/>
            <w:vMerge w:val="continue"/>
            <w:noWrap w:val="0"/>
            <w:vAlign w:val="center"/>
          </w:tcPr>
          <w:p>
            <w:pPr>
              <w:pStyle w:val="36"/>
            </w:pPr>
          </w:p>
        </w:tc>
        <w:tc>
          <w:tcPr>
            <w:tcW w:w="849" w:type="pct"/>
            <w:vMerge w:val="continue"/>
            <w:noWrap w:val="0"/>
            <w:vAlign w:val="center"/>
          </w:tcPr>
          <w:p>
            <w:pPr>
              <w:pStyle w:val="36"/>
            </w:pPr>
          </w:p>
        </w:tc>
      </w:tr>
    </w:tbl>
    <w:p>
      <w:pPr>
        <w:pStyle w:val="8"/>
        <w:spacing w:line="520" w:lineRule="exact"/>
        <w:ind w:firstLine="560"/>
        <w:rPr>
          <w:color w:val="auto"/>
          <w:sz w:val="28"/>
          <w:szCs w:val="28"/>
        </w:rPr>
      </w:pPr>
      <w:r>
        <w:rPr>
          <w:color w:val="auto"/>
          <w:sz w:val="28"/>
          <w:szCs w:val="28"/>
        </w:rPr>
        <w:t>另外，</w:t>
      </w:r>
      <w:r>
        <w:rPr>
          <w:rFonts w:hint="eastAsia"/>
          <w:color w:val="auto"/>
          <w:sz w:val="28"/>
          <w:szCs w:val="28"/>
        </w:rPr>
        <w:t>还应</w:t>
      </w:r>
      <w:r>
        <w:rPr>
          <w:color w:val="auto"/>
          <w:sz w:val="28"/>
          <w:szCs w:val="28"/>
        </w:rPr>
        <w:t>对事件造成的环境影响进行评估，并对受污染事件持续影响的区域进行环境状况跟踪监测，直至污染事件发生地环境状况恢复原状或长久稳定。</w:t>
      </w:r>
    </w:p>
    <w:p>
      <w:pPr>
        <w:pStyle w:val="29"/>
        <w:outlineLvl w:val="3"/>
      </w:pPr>
      <w:r>
        <w:t>7.9.2.10  培训、演习制度及公众教育</w:t>
      </w:r>
    </w:p>
    <w:p>
      <w:pPr>
        <w:spacing w:line="520" w:lineRule="exact"/>
        <w:ind w:firstLine="560" w:firstLineChars="200"/>
        <w:rPr>
          <w:sz w:val="28"/>
          <w:szCs w:val="28"/>
        </w:rPr>
      </w:pPr>
      <w:r>
        <w:rPr>
          <w:sz w:val="28"/>
          <w:szCs w:val="28"/>
        </w:rPr>
        <w:t>（1）培训</w:t>
      </w:r>
    </w:p>
    <w:p>
      <w:pPr>
        <w:spacing w:line="520" w:lineRule="exact"/>
        <w:ind w:firstLine="560" w:firstLineChars="200"/>
        <w:rPr>
          <w:sz w:val="28"/>
          <w:szCs w:val="28"/>
        </w:rPr>
      </w:pPr>
      <w:r>
        <w:rPr>
          <w:sz w:val="28"/>
          <w:szCs w:val="28"/>
        </w:rPr>
        <w:t>公司应急抢救队每半年组织一次抢险理论培训，培训人员要明确公司原料危险性、护具使用、抢险办法、紧急逃生方法并进行考核，记录在案。</w:t>
      </w:r>
    </w:p>
    <w:p>
      <w:pPr>
        <w:spacing w:line="520" w:lineRule="exact"/>
        <w:ind w:firstLine="560" w:firstLineChars="200"/>
        <w:rPr>
          <w:sz w:val="28"/>
          <w:szCs w:val="28"/>
        </w:rPr>
      </w:pPr>
      <w:r>
        <w:rPr>
          <w:sz w:val="28"/>
          <w:szCs w:val="28"/>
        </w:rPr>
        <w:t>工段员工由工段负责每月进行应急及自救培训，生产部组织检查。</w:t>
      </w:r>
    </w:p>
    <w:p>
      <w:pPr>
        <w:spacing w:line="520" w:lineRule="exact"/>
        <w:ind w:firstLine="560" w:firstLineChars="200"/>
        <w:rPr>
          <w:sz w:val="28"/>
          <w:szCs w:val="28"/>
        </w:rPr>
      </w:pPr>
      <w:r>
        <w:rPr>
          <w:sz w:val="28"/>
          <w:szCs w:val="28"/>
        </w:rPr>
        <w:t>（2）演习</w:t>
      </w:r>
    </w:p>
    <w:p>
      <w:pPr>
        <w:spacing w:line="520" w:lineRule="exact"/>
        <w:ind w:firstLine="560" w:firstLineChars="200"/>
        <w:rPr>
          <w:sz w:val="28"/>
          <w:szCs w:val="28"/>
        </w:rPr>
      </w:pPr>
      <w:r>
        <w:rPr>
          <w:rFonts w:hint="eastAsia" w:ascii="宋体" w:hAnsi="宋体" w:cs="宋体"/>
          <w:sz w:val="28"/>
          <w:szCs w:val="28"/>
        </w:rPr>
        <w:t>①</w:t>
      </w:r>
      <w:r>
        <w:rPr>
          <w:sz w:val="28"/>
          <w:szCs w:val="28"/>
        </w:rPr>
        <w:t>专项演习为针对应急响应系统某个环节进行演习，以进一步完善公司应急反应能力，也可增加应急人员熟悉应急行动的机会。公司每年至少组织一次。</w:t>
      </w:r>
    </w:p>
    <w:p>
      <w:pPr>
        <w:spacing w:line="520" w:lineRule="exact"/>
        <w:ind w:firstLine="560" w:firstLineChars="200"/>
        <w:rPr>
          <w:sz w:val="28"/>
          <w:szCs w:val="28"/>
        </w:rPr>
      </w:pPr>
      <w:r>
        <w:rPr>
          <w:rFonts w:hint="eastAsia" w:ascii="宋体" w:hAnsi="宋体" w:cs="宋体"/>
          <w:sz w:val="28"/>
          <w:szCs w:val="28"/>
        </w:rPr>
        <w:t>②</w:t>
      </w:r>
      <w:r>
        <w:rPr>
          <w:sz w:val="28"/>
          <w:szCs w:val="28"/>
        </w:rPr>
        <w:t>应急全过程演习为全面、系统的演习，以检验整个应急响应系统各环节的有效性。按本应急预案中的应急响应程序，进行我公司各级突发环境事件模拟事故应急的全过程演习。每年至少组织一次。</w:t>
      </w:r>
    </w:p>
    <w:p>
      <w:pPr>
        <w:spacing w:line="520" w:lineRule="exact"/>
        <w:ind w:firstLine="560" w:firstLineChars="200"/>
        <w:rPr>
          <w:sz w:val="28"/>
          <w:szCs w:val="28"/>
        </w:rPr>
      </w:pPr>
      <w:r>
        <w:rPr>
          <w:sz w:val="28"/>
          <w:szCs w:val="28"/>
        </w:rPr>
        <w:t>（3）公众教育</w:t>
      </w:r>
    </w:p>
    <w:p>
      <w:pPr>
        <w:spacing w:line="520" w:lineRule="exact"/>
        <w:ind w:firstLine="560" w:firstLineChars="200"/>
        <w:rPr>
          <w:sz w:val="28"/>
          <w:szCs w:val="28"/>
        </w:rPr>
      </w:pPr>
      <w:r>
        <w:rPr>
          <w:sz w:val="28"/>
          <w:szCs w:val="28"/>
        </w:rPr>
        <w:t>针对公司可能发生的事故，每年进行一次社区和周边人员应急响应的自身宣传活动。宣传内容：</w:t>
      </w:r>
    </w:p>
    <w:p>
      <w:pPr>
        <w:spacing w:line="520" w:lineRule="exact"/>
        <w:ind w:firstLine="560" w:firstLineChars="200"/>
        <w:rPr>
          <w:sz w:val="28"/>
          <w:szCs w:val="28"/>
        </w:rPr>
      </w:pPr>
      <w:r>
        <w:rPr>
          <w:rFonts w:hint="eastAsia" w:ascii="宋体" w:hAnsi="宋体"/>
          <w:sz w:val="28"/>
          <w:szCs w:val="28"/>
        </w:rPr>
        <w:t>①</w:t>
      </w:r>
      <w:r>
        <w:rPr>
          <w:sz w:val="28"/>
          <w:szCs w:val="28"/>
        </w:rPr>
        <w:t>公司生产中存在的污染物和危险化学品的特性、健康危害、防护知识等。</w:t>
      </w:r>
    </w:p>
    <w:p>
      <w:pPr>
        <w:spacing w:line="520" w:lineRule="exact"/>
        <w:ind w:firstLine="560" w:firstLineChars="200"/>
        <w:rPr>
          <w:sz w:val="28"/>
          <w:szCs w:val="28"/>
        </w:rPr>
      </w:pPr>
      <w:r>
        <w:rPr>
          <w:rFonts w:hint="eastAsia" w:ascii="宋体" w:hAnsi="宋体"/>
          <w:sz w:val="28"/>
          <w:szCs w:val="28"/>
        </w:rPr>
        <w:t>②</w:t>
      </w:r>
      <w:r>
        <w:rPr>
          <w:sz w:val="28"/>
          <w:szCs w:val="28"/>
        </w:rPr>
        <w:t>公司可能发生环境污染事件、危险化学品泄漏事故能够导致的危害和污染</w:t>
      </w:r>
      <w:r>
        <w:rPr>
          <w:rFonts w:hint="eastAsia"/>
          <w:sz w:val="28"/>
          <w:szCs w:val="28"/>
        </w:rPr>
        <w:t>；</w:t>
      </w:r>
      <w:r>
        <w:rPr>
          <w:sz w:val="28"/>
          <w:szCs w:val="28"/>
        </w:rPr>
        <w:t>在什么条件下，必须对社区和周边人员进行转移疏散。</w:t>
      </w:r>
    </w:p>
    <w:p>
      <w:pPr>
        <w:spacing w:line="520" w:lineRule="exact"/>
        <w:ind w:firstLine="560" w:firstLineChars="200"/>
        <w:rPr>
          <w:sz w:val="28"/>
          <w:szCs w:val="28"/>
        </w:rPr>
      </w:pPr>
      <w:r>
        <w:rPr>
          <w:rFonts w:hint="eastAsia" w:ascii="宋体" w:hAnsi="宋体" w:cs="宋体"/>
          <w:sz w:val="28"/>
          <w:szCs w:val="28"/>
        </w:rPr>
        <w:t>③</w:t>
      </w:r>
      <w:r>
        <w:rPr>
          <w:sz w:val="28"/>
          <w:szCs w:val="28"/>
        </w:rPr>
        <w:t>人员转移、疏散的原则以及转移过程中的安全注意事项。</w:t>
      </w:r>
    </w:p>
    <w:p>
      <w:pPr>
        <w:spacing w:line="520" w:lineRule="exact"/>
        <w:ind w:firstLine="560" w:firstLineChars="200"/>
        <w:rPr>
          <w:sz w:val="28"/>
          <w:szCs w:val="28"/>
        </w:rPr>
      </w:pPr>
      <w:r>
        <w:rPr>
          <w:rFonts w:hint="eastAsia" w:ascii="宋体" w:hAnsi="宋体" w:cs="宋体"/>
          <w:sz w:val="28"/>
          <w:szCs w:val="28"/>
        </w:rPr>
        <w:t>④</w:t>
      </w:r>
      <w:r>
        <w:rPr>
          <w:sz w:val="28"/>
          <w:szCs w:val="28"/>
        </w:rPr>
        <w:t>对因事故而导致的污染和伤害的处理方法。</w:t>
      </w:r>
    </w:p>
    <w:p>
      <w:pPr>
        <w:pStyle w:val="29"/>
        <w:outlineLvl w:val="3"/>
        <w:rPr>
          <w:szCs w:val="28"/>
        </w:rPr>
      </w:pPr>
      <w:r>
        <w:t>7.9.2.11  与</w:t>
      </w:r>
      <w:r>
        <w:rPr>
          <w:rFonts w:hint="eastAsia"/>
        </w:rPr>
        <w:t>濮阳市濮阳经济技术产业集聚区</w:t>
      </w:r>
      <w:r>
        <w:t>应急预案的对接及联动</w:t>
      </w:r>
    </w:p>
    <w:p>
      <w:pPr>
        <w:spacing w:line="520" w:lineRule="exact"/>
        <w:ind w:firstLine="560" w:firstLineChars="200"/>
        <w:rPr>
          <w:sz w:val="28"/>
          <w:szCs w:val="28"/>
        </w:rPr>
      </w:pPr>
      <w:r>
        <w:rPr>
          <w:sz w:val="28"/>
          <w:szCs w:val="28"/>
        </w:rPr>
        <w:t>本项目应将污染事件分为二级，一级为事故的事态较为严重，公司应急救援能力不能完全控制事态的污染事故，二级为公司的应急救援能力完全可以控制的环境污染事件。</w:t>
      </w:r>
    </w:p>
    <w:p>
      <w:pPr>
        <w:spacing w:line="520" w:lineRule="exact"/>
        <w:ind w:firstLine="560" w:firstLineChars="200"/>
        <w:rPr>
          <w:sz w:val="28"/>
          <w:szCs w:val="28"/>
        </w:rPr>
      </w:pPr>
      <w:r>
        <w:rPr>
          <w:sz w:val="28"/>
          <w:szCs w:val="28"/>
        </w:rPr>
        <w:t>发生一级污染事件，企业应急指挥机构应立即组织进行先期处置工作，同时应在第一时间（最迟不超过半小时）向</w:t>
      </w:r>
      <w:r>
        <w:rPr>
          <w:rFonts w:hint="eastAsia"/>
          <w:sz w:val="28"/>
          <w:szCs w:val="28"/>
        </w:rPr>
        <w:t>濮阳经济技术产业集聚区</w:t>
      </w:r>
      <w:r>
        <w:rPr>
          <w:sz w:val="28"/>
          <w:szCs w:val="28"/>
        </w:rPr>
        <w:t>突发公共事件应急指挥机构或突发环境污染事件应急指挥机构报告，或拨打110、119。要认真记录事件发生的时间、地点、单位、原因、伤亡损失情况等内容，进行核实后立即通知</w:t>
      </w:r>
      <w:r>
        <w:rPr>
          <w:rFonts w:hint="eastAsia"/>
          <w:sz w:val="28"/>
          <w:szCs w:val="28"/>
        </w:rPr>
        <w:t>濮阳市濮阳经济技术产业集聚区</w:t>
      </w:r>
      <w:r>
        <w:rPr>
          <w:sz w:val="28"/>
          <w:szCs w:val="28"/>
        </w:rPr>
        <w:t>突发公共事件应急指挥机构或突发环境污染事件应急指挥机构。</w:t>
      </w:r>
    </w:p>
    <w:p>
      <w:pPr>
        <w:spacing w:line="520" w:lineRule="exact"/>
        <w:ind w:firstLine="560" w:firstLineChars="200"/>
        <w:rPr>
          <w:sz w:val="28"/>
          <w:szCs w:val="28"/>
        </w:rPr>
      </w:pPr>
      <w:r>
        <w:rPr>
          <w:sz w:val="28"/>
          <w:szCs w:val="28"/>
        </w:rPr>
        <w:t>发生二级污染事件，企业在及时启动二级应急预案对事故进行妥善处理的同时，应将事故情况向有关部门汇报。</w:t>
      </w:r>
    </w:p>
    <w:p>
      <w:pPr>
        <w:pStyle w:val="29"/>
        <w:outlineLvl w:val="3"/>
      </w:pPr>
      <w:r>
        <w:t xml:space="preserve">7.9.2.12  </w:t>
      </w:r>
      <w:r>
        <w:rPr>
          <w:rFonts w:hint="eastAsia"/>
        </w:rPr>
        <w:t>其他</w:t>
      </w:r>
      <w:r>
        <w:t>有关规定和要求</w:t>
      </w:r>
    </w:p>
    <w:p>
      <w:pPr>
        <w:spacing w:line="520" w:lineRule="exact"/>
        <w:ind w:firstLine="560" w:firstLineChars="200"/>
        <w:rPr>
          <w:sz w:val="28"/>
          <w:szCs w:val="28"/>
        </w:rPr>
      </w:pPr>
      <w:r>
        <w:rPr>
          <w:rFonts w:hint="eastAsia"/>
          <w:sz w:val="28"/>
          <w:szCs w:val="28"/>
        </w:rPr>
        <w:t>（1）</w:t>
      </w:r>
      <w:r>
        <w:rPr>
          <w:sz w:val="28"/>
          <w:szCs w:val="28"/>
        </w:rPr>
        <w:t>按照本节内容要求落实应急救援组织，每年初要根据人员变化进行组织调整，确保救援组织的落实。</w:t>
      </w:r>
    </w:p>
    <w:p>
      <w:pPr>
        <w:spacing w:line="520" w:lineRule="exact"/>
        <w:ind w:firstLine="560" w:firstLineChars="200"/>
        <w:rPr>
          <w:sz w:val="28"/>
          <w:szCs w:val="28"/>
        </w:rPr>
      </w:pPr>
      <w:r>
        <w:rPr>
          <w:rFonts w:hint="eastAsia"/>
          <w:sz w:val="28"/>
          <w:szCs w:val="28"/>
        </w:rPr>
        <w:t>（</w:t>
      </w:r>
      <w:r>
        <w:rPr>
          <w:sz w:val="28"/>
          <w:szCs w:val="28"/>
        </w:rPr>
        <w:t>2</w:t>
      </w:r>
      <w:r>
        <w:rPr>
          <w:rFonts w:hint="eastAsia"/>
          <w:sz w:val="28"/>
          <w:szCs w:val="28"/>
        </w:rPr>
        <w:t>）</w:t>
      </w:r>
      <w:r>
        <w:rPr>
          <w:sz w:val="28"/>
          <w:szCs w:val="28"/>
        </w:rPr>
        <w:t>按照任务分工做好物资器材准备，如：必要的指挥通讯、报警、洗消、消防、抢修等器材及交通工具。上述各种器材应指定专人保管，并定期检查保养，使其处于良好状态，各重点目标设救援器材柜，专人保管以备急用。</w:t>
      </w:r>
    </w:p>
    <w:p>
      <w:pPr>
        <w:spacing w:line="520" w:lineRule="exact"/>
        <w:ind w:firstLine="560" w:firstLineChars="200"/>
        <w:rPr>
          <w:sz w:val="28"/>
          <w:szCs w:val="28"/>
        </w:rPr>
      </w:pPr>
      <w:r>
        <w:rPr>
          <w:rFonts w:hint="eastAsia"/>
          <w:sz w:val="28"/>
          <w:szCs w:val="28"/>
        </w:rPr>
        <w:t>（</w:t>
      </w:r>
      <w:r>
        <w:rPr>
          <w:sz w:val="28"/>
          <w:szCs w:val="28"/>
        </w:rPr>
        <w:t>3</w:t>
      </w:r>
      <w:r>
        <w:rPr>
          <w:rFonts w:hint="eastAsia"/>
          <w:sz w:val="28"/>
          <w:szCs w:val="28"/>
        </w:rPr>
        <w:t>）</w:t>
      </w:r>
      <w:r>
        <w:rPr>
          <w:sz w:val="28"/>
          <w:szCs w:val="28"/>
        </w:rPr>
        <w:t>定期组织救援训练和学习，提高指挥水平和救援能力。</w:t>
      </w:r>
    </w:p>
    <w:p>
      <w:pPr>
        <w:spacing w:line="520" w:lineRule="exact"/>
        <w:ind w:firstLine="560" w:firstLineChars="200"/>
        <w:rPr>
          <w:sz w:val="28"/>
          <w:szCs w:val="28"/>
        </w:rPr>
      </w:pPr>
      <w:r>
        <w:rPr>
          <w:rFonts w:hint="eastAsia"/>
          <w:sz w:val="28"/>
          <w:szCs w:val="28"/>
        </w:rPr>
        <w:t>（</w:t>
      </w:r>
      <w:r>
        <w:rPr>
          <w:sz w:val="28"/>
          <w:szCs w:val="28"/>
        </w:rPr>
        <w:t>4</w:t>
      </w:r>
      <w:r>
        <w:rPr>
          <w:rFonts w:hint="eastAsia"/>
          <w:sz w:val="28"/>
          <w:szCs w:val="28"/>
        </w:rPr>
        <w:t>）</w:t>
      </w:r>
      <w:r>
        <w:rPr>
          <w:sz w:val="28"/>
          <w:szCs w:val="28"/>
        </w:rPr>
        <w:t>对全厂职工进行经常性的救援常识教育。</w:t>
      </w:r>
    </w:p>
    <w:p>
      <w:pPr>
        <w:spacing w:line="520" w:lineRule="exact"/>
        <w:ind w:firstLine="560" w:firstLineChars="200"/>
        <w:rPr>
          <w:sz w:val="28"/>
          <w:szCs w:val="28"/>
        </w:rPr>
      </w:pPr>
      <w:r>
        <w:rPr>
          <w:rFonts w:hint="eastAsia"/>
          <w:sz w:val="28"/>
          <w:szCs w:val="28"/>
        </w:rPr>
        <w:t>（</w:t>
      </w:r>
      <w:r>
        <w:rPr>
          <w:sz w:val="28"/>
          <w:szCs w:val="28"/>
        </w:rPr>
        <w:t>5</w:t>
      </w:r>
      <w:r>
        <w:rPr>
          <w:rFonts w:hint="eastAsia"/>
          <w:sz w:val="28"/>
          <w:szCs w:val="28"/>
        </w:rPr>
        <w:t>）</w:t>
      </w:r>
      <w:r>
        <w:rPr>
          <w:sz w:val="28"/>
          <w:szCs w:val="28"/>
        </w:rPr>
        <w:t>建立完善各项制度：</w:t>
      </w:r>
    </w:p>
    <w:p>
      <w:pPr>
        <w:spacing w:line="520" w:lineRule="exact"/>
        <w:ind w:firstLine="560" w:firstLineChars="200"/>
        <w:rPr>
          <w:sz w:val="28"/>
          <w:szCs w:val="28"/>
        </w:rPr>
      </w:pPr>
      <w:r>
        <w:rPr>
          <w:rFonts w:hint="eastAsia" w:ascii="宋体" w:hAnsi="宋体" w:cs="宋体"/>
          <w:sz w:val="28"/>
          <w:szCs w:val="28"/>
        </w:rPr>
        <w:t>①</w:t>
      </w:r>
      <w:r>
        <w:rPr>
          <w:sz w:val="28"/>
          <w:szCs w:val="28"/>
        </w:rPr>
        <w:t>建立昼夜值班制度，指定预案责任人和备选联系人。</w:t>
      </w:r>
    </w:p>
    <w:p>
      <w:pPr>
        <w:spacing w:line="520" w:lineRule="exact"/>
        <w:ind w:firstLine="560" w:firstLineChars="200"/>
        <w:rPr>
          <w:sz w:val="28"/>
          <w:szCs w:val="28"/>
        </w:rPr>
      </w:pPr>
      <w:r>
        <w:rPr>
          <w:rFonts w:hint="eastAsia" w:ascii="宋体" w:hAnsi="宋体" w:cs="宋体"/>
          <w:sz w:val="28"/>
          <w:szCs w:val="28"/>
        </w:rPr>
        <w:t>②</w:t>
      </w:r>
      <w:r>
        <w:rPr>
          <w:sz w:val="28"/>
          <w:szCs w:val="28"/>
        </w:rPr>
        <w:t>建立检查制度，每月结合安全生产工作检查，定期检查应急救援工作落实情况及器具保管情况，并组织应急预案演习。</w:t>
      </w:r>
    </w:p>
    <w:p>
      <w:pPr>
        <w:spacing w:line="520" w:lineRule="exact"/>
        <w:ind w:firstLine="560" w:firstLineChars="200"/>
        <w:rPr>
          <w:sz w:val="28"/>
          <w:szCs w:val="28"/>
        </w:rPr>
      </w:pPr>
      <w:r>
        <w:rPr>
          <w:rFonts w:hint="eastAsia" w:ascii="宋体" w:hAnsi="宋体" w:cs="宋体"/>
          <w:sz w:val="28"/>
          <w:szCs w:val="28"/>
        </w:rPr>
        <w:t>③</w:t>
      </w:r>
      <w:r>
        <w:rPr>
          <w:sz w:val="28"/>
          <w:szCs w:val="28"/>
        </w:rPr>
        <w:t>建立例会制度，每季度第一个月的第一周召开领导小组成员和救援队负责人会议，研究应急救援工作。</w:t>
      </w:r>
    </w:p>
    <w:p>
      <w:pPr>
        <w:spacing w:line="520" w:lineRule="exact"/>
        <w:ind w:firstLine="560" w:firstLineChars="200"/>
        <w:rPr>
          <w:sz w:val="28"/>
          <w:szCs w:val="28"/>
        </w:rPr>
      </w:pPr>
      <w:r>
        <w:rPr>
          <w:rFonts w:hint="eastAsia" w:ascii="宋体" w:hAnsi="宋体" w:cs="宋体"/>
          <w:sz w:val="28"/>
          <w:szCs w:val="28"/>
        </w:rPr>
        <w:t>④</w:t>
      </w:r>
      <w:r>
        <w:rPr>
          <w:sz w:val="28"/>
          <w:szCs w:val="28"/>
        </w:rPr>
        <w:t>总结评比工作，与安全生产工作同检查、同讲评、同表彰奖励。</w:t>
      </w:r>
    </w:p>
    <w:p>
      <w:pPr>
        <w:pStyle w:val="4"/>
        <w:numPr>
          <w:ilvl w:val="1"/>
          <w:numId w:val="0"/>
        </w:numPr>
        <w:spacing w:before="0" w:after="0"/>
      </w:pPr>
      <w:r>
        <w:t>7</w:t>
      </w:r>
      <w:r>
        <w:rPr>
          <w:rFonts w:hint="eastAsia"/>
        </w:rPr>
        <w:t>.1</w:t>
      </w:r>
      <w:r>
        <w:t>0</w:t>
      </w:r>
      <w:r>
        <w:rPr>
          <w:rFonts w:hint="eastAsia"/>
        </w:rPr>
        <w:t xml:space="preserve">  </w:t>
      </w:r>
      <w:r>
        <w:t>风险</w:t>
      </w:r>
      <w:r>
        <w:rPr>
          <w:rFonts w:hint="eastAsia"/>
        </w:rPr>
        <w:t>防范、</w:t>
      </w:r>
      <w:r>
        <w:t>应急设施及投资估算</w:t>
      </w:r>
    </w:p>
    <w:p>
      <w:pPr>
        <w:pStyle w:val="8"/>
        <w:ind w:firstLine="560"/>
        <w:rPr>
          <w:color w:val="auto"/>
          <w:sz w:val="28"/>
          <w:szCs w:val="28"/>
        </w:rPr>
      </w:pPr>
      <w:r>
        <w:rPr>
          <w:color w:val="auto"/>
          <w:sz w:val="28"/>
          <w:szCs w:val="28"/>
        </w:rPr>
        <w:t>本项目主要事故防范及应急措施及投资估算见</w:t>
      </w:r>
      <w:r>
        <w:rPr>
          <w:rFonts w:hint="eastAsia"/>
          <w:color w:val="auto"/>
          <w:sz w:val="28"/>
          <w:szCs w:val="28"/>
        </w:rPr>
        <w:t>表7</w:t>
      </w:r>
      <w:r>
        <w:rPr>
          <w:color w:val="auto"/>
          <w:sz w:val="28"/>
          <w:szCs w:val="28"/>
        </w:rPr>
        <w:t>.11</w:t>
      </w:r>
      <w:r>
        <w:rPr>
          <w:rFonts w:hint="eastAsia"/>
          <w:color w:val="auto"/>
          <w:sz w:val="28"/>
          <w:szCs w:val="28"/>
        </w:rPr>
        <w:t>-</w:t>
      </w:r>
      <w:r>
        <w:rPr>
          <w:color w:val="auto"/>
          <w:sz w:val="28"/>
          <w:szCs w:val="28"/>
        </w:rPr>
        <w:t>1。</w:t>
      </w:r>
    </w:p>
    <w:p>
      <w:pPr>
        <w:pStyle w:val="32"/>
        <w:tabs>
          <w:tab w:val="clear" w:pos="900"/>
        </w:tabs>
        <w:ind w:firstLine="679" w:firstLineChars="282"/>
      </w:pPr>
      <w:r>
        <w:rPr>
          <w:rFonts w:hint="eastAsia"/>
        </w:rPr>
        <w:t>表7</w:t>
      </w:r>
      <w:r>
        <w:t>.11</w:t>
      </w:r>
      <w:r>
        <w:rPr>
          <w:rFonts w:hint="eastAsia"/>
        </w:rPr>
        <w:t>-</w:t>
      </w:r>
      <w:r>
        <w:t>1          风险事故应急措施和设施投资估算一览表</w:t>
      </w:r>
    </w:p>
    <w:tbl>
      <w:tblPr>
        <w:tblStyle w:val="21"/>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28" w:type="dxa"/>
          <w:bottom w:w="0" w:type="dxa"/>
          <w:right w:w="28" w:type="dxa"/>
        </w:tblCellMar>
      </w:tblPr>
      <w:tblGrid>
        <w:gridCol w:w="2296"/>
        <w:gridCol w:w="2694"/>
        <w:gridCol w:w="1417"/>
        <w:gridCol w:w="2607"/>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noWrap w:val="0"/>
            <w:vAlign w:val="center"/>
          </w:tcPr>
          <w:p>
            <w:pPr>
              <w:pStyle w:val="36"/>
              <w:rPr>
                <w:b/>
                <w:bCs/>
              </w:rPr>
            </w:pPr>
            <w:bookmarkStart w:id="260" w:name="_Hlk66719310"/>
            <w:r>
              <w:rPr>
                <w:b/>
                <w:bCs/>
              </w:rPr>
              <w:t>项目</w:t>
            </w:r>
          </w:p>
        </w:tc>
        <w:tc>
          <w:tcPr>
            <w:tcW w:w="2694" w:type="dxa"/>
            <w:noWrap w:val="0"/>
            <w:vAlign w:val="center"/>
          </w:tcPr>
          <w:p>
            <w:pPr>
              <w:pStyle w:val="36"/>
              <w:rPr>
                <w:b/>
                <w:bCs/>
              </w:rPr>
            </w:pPr>
            <w:r>
              <w:rPr>
                <w:b/>
                <w:bCs/>
              </w:rPr>
              <w:t>主要设施</w:t>
            </w:r>
          </w:p>
        </w:tc>
        <w:tc>
          <w:tcPr>
            <w:tcW w:w="1417" w:type="dxa"/>
            <w:noWrap w:val="0"/>
            <w:vAlign w:val="center"/>
          </w:tcPr>
          <w:p>
            <w:pPr>
              <w:pStyle w:val="36"/>
              <w:rPr>
                <w:b/>
                <w:bCs/>
              </w:rPr>
            </w:pPr>
            <w:r>
              <w:rPr>
                <w:b/>
                <w:bCs/>
              </w:rPr>
              <w:t>规模</w:t>
            </w:r>
          </w:p>
        </w:tc>
        <w:tc>
          <w:tcPr>
            <w:tcW w:w="2607" w:type="dxa"/>
            <w:noWrap w:val="0"/>
            <w:vAlign w:val="center"/>
          </w:tcPr>
          <w:p>
            <w:pPr>
              <w:pStyle w:val="36"/>
              <w:rPr>
                <w:b/>
                <w:bCs/>
              </w:rPr>
            </w:pPr>
            <w:r>
              <w:rPr>
                <w:b/>
                <w:bCs/>
              </w:rPr>
              <w:t>投资</w:t>
            </w:r>
          </w:p>
          <w:p>
            <w:pPr>
              <w:pStyle w:val="36"/>
              <w:rPr>
                <w:b/>
                <w:bCs/>
              </w:rPr>
            </w:pPr>
            <w:r>
              <w:rPr>
                <w:b/>
                <w:bCs/>
              </w:rPr>
              <w:t>（万元）</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noWrap w:val="0"/>
            <w:vAlign w:val="center"/>
          </w:tcPr>
          <w:p>
            <w:pPr>
              <w:pStyle w:val="36"/>
            </w:pPr>
            <w:r>
              <w:t>废水风险防护设施</w:t>
            </w:r>
          </w:p>
        </w:tc>
        <w:tc>
          <w:tcPr>
            <w:tcW w:w="2694" w:type="dxa"/>
            <w:noWrap w:val="0"/>
            <w:vAlign w:val="center"/>
          </w:tcPr>
          <w:p>
            <w:pPr>
              <w:pStyle w:val="36"/>
            </w:pPr>
            <w:r>
              <w:t>事故水收集池</w:t>
            </w:r>
          </w:p>
        </w:tc>
        <w:tc>
          <w:tcPr>
            <w:tcW w:w="1417" w:type="dxa"/>
            <w:noWrap w:val="0"/>
            <w:vAlign w:val="center"/>
          </w:tcPr>
          <w:p>
            <w:pPr>
              <w:pStyle w:val="36"/>
            </w:pPr>
            <w:r>
              <w:rPr>
                <w:rFonts w:hint="eastAsia"/>
              </w:rPr>
              <w:t>32</w:t>
            </w:r>
            <w:r>
              <w:t>00m</w:t>
            </w:r>
            <w:r>
              <w:rPr>
                <w:vertAlign w:val="superscript"/>
              </w:rPr>
              <w:t>3</w:t>
            </w:r>
          </w:p>
        </w:tc>
        <w:tc>
          <w:tcPr>
            <w:tcW w:w="2607" w:type="dxa"/>
            <w:noWrap w:val="0"/>
            <w:vAlign w:val="center"/>
          </w:tcPr>
          <w:p>
            <w:pPr>
              <w:pStyle w:val="36"/>
            </w:pPr>
            <w:r>
              <w:rPr>
                <w:rFonts w:hint="eastAsia"/>
              </w:rPr>
              <w:t>依托永金乙二醇现有设施</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restart"/>
            <w:noWrap w:val="0"/>
            <w:vAlign w:val="center"/>
          </w:tcPr>
          <w:p>
            <w:pPr>
              <w:pStyle w:val="36"/>
            </w:pPr>
            <w:r>
              <w:rPr>
                <w:rFonts w:hint="eastAsia"/>
              </w:rPr>
              <w:t>防火、预警</w:t>
            </w:r>
            <w:r>
              <w:t>设施</w:t>
            </w:r>
          </w:p>
        </w:tc>
        <w:tc>
          <w:tcPr>
            <w:tcW w:w="2694" w:type="dxa"/>
            <w:noWrap w:val="0"/>
            <w:vAlign w:val="center"/>
          </w:tcPr>
          <w:p>
            <w:pPr>
              <w:pStyle w:val="36"/>
              <w:rPr>
                <w:rFonts w:hint="eastAsia"/>
              </w:rPr>
            </w:pPr>
            <w:r>
              <w:rPr>
                <w:szCs w:val="21"/>
              </w:rPr>
              <w:t>火灾报警系统</w:t>
            </w:r>
          </w:p>
        </w:tc>
        <w:tc>
          <w:tcPr>
            <w:tcW w:w="1417" w:type="dxa"/>
            <w:noWrap w:val="0"/>
            <w:vAlign w:val="center"/>
          </w:tcPr>
          <w:p>
            <w:pPr>
              <w:pStyle w:val="36"/>
            </w:pPr>
            <w:r>
              <w:rPr>
                <w:rFonts w:hint="eastAsia"/>
              </w:rPr>
              <w:t>1套</w:t>
            </w:r>
          </w:p>
        </w:tc>
        <w:tc>
          <w:tcPr>
            <w:tcW w:w="2607" w:type="dxa"/>
            <w:vMerge w:val="restart"/>
            <w:noWrap w:val="0"/>
            <w:vAlign w:val="center"/>
          </w:tcPr>
          <w:p>
            <w:pPr>
              <w:pStyle w:val="36"/>
            </w:pPr>
            <w:r>
              <w:rPr>
                <w:rFonts w:hint="eastAsia"/>
              </w:rPr>
              <w:t>120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continue"/>
            <w:noWrap w:val="0"/>
            <w:vAlign w:val="center"/>
          </w:tcPr>
          <w:p>
            <w:pPr>
              <w:pStyle w:val="36"/>
              <w:rPr>
                <w:rFonts w:hint="eastAsia"/>
              </w:rPr>
            </w:pPr>
          </w:p>
        </w:tc>
        <w:tc>
          <w:tcPr>
            <w:tcW w:w="2694" w:type="dxa"/>
            <w:noWrap w:val="0"/>
            <w:vAlign w:val="center"/>
          </w:tcPr>
          <w:p>
            <w:pPr>
              <w:pStyle w:val="36"/>
              <w:rPr>
                <w:szCs w:val="21"/>
              </w:rPr>
            </w:pPr>
            <w:r>
              <w:rPr>
                <w:rFonts w:hint="eastAsia"/>
              </w:rPr>
              <w:t>可燃气体探测器</w:t>
            </w:r>
          </w:p>
        </w:tc>
        <w:tc>
          <w:tcPr>
            <w:tcW w:w="1417" w:type="dxa"/>
            <w:noWrap w:val="0"/>
            <w:vAlign w:val="center"/>
          </w:tcPr>
          <w:p>
            <w:pPr>
              <w:pStyle w:val="36"/>
              <w:rPr>
                <w:rFonts w:hint="eastAsia"/>
              </w:rPr>
            </w:pPr>
            <w:r>
              <w:t>若干</w:t>
            </w:r>
          </w:p>
        </w:tc>
        <w:tc>
          <w:tcPr>
            <w:tcW w:w="2607" w:type="dxa"/>
            <w:vMerge w:val="continue"/>
            <w:noWrap w:val="0"/>
            <w:vAlign w:val="center"/>
          </w:tcPr>
          <w:p>
            <w:pPr>
              <w:pStyle w:val="36"/>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continue"/>
            <w:noWrap w:val="0"/>
            <w:vAlign w:val="center"/>
          </w:tcPr>
          <w:p>
            <w:pPr>
              <w:pStyle w:val="36"/>
              <w:rPr>
                <w:szCs w:val="21"/>
              </w:rPr>
            </w:pPr>
          </w:p>
        </w:tc>
        <w:tc>
          <w:tcPr>
            <w:tcW w:w="2694" w:type="dxa"/>
            <w:noWrap w:val="0"/>
            <w:vAlign w:val="center"/>
          </w:tcPr>
          <w:p>
            <w:pPr>
              <w:pStyle w:val="36"/>
              <w:rPr>
                <w:rFonts w:hint="eastAsia"/>
              </w:rPr>
            </w:pPr>
            <w:r>
              <w:rPr>
                <w:rFonts w:hint="eastAsia"/>
              </w:rPr>
              <w:t>事故</w:t>
            </w:r>
            <w:r>
              <w:t>火炬</w:t>
            </w:r>
          </w:p>
        </w:tc>
        <w:tc>
          <w:tcPr>
            <w:tcW w:w="1417" w:type="dxa"/>
            <w:noWrap w:val="0"/>
            <w:vAlign w:val="center"/>
          </w:tcPr>
          <w:p>
            <w:pPr>
              <w:pStyle w:val="36"/>
            </w:pPr>
            <w:r>
              <w:rPr>
                <w:rFonts w:hint="eastAsia"/>
              </w:rPr>
              <w:t>1座</w:t>
            </w:r>
          </w:p>
        </w:tc>
        <w:tc>
          <w:tcPr>
            <w:tcW w:w="2607" w:type="dxa"/>
            <w:noWrap w:val="0"/>
            <w:vAlign w:val="center"/>
          </w:tcPr>
          <w:p>
            <w:pPr>
              <w:pStyle w:val="36"/>
            </w:pPr>
            <w:r>
              <w:rPr>
                <w:rFonts w:hint="eastAsia"/>
              </w:rPr>
              <w:t>依托现有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noWrap w:val="0"/>
            <w:vAlign w:val="center"/>
          </w:tcPr>
          <w:p>
            <w:pPr>
              <w:pStyle w:val="36"/>
              <w:rPr>
                <w:szCs w:val="21"/>
              </w:rPr>
            </w:pPr>
            <w:r>
              <w:t>消防设施</w:t>
            </w:r>
          </w:p>
        </w:tc>
        <w:tc>
          <w:tcPr>
            <w:tcW w:w="2694" w:type="dxa"/>
            <w:noWrap w:val="0"/>
            <w:vAlign w:val="center"/>
          </w:tcPr>
          <w:p>
            <w:pPr>
              <w:pStyle w:val="36"/>
              <w:rPr>
                <w:rFonts w:hint="eastAsia"/>
              </w:rPr>
            </w:pPr>
            <w:r>
              <w:rPr>
                <w:rFonts w:hint="eastAsia"/>
                <w:szCs w:val="21"/>
              </w:rPr>
              <w:t>消防水炮、消防水管等</w:t>
            </w:r>
            <w:r>
              <w:rPr>
                <w:szCs w:val="21"/>
              </w:rPr>
              <w:t>设施</w:t>
            </w:r>
          </w:p>
        </w:tc>
        <w:tc>
          <w:tcPr>
            <w:tcW w:w="1417" w:type="dxa"/>
            <w:noWrap w:val="0"/>
            <w:vAlign w:val="center"/>
          </w:tcPr>
          <w:p>
            <w:pPr>
              <w:pStyle w:val="36"/>
              <w:rPr>
                <w:rFonts w:hint="eastAsia"/>
              </w:rPr>
            </w:pPr>
            <w:r>
              <w:rPr>
                <w:rFonts w:hint="eastAsia"/>
              </w:rPr>
              <w:t>/</w:t>
            </w:r>
          </w:p>
        </w:tc>
        <w:tc>
          <w:tcPr>
            <w:tcW w:w="2607" w:type="dxa"/>
            <w:noWrap w:val="0"/>
            <w:vAlign w:val="center"/>
          </w:tcPr>
          <w:p>
            <w:pPr>
              <w:pStyle w:val="36"/>
              <w:rPr>
                <w:rFonts w:hint="eastAsia"/>
              </w:rPr>
            </w:pPr>
            <w:r>
              <w:rPr>
                <w:rFonts w:hint="eastAsia"/>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restart"/>
            <w:noWrap w:val="0"/>
            <w:vAlign w:val="center"/>
          </w:tcPr>
          <w:p>
            <w:pPr>
              <w:pStyle w:val="36"/>
            </w:pPr>
            <w:r>
              <w:t>其他</w:t>
            </w:r>
            <w:r>
              <w:rPr>
                <w:rFonts w:hint="eastAsia"/>
              </w:rPr>
              <w:t>风险应急物资</w:t>
            </w:r>
          </w:p>
        </w:tc>
        <w:tc>
          <w:tcPr>
            <w:tcW w:w="2694" w:type="dxa"/>
            <w:noWrap w:val="0"/>
            <w:vAlign w:val="center"/>
          </w:tcPr>
          <w:p>
            <w:pPr>
              <w:pStyle w:val="36"/>
            </w:pPr>
            <w:r>
              <w:rPr>
                <w:rFonts w:hint="eastAsia"/>
              </w:rPr>
              <w:t>空气呼吸器</w:t>
            </w:r>
          </w:p>
        </w:tc>
        <w:tc>
          <w:tcPr>
            <w:tcW w:w="1417" w:type="dxa"/>
            <w:noWrap w:val="0"/>
            <w:vAlign w:val="center"/>
          </w:tcPr>
          <w:p>
            <w:pPr>
              <w:pStyle w:val="36"/>
            </w:pPr>
            <w:r>
              <w:t>若干</w:t>
            </w:r>
          </w:p>
        </w:tc>
        <w:tc>
          <w:tcPr>
            <w:tcW w:w="2607" w:type="dxa"/>
            <w:vMerge w:val="restart"/>
            <w:noWrap w:val="0"/>
            <w:vAlign w:val="center"/>
          </w:tcPr>
          <w:p>
            <w:pPr>
              <w:pStyle w:val="36"/>
            </w:pPr>
            <w:r>
              <w:rPr>
                <w:rFonts w:hint="eastAsia"/>
              </w:rPr>
              <w:t>依托现有</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continue"/>
            <w:noWrap w:val="0"/>
            <w:vAlign w:val="center"/>
          </w:tcPr>
          <w:p>
            <w:pPr>
              <w:pStyle w:val="36"/>
            </w:pPr>
          </w:p>
        </w:tc>
        <w:tc>
          <w:tcPr>
            <w:tcW w:w="2694" w:type="dxa"/>
            <w:noWrap w:val="0"/>
            <w:vAlign w:val="center"/>
          </w:tcPr>
          <w:p>
            <w:pPr>
              <w:pStyle w:val="36"/>
            </w:pPr>
            <w:r>
              <w:rPr>
                <w:rFonts w:hint="eastAsia"/>
              </w:rPr>
              <w:t>防毒面罩</w:t>
            </w:r>
          </w:p>
        </w:tc>
        <w:tc>
          <w:tcPr>
            <w:tcW w:w="1417" w:type="dxa"/>
            <w:noWrap w:val="0"/>
            <w:vAlign w:val="center"/>
          </w:tcPr>
          <w:p>
            <w:pPr>
              <w:pStyle w:val="36"/>
            </w:pPr>
            <w:r>
              <w:rPr>
                <w:rFonts w:hint="eastAsia"/>
              </w:rPr>
              <w:t>若干</w:t>
            </w:r>
          </w:p>
        </w:tc>
        <w:tc>
          <w:tcPr>
            <w:tcW w:w="2607" w:type="dxa"/>
            <w:vMerge w:val="continue"/>
            <w:noWrap w:val="0"/>
            <w:vAlign w:val="center"/>
          </w:tcPr>
          <w:p>
            <w:pPr>
              <w:pStyle w:val="36"/>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vMerge w:val="continue"/>
            <w:noWrap w:val="0"/>
            <w:vAlign w:val="center"/>
          </w:tcPr>
          <w:p>
            <w:pPr>
              <w:pStyle w:val="36"/>
            </w:pPr>
          </w:p>
        </w:tc>
        <w:tc>
          <w:tcPr>
            <w:tcW w:w="2694" w:type="dxa"/>
            <w:noWrap w:val="0"/>
            <w:vAlign w:val="center"/>
          </w:tcPr>
          <w:p>
            <w:pPr>
              <w:pStyle w:val="36"/>
            </w:pPr>
            <w:r>
              <w:rPr>
                <w:rFonts w:hint="eastAsia"/>
              </w:rPr>
              <w:t>消防服</w:t>
            </w:r>
          </w:p>
        </w:tc>
        <w:tc>
          <w:tcPr>
            <w:tcW w:w="1417" w:type="dxa"/>
            <w:noWrap w:val="0"/>
            <w:vAlign w:val="center"/>
          </w:tcPr>
          <w:p>
            <w:pPr>
              <w:pStyle w:val="36"/>
            </w:pPr>
            <w:r>
              <w:t>若干</w:t>
            </w:r>
          </w:p>
        </w:tc>
        <w:tc>
          <w:tcPr>
            <w:tcW w:w="2607" w:type="dxa"/>
            <w:vMerge w:val="continue"/>
            <w:noWrap w:val="0"/>
            <w:vAlign w:val="center"/>
          </w:tcPr>
          <w:p>
            <w:pPr>
              <w:pStyle w:val="36"/>
            </w:pP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2296" w:type="dxa"/>
            <w:noWrap w:val="0"/>
            <w:vAlign w:val="center"/>
          </w:tcPr>
          <w:p>
            <w:pPr>
              <w:pStyle w:val="36"/>
            </w:pPr>
            <w:r>
              <w:t>合计</w:t>
            </w:r>
          </w:p>
        </w:tc>
        <w:tc>
          <w:tcPr>
            <w:tcW w:w="2694" w:type="dxa"/>
            <w:noWrap w:val="0"/>
            <w:vAlign w:val="center"/>
          </w:tcPr>
          <w:p>
            <w:pPr>
              <w:pStyle w:val="36"/>
            </w:pPr>
            <w:r>
              <w:t>/</w:t>
            </w:r>
          </w:p>
        </w:tc>
        <w:tc>
          <w:tcPr>
            <w:tcW w:w="1417" w:type="dxa"/>
            <w:noWrap w:val="0"/>
            <w:vAlign w:val="center"/>
          </w:tcPr>
          <w:p>
            <w:pPr>
              <w:pStyle w:val="36"/>
            </w:pPr>
            <w:r>
              <w:t>/</w:t>
            </w:r>
          </w:p>
        </w:tc>
        <w:tc>
          <w:tcPr>
            <w:tcW w:w="2607" w:type="dxa"/>
            <w:noWrap w:val="0"/>
            <w:vAlign w:val="center"/>
          </w:tcPr>
          <w:p>
            <w:pPr>
              <w:pStyle w:val="36"/>
            </w:pPr>
            <w:r>
              <w:rPr>
                <w:rFonts w:hint="eastAsia"/>
              </w:rPr>
              <w:t>140</w:t>
            </w:r>
          </w:p>
        </w:tc>
      </w:tr>
      <w:bookmarkEnd w:id="260"/>
    </w:tbl>
    <w:p>
      <w:pPr>
        <w:pStyle w:val="4"/>
        <w:numPr>
          <w:ilvl w:val="1"/>
          <w:numId w:val="0"/>
        </w:numPr>
        <w:spacing w:before="0" w:after="0"/>
      </w:pPr>
      <w:r>
        <w:t>7</w:t>
      </w:r>
      <w:r>
        <w:rPr>
          <w:rFonts w:hint="eastAsia"/>
        </w:rPr>
        <w:t>.1</w:t>
      </w:r>
      <w:r>
        <w:t>1</w:t>
      </w:r>
      <w:r>
        <w:rPr>
          <w:rFonts w:hint="eastAsia"/>
        </w:rPr>
        <w:t xml:space="preserve">  </w:t>
      </w:r>
      <w:r>
        <w:t>环境风险评价结论</w:t>
      </w:r>
    </w:p>
    <w:p>
      <w:pPr>
        <w:pStyle w:val="31"/>
      </w:pPr>
      <w:r>
        <w:t>7.11.1  环境危险因素</w:t>
      </w:r>
    </w:p>
    <w:p>
      <w:pPr>
        <w:pStyle w:val="8"/>
        <w:spacing w:line="520" w:lineRule="exact"/>
        <w:ind w:firstLine="560"/>
        <w:rPr>
          <w:color w:val="auto"/>
          <w:sz w:val="28"/>
          <w:szCs w:val="28"/>
        </w:rPr>
      </w:pPr>
      <w:r>
        <w:rPr>
          <w:color w:val="auto"/>
          <w:sz w:val="28"/>
          <w:szCs w:val="28"/>
        </w:rPr>
        <w:t>项目主要危险物质为</w:t>
      </w:r>
      <w:r>
        <w:rPr>
          <w:rFonts w:hint="eastAsia"/>
          <w:color w:val="auto"/>
          <w:sz w:val="28"/>
          <w:szCs w:val="28"/>
        </w:rPr>
        <w:t>氢气、乙二醇、丙二醇，</w:t>
      </w:r>
      <w:r>
        <w:rPr>
          <w:color w:val="auto"/>
          <w:sz w:val="28"/>
          <w:szCs w:val="28"/>
        </w:rPr>
        <w:t>主要分布在</w:t>
      </w:r>
      <w:r>
        <w:rPr>
          <w:rFonts w:hint="eastAsia"/>
          <w:color w:val="auto"/>
          <w:sz w:val="28"/>
          <w:szCs w:val="28"/>
        </w:rPr>
        <w:t>乙二醇合成和乙二醇精馏</w:t>
      </w:r>
      <w:r>
        <w:rPr>
          <w:color w:val="auto"/>
          <w:sz w:val="28"/>
          <w:szCs w:val="28"/>
        </w:rPr>
        <w:t>单元，环境风险因素主要为火灾爆炸事故次生污染物排放</w:t>
      </w:r>
      <w:r>
        <w:rPr>
          <w:rFonts w:hint="eastAsia"/>
          <w:color w:val="auto"/>
          <w:sz w:val="28"/>
          <w:szCs w:val="28"/>
        </w:rPr>
        <w:t>。</w:t>
      </w:r>
    </w:p>
    <w:p>
      <w:pPr>
        <w:pStyle w:val="31"/>
      </w:pPr>
      <w:r>
        <w:t>7.11.2  环境敏感性及事故环境影响</w:t>
      </w:r>
    </w:p>
    <w:p>
      <w:pPr>
        <w:pStyle w:val="8"/>
        <w:spacing w:line="520" w:lineRule="exact"/>
        <w:ind w:firstLine="560"/>
        <w:rPr>
          <w:color w:val="auto"/>
          <w:sz w:val="28"/>
          <w:szCs w:val="28"/>
        </w:rPr>
      </w:pPr>
      <w:r>
        <w:rPr>
          <w:color w:val="auto"/>
          <w:sz w:val="28"/>
          <w:szCs w:val="28"/>
        </w:rPr>
        <w:t>项目区域环境敏感目标主要为周边村庄、地表水体及地下水环境。</w:t>
      </w:r>
    </w:p>
    <w:p>
      <w:pPr>
        <w:pStyle w:val="27"/>
        <w:ind w:firstLine="560"/>
      </w:pPr>
      <w:r>
        <w:rPr>
          <w:rFonts w:hint="eastAsia"/>
        </w:rPr>
        <w:t>由项目物质性质可知，本项目涉及的危险物质乙二醇、丙二醇毒性较低，主要为可燃物质，项目发生的存在的环境风险类型主要为火灾、爆炸引发的伴生污染物排放。</w:t>
      </w:r>
    </w:p>
    <w:p>
      <w:pPr>
        <w:pStyle w:val="8"/>
        <w:spacing w:line="520" w:lineRule="exact"/>
        <w:ind w:firstLine="478" w:firstLineChars="171"/>
        <w:rPr>
          <w:color w:val="auto"/>
          <w:sz w:val="28"/>
          <w:szCs w:val="22"/>
        </w:rPr>
      </w:pPr>
      <w:r>
        <w:rPr>
          <w:rFonts w:hint="eastAsia"/>
          <w:color w:val="auto"/>
          <w:sz w:val="28"/>
          <w:szCs w:val="22"/>
        </w:rPr>
        <w:t>本项目为中试装置，生产系统中物料存在量较小，发生火灾、燃爆事故对周围环境空气造成的影响较小，且项目采用了可靠的D</w:t>
      </w:r>
      <w:r>
        <w:rPr>
          <w:color w:val="auto"/>
          <w:sz w:val="28"/>
          <w:szCs w:val="22"/>
        </w:rPr>
        <w:t>CS</w:t>
      </w:r>
      <w:r>
        <w:rPr>
          <w:rFonts w:hint="eastAsia"/>
          <w:color w:val="auto"/>
          <w:sz w:val="28"/>
          <w:szCs w:val="22"/>
        </w:rPr>
        <w:t>控制系统，将大大降低事故发生的概率。</w:t>
      </w:r>
    </w:p>
    <w:p>
      <w:pPr>
        <w:pStyle w:val="8"/>
        <w:spacing w:line="520" w:lineRule="exact"/>
        <w:ind w:firstLine="478" w:firstLineChars="171"/>
        <w:rPr>
          <w:rFonts w:hint="eastAsia"/>
          <w:color w:val="auto"/>
          <w:sz w:val="28"/>
          <w:szCs w:val="22"/>
        </w:rPr>
      </w:pPr>
      <w:r>
        <w:rPr>
          <w:rFonts w:hint="eastAsia"/>
          <w:color w:val="auto"/>
          <w:sz w:val="28"/>
          <w:szCs w:val="22"/>
        </w:rPr>
        <w:t>厂区目前煤化工厂区建设有1</w:t>
      </w:r>
      <w:r>
        <w:rPr>
          <w:color w:val="auto"/>
          <w:sz w:val="28"/>
          <w:szCs w:val="22"/>
        </w:rPr>
        <w:t>3000m</w:t>
      </w:r>
      <w:r>
        <w:rPr>
          <w:color w:val="auto"/>
          <w:sz w:val="28"/>
          <w:szCs w:val="22"/>
          <w:vertAlign w:val="superscript"/>
        </w:rPr>
        <w:t>3</w:t>
      </w:r>
      <w:r>
        <w:rPr>
          <w:color w:val="auto"/>
          <w:sz w:val="28"/>
          <w:szCs w:val="22"/>
        </w:rPr>
        <w:t>事故池</w:t>
      </w:r>
      <w:r>
        <w:rPr>
          <w:rFonts w:hint="eastAsia"/>
          <w:color w:val="auto"/>
          <w:sz w:val="28"/>
          <w:szCs w:val="22"/>
        </w:rPr>
        <w:t>，以确保事故状态废水不外排，同时对装置区等设施的地基和地表进行了防渗处理，确保事故状态下有毒有害物质不直接排入外环境。</w:t>
      </w:r>
    </w:p>
    <w:p>
      <w:pPr>
        <w:pStyle w:val="31"/>
      </w:pPr>
      <w:r>
        <w:rPr>
          <w:rFonts w:hint="eastAsia"/>
        </w:rPr>
        <w:t>7</w:t>
      </w:r>
      <w:r>
        <w:t>.12.3  环境风险防范措施和应急预案</w:t>
      </w:r>
    </w:p>
    <w:p>
      <w:pPr>
        <w:pStyle w:val="29"/>
        <w:outlineLvl w:val="3"/>
      </w:pPr>
      <w:r>
        <w:rPr>
          <w:rFonts w:hint="eastAsia"/>
        </w:rPr>
        <w:t>7</w:t>
      </w:r>
      <w:r>
        <w:t>.12.3</w:t>
      </w:r>
      <w:r>
        <w:rPr>
          <w:rFonts w:hint="eastAsia"/>
        </w:rPr>
        <w:t>.</w:t>
      </w:r>
      <w:r>
        <w:t>1  大气风险防控措施</w:t>
      </w:r>
    </w:p>
    <w:p>
      <w:pPr>
        <w:pStyle w:val="8"/>
        <w:spacing w:line="520" w:lineRule="exact"/>
        <w:ind w:firstLine="560"/>
        <w:rPr>
          <w:color w:val="auto"/>
          <w:sz w:val="28"/>
          <w:szCs w:val="28"/>
        </w:rPr>
      </w:pPr>
      <w:r>
        <w:rPr>
          <w:color w:val="auto"/>
          <w:sz w:val="28"/>
          <w:szCs w:val="28"/>
        </w:rPr>
        <w:t>项目环境风险类型主要为</w:t>
      </w:r>
      <w:r>
        <w:rPr>
          <w:rFonts w:hint="eastAsia"/>
          <w:color w:val="auto"/>
          <w:sz w:val="28"/>
          <w:szCs w:val="28"/>
        </w:rPr>
        <w:t>火灾爆炸事故次生污染物排放</w:t>
      </w:r>
      <w:r>
        <w:rPr>
          <w:color w:val="auto"/>
          <w:sz w:val="28"/>
          <w:szCs w:val="28"/>
        </w:rPr>
        <w:t>；主要的防控措施有：</w:t>
      </w:r>
      <w:r>
        <w:rPr>
          <w:rFonts w:hint="eastAsia"/>
          <w:color w:val="auto"/>
          <w:sz w:val="28"/>
          <w:szCs w:val="28"/>
        </w:rPr>
        <w:t>D</w:t>
      </w:r>
      <w:r>
        <w:rPr>
          <w:color w:val="auto"/>
          <w:sz w:val="28"/>
          <w:szCs w:val="28"/>
        </w:rPr>
        <w:t>CS</w:t>
      </w:r>
      <w:r>
        <w:rPr>
          <w:rFonts w:hint="eastAsia"/>
          <w:color w:val="auto"/>
          <w:sz w:val="28"/>
          <w:szCs w:val="28"/>
        </w:rPr>
        <w:t>自动控制系统、</w:t>
      </w:r>
      <w:r>
        <w:rPr>
          <w:rFonts w:hint="eastAsia"/>
          <w:color w:val="auto"/>
          <w:sz w:val="28"/>
          <w:szCs w:val="22"/>
        </w:rPr>
        <w:t>设置可燃气体或有毒气体检测报警系统、</w:t>
      </w:r>
      <w:r>
        <w:rPr>
          <w:rFonts w:hint="eastAsia"/>
          <w:color w:val="auto"/>
          <w:sz w:val="28"/>
          <w:szCs w:val="28"/>
        </w:rPr>
        <w:t>紧急事故泄压排放系统、火炬系统</w:t>
      </w:r>
      <w:r>
        <w:rPr>
          <w:color w:val="auto"/>
          <w:sz w:val="28"/>
          <w:szCs w:val="28"/>
        </w:rPr>
        <w:t>等。</w:t>
      </w:r>
    </w:p>
    <w:p>
      <w:pPr>
        <w:pStyle w:val="29"/>
        <w:outlineLvl w:val="3"/>
      </w:pPr>
      <w:r>
        <w:rPr>
          <w:rFonts w:hint="eastAsia"/>
        </w:rPr>
        <w:t>7</w:t>
      </w:r>
      <w:r>
        <w:t>.12.3.2  地表水风险防控措施</w:t>
      </w:r>
    </w:p>
    <w:p>
      <w:pPr>
        <w:pStyle w:val="8"/>
        <w:spacing w:line="520" w:lineRule="exact"/>
        <w:ind w:firstLine="560"/>
        <w:rPr>
          <w:color w:val="auto"/>
          <w:sz w:val="28"/>
          <w:szCs w:val="28"/>
        </w:rPr>
      </w:pPr>
      <w:r>
        <w:rPr>
          <w:rFonts w:hint="eastAsia"/>
          <w:color w:val="auto"/>
          <w:sz w:val="28"/>
          <w:szCs w:val="28"/>
        </w:rPr>
        <w:t>设置事故处及相应拦截、处理系统，有效防止事故废水对环境的影响</w:t>
      </w:r>
      <w:r>
        <w:rPr>
          <w:color w:val="auto"/>
          <w:sz w:val="28"/>
          <w:szCs w:val="28"/>
        </w:rPr>
        <w:t>，确保事故废水、消防废水和初期雨水不外排。</w:t>
      </w:r>
    </w:p>
    <w:p>
      <w:pPr>
        <w:pStyle w:val="29"/>
        <w:outlineLvl w:val="3"/>
      </w:pPr>
      <w:r>
        <w:rPr>
          <w:rFonts w:hint="eastAsia"/>
        </w:rPr>
        <w:t>7</w:t>
      </w:r>
      <w:r>
        <w:t>.12.3.3  地下水风险防控措施</w:t>
      </w:r>
    </w:p>
    <w:p>
      <w:pPr>
        <w:pStyle w:val="8"/>
        <w:spacing w:line="520" w:lineRule="exact"/>
        <w:ind w:firstLine="560"/>
        <w:rPr>
          <w:color w:val="auto"/>
          <w:sz w:val="28"/>
          <w:szCs w:val="28"/>
        </w:rPr>
      </w:pPr>
      <w:r>
        <w:rPr>
          <w:color w:val="auto"/>
          <w:sz w:val="28"/>
          <w:szCs w:val="28"/>
        </w:rPr>
        <w:t>按照“源头控制、分区防治、污染监控、应急响应相结合”的原则，从污染物的产生、入渗、扩散、应急响应全方位进行控制。</w:t>
      </w:r>
    </w:p>
    <w:p>
      <w:pPr>
        <w:pStyle w:val="8"/>
        <w:spacing w:line="520" w:lineRule="exact"/>
        <w:ind w:firstLine="560"/>
        <w:rPr>
          <w:color w:val="auto"/>
          <w:sz w:val="28"/>
          <w:szCs w:val="28"/>
        </w:rPr>
      </w:pPr>
      <w:r>
        <w:rPr>
          <w:rFonts w:hint="eastAsia"/>
          <w:color w:val="auto"/>
          <w:sz w:val="28"/>
          <w:szCs w:val="28"/>
        </w:rPr>
        <w:t>按照相关要求本项目设置应急预案。预案明确了各级应急指挥管理机构的设置、职责要求，并制定各类环境风险事故应急、救援措施；与此同时明确各级预案的职责、启动机制等，为控制本工程可能发生的各类、各级环境风险事故、降低并最终消除其环境影响，提供有效的组织保障、措施保障，环境风险可防控。</w:t>
      </w:r>
    </w:p>
    <w:p>
      <w:pPr>
        <w:pStyle w:val="31"/>
      </w:pPr>
      <w:r>
        <w:rPr>
          <w:rFonts w:hint="eastAsia"/>
        </w:rPr>
        <w:t>7</w:t>
      </w:r>
      <w:r>
        <w:t>.12.4  环境风险评价结论与建议</w:t>
      </w:r>
    </w:p>
    <w:p>
      <w:pPr>
        <w:spacing w:line="520" w:lineRule="exact"/>
        <w:ind w:firstLine="560" w:firstLineChars="200"/>
        <w:rPr>
          <w:sz w:val="28"/>
          <w:szCs w:val="28"/>
        </w:rPr>
      </w:pPr>
      <w:r>
        <w:rPr>
          <w:rFonts w:hint="eastAsia"/>
          <w:sz w:val="28"/>
          <w:szCs w:val="28"/>
        </w:rPr>
        <w:t>综上所述，项目采取了较完善的风险防范措施，可将环境风险降至最低，环境风险水平可接受，同时针对项目存在的潜在环境风险，评价提出以下建议：</w:t>
      </w:r>
      <w:r>
        <w:rPr>
          <w:sz w:val="28"/>
          <w:szCs w:val="28"/>
        </w:rPr>
        <w:t>建设单位在设计和运营中应落实工程和环评的相关要求和建议，并尽快开展安全评价工作，进一步补充、完善突发事件应急预案，加强安全生产管理</w:t>
      </w:r>
      <w:r>
        <w:rPr>
          <w:rFonts w:hint="eastAsia"/>
          <w:sz w:val="28"/>
          <w:szCs w:val="28"/>
        </w:rPr>
        <w:t>、应急培训及演练</w:t>
      </w:r>
      <w:r>
        <w:rPr>
          <w:sz w:val="28"/>
          <w:szCs w:val="28"/>
        </w:rPr>
        <w:t>，防止重大风险事故的发生。</w:t>
      </w: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sz w:val="28"/>
          <w:szCs w:val="28"/>
        </w:rPr>
      </w:pPr>
    </w:p>
    <w:p>
      <w:pPr>
        <w:spacing w:line="520" w:lineRule="exact"/>
        <w:ind w:firstLine="560" w:firstLineChars="200"/>
        <w:rPr>
          <w:rFonts w:hint="eastAsia"/>
          <w:sz w:val="28"/>
          <w:szCs w:val="28"/>
        </w:rPr>
      </w:pPr>
    </w:p>
    <w:bookmarkEnd w:id="242"/>
    <w:p/>
    <w:p>
      <w:pPr>
        <w:rPr>
          <w:rFonts w:hint="eastAsia"/>
          <w:b/>
          <w:bCs/>
          <w:sz w:val="28"/>
          <w:szCs w:val="28"/>
        </w:rPr>
      </w:pPr>
      <w:r>
        <w:rPr>
          <w:rFonts w:hint="eastAsia"/>
          <w:b/>
          <w:bCs/>
          <w:sz w:val="28"/>
          <w:szCs w:val="28"/>
        </w:rPr>
        <w:t>附表</w:t>
      </w:r>
    </w:p>
    <w:p>
      <w:pPr>
        <w:pStyle w:val="32"/>
        <w:tabs>
          <w:tab w:val="clear" w:pos="900"/>
        </w:tabs>
        <w:ind w:firstLine="679" w:firstLineChars="282"/>
      </w:pPr>
      <w:r>
        <w:t xml:space="preserve">表1                </w:t>
      </w:r>
      <w:r>
        <w:rPr>
          <w:rFonts w:hint="eastAsia"/>
        </w:rPr>
        <w:t>氢气的理化性质及危险特性</w:t>
      </w:r>
    </w:p>
    <w:tbl>
      <w:tblPr>
        <w:tblStyle w:val="21"/>
        <w:tblW w:w="864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117"/>
        <w:gridCol w:w="1930"/>
        <w:gridCol w:w="15"/>
        <w:gridCol w:w="1605"/>
        <w:gridCol w:w="720"/>
        <w:gridCol w:w="325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117" w:type="dxa"/>
            <w:vMerge w:val="restart"/>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标</w:t>
            </w:r>
          </w:p>
          <w:p>
            <w:pPr>
              <w:spacing w:line="340" w:lineRule="exact"/>
              <w:jc w:val="center"/>
              <w:rPr>
                <w:szCs w:val="21"/>
              </w:rPr>
            </w:pPr>
            <w:r>
              <w:rPr>
                <w:szCs w:val="21"/>
              </w:rPr>
              <w:t>识</w:t>
            </w: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中文名：氢气</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英文名：Hydrogen</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7" w:hRule="atLeast"/>
          <w:jc w:val="center"/>
        </w:trPr>
        <w:tc>
          <w:tcPr>
            <w:tcW w:w="1117" w:type="dxa"/>
            <w:vMerge w:val="continue"/>
            <w:tcBorders>
              <w:left w:val="single" w:color="auto" w:sz="4" w:space="0"/>
              <w:right w:val="single" w:color="auto" w:sz="4" w:space="0"/>
            </w:tcBorders>
            <w:noWrap w:val="0"/>
            <w:vAlign w:val="center"/>
          </w:tcPr>
          <w:p>
            <w:pPr>
              <w:widowControl/>
              <w:spacing w:line="340" w:lineRule="exact"/>
              <w:jc w:val="center"/>
              <w:rPr>
                <w:szCs w:val="21"/>
              </w:rPr>
            </w:pPr>
          </w:p>
        </w:tc>
        <w:tc>
          <w:tcPr>
            <w:tcW w:w="1930"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分子式：H</w:t>
            </w:r>
            <w:r>
              <w:rPr>
                <w:szCs w:val="21"/>
                <w:vertAlign w:val="subscript"/>
              </w:rPr>
              <w:t>2</w:t>
            </w:r>
          </w:p>
        </w:tc>
        <w:tc>
          <w:tcPr>
            <w:tcW w:w="2340" w:type="dxa"/>
            <w:gridSpan w:val="3"/>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分子量：2.01</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ind w:left="87"/>
              <w:rPr>
                <w:szCs w:val="21"/>
              </w:rPr>
            </w:pPr>
            <w:r>
              <w:rPr>
                <w:szCs w:val="21"/>
              </w:rPr>
              <w:t>CAS号：133-74-0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7" w:hRule="atLeast"/>
          <w:jc w:val="center"/>
        </w:trPr>
        <w:tc>
          <w:tcPr>
            <w:tcW w:w="1117" w:type="dxa"/>
            <w:vMerge w:val="continue"/>
            <w:tcBorders>
              <w:left w:val="single" w:color="auto" w:sz="4" w:space="0"/>
              <w:right w:val="single" w:color="auto" w:sz="4" w:space="0"/>
            </w:tcBorders>
            <w:noWrap w:val="0"/>
            <w:vAlign w:val="center"/>
          </w:tcPr>
          <w:p>
            <w:pPr>
              <w:widowControl/>
              <w:spacing w:line="340" w:lineRule="exact"/>
              <w:jc w:val="center"/>
              <w:rPr>
                <w:szCs w:val="21"/>
              </w:rPr>
            </w:pP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危险性类别：第2.1类易燃气体</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化学类别：非金属单质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组成与性状</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主要成分：纯品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外观与性状：无色无臭很轻的气体。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主要用途：常用作有机合成还原剂。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 w:hRule="atLeast"/>
          <w:jc w:val="center"/>
        </w:trPr>
        <w:tc>
          <w:tcPr>
            <w:tcW w:w="1117" w:type="dxa"/>
            <w:vMerge w:val="restart"/>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健康危害</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侵入途径：吸入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无毒，但高浓度时有窒息作用。液氢与皮肤接触能引起严重的冻伤或烧伤。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急救措施</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皮肤接触：—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眼睛接触：—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吸入：应使患者移至通风的地方，安置休息并保暖。如发生冻伤须就医诊治。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食入：—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燃爆特性</w:t>
            </w:r>
          </w:p>
        </w:tc>
        <w:tc>
          <w:tcPr>
            <w:tcW w:w="1930"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燃烧性：易燃</w:t>
            </w:r>
          </w:p>
        </w:tc>
        <w:tc>
          <w:tcPr>
            <w:tcW w:w="2340" w:type="dxa"/>
            <w:gridSpan w:val="3"/>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闪点（℃）：—</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引燃温度（℃）：550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1930"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 xml:space="preserve">爆炸下限（%）：4.1 </w:t>
            </w:r>
          </w:p>
        </w:tc>
        <w:tc>
          <w:tcPr>
            <w:tcW w:w="2340" w:type="dxa"/>
            <w:gridSpan w:val="3"/>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爆炸上限（%）：74.2</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最小点火能（mJ）：0.019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1930"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最大爆炸压力：—</w:t>
            </w:r>
          </w:p>
        </w:tc>
        <w:tc>
          <w:tcPr>
            <w:tcW w:w="2340" w:type="dxa"/>
            <w:gridSpan w:val="3"/>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p>
        </w:tc>
        <w:tc>
          <w:tcPr>
            <w:tcW w:w="3253" w:type="dxa"/>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危险特性：与空气混合能形成爆炸性混合物，遇热或明火即会发生爆炸。气体比空气轻，在室内储存和使用时，漏气上升滞留屋顶不易排出，遇火星会引起爆炸。氢气与氟、氯、溴等卤素会剧烈反应。</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bottom w:val="single" w:color="auto" w:sz="4" w:space="0"/>
              <w:right w:val="single" w:color="auto" w:sz="4" w:space="0"/>
            </w:tcBorders>
            <w:noWrap w:val="0"/>
            <w:vAlign w:val="center"/>
          </w:tcPr>
          <w:p>
            <w:pPr>
              <w:spacing w:line="340" w:lineRule="exact"/>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灭火方法：由于氢有复燃的危险，在氢气源未切断前，不得灭火。用水冷却容器，以防受热爆炸，并用水保护制止渗漏的人员。如泄漏物未被点燃，可用雾状水直接射至易燃蒸气和空气混合物，以使其远离火源。如需使泄漏物蒸发加快，须在蒸气蒸发能控制的情况下，用雾状水加快其蒸发速度。禁止向液氢使用水枪施救。如有必要扑灭少量氢气的火种时，可用干粉、二氧化碳或卤素灭火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泄漏处理</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首先切断所有火源，勿使其燃烧，同时关闭阀门等措施，制止渗漏。并用雾状水保护关闭阀门的人员。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tcBorders>
              <w:top w:val="single" w:color="auto" w:sz="4" w:space="0"/>
              <w:left w:val="single" w:color="auto" w:sz="4" w:space="0"/>
              <w:right w:val="single" w:color="auto" w:sz="4" w:space="0"/>
            </w:tcBorders>
            <w:noWrap w:val="0"/>
            <w:vAlign w:val="center"/>
          </w:tcPr>
          <w:p>
            <w:pPr>
              <w:spacing w:line="340" w:lineRule="exact"/>
              <w:jc w:val="center"/>
              <w:rPr>
                <w:szCs w:val="21"/>
              </w:rPr>
            </w:pPr>
            <w:r>
              <w:rPr>
                <w:szCs w:val="21"/>
              </w:rPr>
              <w:t>储运事项</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spacing w:line="340" w:lineRule="exact"/>
              <w:rPr>
                <w:szCs w:val="21"/>
              </w:rPr>
            </w:pPr>
            <w:r>
              <w:rPr>
                <w:szCs w:val="21"/>
              </w:rPr>
              <w:t>液氢通常在大气压、温度稍高于沸点的情况下低温储运。压缩氢气常温下储存于不燃结构的、通风良好的、阴凉的专用库房。严禁曝晒。远离火源热源和可燃物。与其他化学物品，特别是氧化性气体，如氯、溴、碘等隔离储运。钢瓶装压缩氢，平时用肥皂水检查钢瓶是否漏气。搬运时戴好钢瓶的安全帽及防震橡皮圈，避免滚动和撞击，防止容器破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right w:val="single" w:color="auto" w:sz="4" w:space="0"/>
            </w:tcBorders>
            <w:noWrap w:val="0"/>
            <w:vAlign w:val="center"/>
          </w:tcPr>
          <w:p>
            <w:pPr>
              <w:jc w:val="center"/>
              <w:rPr>
                <w:szCs w:val="21"/>
              </w:rPr>
            </w:pPr>
            <w:r>
              <w:rPr>
                <w:szCs w:val="21"/>
              </w:rPr>
              <w:t>防护措施</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车间卫生标准：未制定标准。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工程控制：密闭系统，通风，电器防爆。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呼吸系统防护：一般不需要特殊防护，高浓度时可佩戴空气呼吸器。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眼睛防护：一般不需要特殊防护。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身体防护：穿防静电工作服。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手防护：戴一般作业防护手套。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其他：工作现场严禁吸烟。避免高浓度吸入。进入罐、限制性空间或其它高浓度区作业，须有人监护。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right w:val="single" w:color="auto" w:sz="4" w:space="0"/>
            </w:tcBorders>
            <w:noWrap w:val="0"/>
            <w:vAlign w:val="center"/>
          </w:tcPr>
          <w:p>
            <w:pPr>
              <w:jc w:val="center"/>
              <w:rPr>
                <w:szCs w:val="21"/>
              </w:rPr>
            </w:pPr>
            <w:r>
              <w:rPr>
                <w:szCs w:val="21"/>
              </w:rPr>
              <w:t>理</w:t>
            </w:r>
          </w:p>
          <w:p>
            <w:pPr>
              <w:jc w:val="center"/>
              <w:rPr>
                <w:szCs w:val="21"/>
              </w:rPr>
            </w:pPr>
            <w:r>
              <w:rPr>
                <w:szCs w:val="21"/>
              </w:rPr>
              <w:t>化性</w:t>
            </w:r>
          </w:p>
          <w:p>
            <w:pPr>
              <w:jc w:val="center"/>
              <w:rPr>
                <w:szCs w:val="21"/>
              </w:rPr>
            </w:pPr>
            <w:r>
              <w:rPr>
                <w:szCs w:val="21"/>
              </w:rPr>
              <w:t>质</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溶解性：极微溶于水。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left w:val="single" w:color="auto" w:sz="4" w:space="0"/>
              <w:right w:val="single" w:color="auto" w:sz="4" w:space="0"/>
            </w:tcBorders>
            <w:noWrap w:val="0"/>
            <w:vAlign w:val="center"/>
          </w:tcPr>
          <w:p>
            <w:pPr>
              <w:widowControl/>
              <w:jc w:val="center"/>
              <w:rPr>
                <w:szCs w:val="21"/>
              </w:rPr>
            </w:pPr>
          </w:p>
        </w:tc>
        <w:tc>
          <w:tcPr>
            <w:tcW w:w="1945"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熔点（℃）：-259.2</w:t>
            </w:r>
          </w:p>
        </w:tc>
        <w:tc>
          <w:tcPr>
            <w:tcW w:w="2325"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沸点（℃）：-252.8</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相对密度（水=1）：0.0899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1117" w:type="dxa"/>
            <w:vMerge w:val="continue"/>
            <w:tcBorders>
              <w:left w:val="single" w:color="auto" w:sz="4" w:space="0"/>
              <w:right w:val="single" w:color="auto" w:sz="4" w:space="0"/>
            </w:tcBorders>
            <w:noWrap w:val="0"/>
            <w:vAlign w:val="center"/>
          </w:tcPr>
          <w:p>
            <w:pPr>
              <w:widowControl/>
              <w:jc w:val="center"/>
              <w:rPr>
                <w:szCs w:val="21"/>
              </w:rPr>
            </w:pPr>
          </w:p>
        </w:tc>
        <w:tc>
          <w:tcPr>
            <w:tcW w:w="1945"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临界温度（℃）：-239.9</w:t>
            </w:r>
          </w:p>
        </w:tc>
        <w:tc>
          <w:tcPr>
            <w:tcW w:w="2325"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临界压力（MPa）：129.7</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相对密度（空气=1）：0.078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5" w:hRule="atLeast"/>
          <w:jc w:val="center"/>
        </w:trPr>
        <w:tc>
          <w:tcPr>
            <w:tcW w:w="1117" w:type="dxa"/>
            <w:vMerge w:val="continue"/>
            <w:tcBorders>
              <w:left w:val="single" w:color="auto" w:sz="4" w:space="0"/>
              <w:bottom w:val="single" w:color="auto" w:sz="4" w:space="0"/>
              <w:right w:val="single" w:color="auto" w:sz="4" w:space="0"/>
            </w:tcBorders>
            <w:noWrap w:val="0"/>
            <w:vAlign w:val="center"/>
          </w:tcPr>
          <w:p>
            <w:pPr>
              <w:widowControl/>
              <w:jc w:val="center"/>
              <w:rPr>
                <w:szCs w:val="21"/>
              </w:rPr>
            </w:pP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饱和蒸气压（kPa）：—</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燃烧热（kJ/mol）：241.0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反应活性</w:t>
            </w: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稳定性：稳定</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r>
              <w:rPr>
                <w:szCs w:val="21"/>
              </w:rPr>
              <w:t>聚合危害：不聚合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jc w:val="center"/>
        </w:trPr>
        <w:tc>
          <w:tcPr>
            <w:tcW w:w="1117"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避免接触的条件：—</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widowControl/>
              <w:jc w:val="left"/>
              <w:rPr>
                <w:szCs w:val="21"/>
              </w:rPr>
            </w:pPr>
            <w:r>
              <w:rPr>
                <w:szCs w:val="21"/>
              </w:rPr>
              <w:t>禁忌物：强氧化剂、卤素及光照。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燃烧分解产物：水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117" w:type="dxa"/>
            <w:vMerge w:val="restart"/>
            <w:tcBorders>
              <w:top w:val="single" w:color="auto" w:sz="4" w:space="0"/>
              <w:left w:val="single" w:color="auto" w:sz="4" w:space="0"/>
              <w:right w:val="single" w:color="auto" w:sz="4" w:space="0"/>
            </w:tcBorders>
            <w:noWrap w:val="0"/>
            <w:vAlign w:val="center"/>
          </w:tcPr>
          <w:p>
            <w:pPr>
              <w:jc w:val="center"/>
              <w:rPr>
                <w:szCs w:val="21"/>
              </w:rPr>
            </w:pPr>
            <w:r>
              <w:rPr>
                <w:szCs w:val="21"/>
              </w:rPr>
              <w:t>毒</w:t>
            </w:r>
          </w:p>
          <w:p>
            <w:pPr>
              <w:jc w:val="center"/>
              <w:rPr>
                <w:szCs w:val="21"/>
              </w:rPr>
            </w:pPr>
            <w:r>
              <w:rPr>
                <w:szCs w:val="21"/>
              </w:rPr>
              <w:t>性</w:t>
            </w: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szCs w:val="21"/>
              </w:rPr>
              <w:t>急性中毒：</w:t>
            </w:r>
            <w:r>
              <w:rPr>
                <w:kern w:val="0"/>
                <w:szCs w:val="21"/>
              </w:rPr>
              <w:t>LD</w:t>
            </w:r>
            <w:r>
              <w:rPr>
                <w:kern w:val="0"/>
                <w:szCs w:val="21"/>
                <w:vertAlign w:val="subscript"/>
              </w:rPr>
              <w:t>50</w:t>
            </w:r>
            <w:r>
              <w:rPr>
                <w:kern w:val="0"/>
                <w:szCs w:val="21"/>
              </w:rPr>
              <w:t>（mg/kg）：</w:t>
            </w:r>
            <w:r>
              <w:rPr>
                <w:szCs w:val="21"/>
              </w:rPr>
              <w:t>—</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szCs w:val="21"/>
              </w:rPr>
              <w:t>LC</w:t>
            </w:r>
            <w:r>
              <w:rPr>
                <w:szCs w:val="21"/>
                <w:vertAlign w:val="subscript"/>
              </w:rPr>
              <w:t>50</w:t>
            </w:r>
            <w:r>
              <w:rPr>
                <w:szCs w:val="21"/>
              </w:rPr>
              <w:t>（mg/m</w:t>
            </w:r>
            <w:r>
              <w:rPr>
                <w:szCs w:val="21"/>
                <w:vertAlign w:val="superscript"/>
              </w:rPr>
              <w:t>3</w:t>
            </w:r>
            <w:r>
              <w:rPr>
                <w:szCs w:val="21"/>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4270" w:type="dxa"/>
            <w:gridSpan w:val="4"/>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szCs w:val="21"/>
              </w:rPr>
              <w:t>慢性毒性：—</w:t>
            </w:r>
          </w:p>
        </w:tc>
        <w:tc>
          <w:tcPr>
            <w:tcW w:w="3253" w:type="dxa"/>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szCs w:val="21"/>
              </w:rPr>
              <w:t xml:space="preserve">致癌性：—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117" w:type="dxa"/>
            <w:tcBorders>
              <w:top w:val="single" w:color="auto" w:sz="4" w:space="0"/>
              <w:left w:val="single" w:color="auto" w:sz="4" w:space="0"/>
              <w:bottom w:val="single" w:color="auto" w:sz="4" w:space="0"/>
              <w:right w:val="single" w:color="auto" w:sz="4" w:space="0"/>
            </w:tcBorders>
            <w:noWrap w:val="0"/>
            <w:vAlign w:val="center"/>
          </w:tcPr>
          <w:p>
            <w:pPr>
              <w:spacing w:line="220" w:lineRule="exact"/>
              <w:jc w:val="center"/>
              <w:rPr>
                <w:szCs w:val="21"/>
              </w:rPr>
            </w:pPr>
            <w:r>
              <w:rPr>
                <w:szCs w:val="21"/>
              </w:rPr>
              <w:t>环境资料</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jc w:val="left"/>
              <w:rPr>
                <w:szCs w:val="21"/>
              </w:rPr>
            </w:pPr>
            <w:r>
              <w:rPr>
                <w:szCs w:val="21"/>
              </w:rPr>
              <w:t>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47" w:hRule="atLeast"/>
          <w:jc w:val="center"/>
        </w:trPr>
        <w:tc>
          <w:tcPr>
            <w:tcW w:w="1117" w:type="dxa"/>
            <w:tcBorders>
              <w:top w:val="single" w:color="auto" w:sz="4" w:space="0"/>
              <w:left w:val="single" w:color="auto" w:sz="4" w:space="0"/>
              <w:bottom w:val="single" w:color="auto" w:sz="4" w:space="0"/>
              <w:right w:val="single" w:color="auto" w:sz="4" w:space="0"/>
            </w:tcBorders>
            <w:noWrap w:val="0"/>
            <w:vAlign w:val="center"/>
          </w:tcPr>
          <w:p>
            <w:pPr>
              <w:spacing w:line="200" w:lineRule="exact"/>
              <w:jc w:val="center"/>
              <w:rPr>
                <w:szCs w:val="21"/>
              </w:rPr>
            </w:pPr>
            <w:r>
              <w:rPr>
                <w:szCs w:val="21"/>
              </w:rPr>
              <w:t>废弃</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处置前应参阅国家和地方有关法规。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8" w:hRule="atLeast"/>
          <w:jc w:val="center"/>
        </w:trPr>
        <w:tc>
          <w:tcPr>
            <w:tcW w:w="1117" w:type="dxa"/>
            <w:vMerge w:val="restart"/>
            <w:tcBorders>
              <w:top w:val="single" w:color="auto" w:sz="4" w:space="0"/>
              <w:left w:val="single" w:color="auto" w:sz="4" w:space="0"/>
              <w:right w:val="single" w:color="auto" w:sz="4" w:space="0"/>
            </w:tcBorders>
            <w:noWrap w:val="0"/>
            <w:vAlign w:val="center"/>
          </w:tcPr>
          <w:p>
            <w:pPr>
              <w:jc w:val="center"/>
              <w:rPr>
                <w:szCs w:val="21"/>
              </w:rPr>
            </w:pPr>
            <w:r>
              <w:rPr>
                <w:szCs w:val="21"/>
              </w:rPr>
              <w:t>运输信息</w:t>
            </w:r>
          </w:p>
        </w:tc>
        <w:tc>
          <w:tcPr>
            <w:tcW w:w="3550" w:type="dxa"/>
            <w:gridSpan w:val="3"/>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危规号：21001(压缩的)；21002（液化的）。</w:t>
            </w:r>
          </w:p>
        </w:tc>
        <w:tc>
          <w:tcPr>
            <w:tcW w:w="3973"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UN编号：1049（压缩的），1966（液化的）。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17" w:type="dxa"/>
            <w:vMerge w:val="continue"/>
            <w:tcBorders>
              <w:left w:val="single" w:color="auto" w:sz="4" w:space="0"/>
              <w:right w:val="single" w:color="auto" w:sz="4" w:space="0"/>
            </w:tcBorders>
            <w:noWrap w:val="0"/>
            <w:vAlign w:val="center"/>
          </w:tcPr>
          <w:p>
            <w:pPr>
              <w:jc w:val="center"/>
              <w:rPr>
                <w:szCs w:val="21"/>
              </w:rPr>
            </w:pPr>
          </w:p>
        </w:tc>
        <w:tc>
          <w:tcPr>
            <w:tcW w:w="3550" w:type="dxa"/>
            <w:gridSpan w:val="3"/>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包装分类：Ⅱ </w:t>
            </w:r>
          </w:p>
        </w:tc>
        <w:tc>
          <w:tcPr>
            <w:tcW w:w="3973" w:type="dxa"/>
            <w:gridSpan w:val="2"/>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包装标志：4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7" w:hRule="atLeast"/>
          <w:jc w:val="center"/>
        </w:trPr>
        <w:tc>
          <w:tcPr>
            <w:tcW w:w="1117" w:type="dxa"/>
            <w:vMerge w:val="continue"/>
            <w:tcBorders>
              <w:left w:val="single" w:color="auto" w:sz="4" w:space="0"/>
              <w:bottom w:val="single" w:color="auto" w:sz="4" w:space="0"/>
              <w:right w:val="single" w:color="auto" w:sz="4" w:space="0"/>
            </w:tcBorders>
            <w:noWrap w:val="0"/>
            <w:vAlign w:val="center"/>
          </w:tcPr>
          <w:p>
            <w:pPr>
              <w:jc w:val="center"/>
              <w:rPr>
                <w:szCs w:val="21"/>
              </w:rPr>
            </w:pP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 xml:space="preserve">包装方法：压缩氢气用钢瓶装。液氢用特殊的绝缘容器。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42" w:hRule="atLeast"/>
          <w:jc w:val="center"/>
        </w:trPr>
        <w:tc>
          <w:tcPr>
            <w:tcW w:w="1117" w:type="dxa"/>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szCs w:val="21"/>
              </w:rPr>
            </w:pPr>
            <w:r>
              <w:rPr>
                <w:szCs w:val="21"/>
              </w:rPr>
              <w:t>法规信息</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危险化学品安全管理条例》、《工作场所安全使用化学品规定》等法规针对危险化学品的安全使用、生产、储存、运输、装卸等方面均作了相应规定；《常用危险化学品的分类及标志》将该物质划分为第2.1类易燃气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68" w:hRule="atLeast"/>
          <w:jc w:val="center"/>
        </w:trPr>
        <w:tc>
          <w:tcPr>
            <w:tcW w:w="1117" w:type="dxa"/>
            <w:tcBorders>
              <w:top w:val="single" w:color="auto" w:sz="4" w:space="0"/>
              <w:left w:val="single" w:color="auto" w:sz="4" w:space="0"/>
              <w:bottom w:val="single" w:color="auto" w:sz="4" w:space="0"/>
              <w:right w:val="single" w:color="auto" w:sz="4" w:space="0"/>
            </w:tcBorders>
            <w:noWrap w:val="0"/>
            <w:vAlign w:val="center"/>
          </w:tcPr>
          <w:p>
            <w:pPr>
              <w:spacing w:line="240" w:lineRule="exact"/>
              <w:jc w:val="center"/>
              <w:rPr>
                <w:szCs w:val="21"/>
              </w:rPr>
            </w:pPr>
            <w:r>
              <w:rPr>
                <w:szCs w:val="21"/>
              </w:rPr>
              <w:t>其他信息</w:t>
            </w:r>
          </w:p>
        </w:tc>
        <w:tc>
          <w:tcPr>
            <w:tcW w:w="7523" w:type="dxa"/>
            <w:gridSpan w:val="5"/>
            <w:tcBorders>
              <w:top w:val="single" w:color="auto" w:sz="4" w:space="0"/>
              <w:left w:val="single" w:color="auto" w:sz="4" w:space="0"/>
              <w:bottom w:val="single" w:color="auto" w:sz="4" w:space="0"/>
              <w:right w:val="single" w:color="auto" w:sz="4" w:space="0"/>
            </w:tcBorders>
            <w:noWrap w:val="0"/>
            <w:vAlign w:val="center"/>
          </w:tcPr>
          <w:p>
            <w:pPr>
              <w:rPr>
                <w:szCs w:val="21"/>
              </w:rPr>
            </w:pPr>
            <w:r>
              <w:rPr>
                <w:szCs w:val="21"/>
              </w:rPr>
              <w:t>上述资料来源于《危险化学品安全技术全书》（化学工业出版社）。</w:t>
            </w:r>
          </w:p>
        </w:tc>
      </w:tr>
    </w:tbl>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r>
        <w:t xml:space="preserve">表2               </w:t>
      </w:r>
      <w:r>
        <w:rPr>
          <w:rFonts w:hint="eastAsia"/>
        </w:rPr>
        <w:t>乙二醇的理化性质及危险特性</w:t>
      </w:r>
    </w:p>
    <w:tbl>
      <w:tblPr>
        <w:tblStyle w:val="21"/>
        <w:tblW w:w="861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246"/>
        <w:gridCol w:w="1689"/>
        <w:gridCol w:w="295"/>
        <w:gridCol w:w="912"/>
        <w:gridCol w:w="1052"/>
        <w:gridCol w:w="341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3"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标</w:t>
            </w:r>
          </w:p>
          <w:p>
            <w:pPr>
              <w:spacing w:line="280" w:lineRule="exact"/>
              <w:jc w:val="center"/>
              <w:rPr>
                <w:szCs w:val="21"/>
              </w:rPr>
            </w:pPr>
            <w:r>
              <w:rPr>
                <w:szCs w:val="21"/>
              </w:rPr>
              <w:t>识</w:t>
            </w: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中文名：乙二醇，甘醇</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英文名：Ethylene Glycol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198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分子式：C</w:t>
            </w:r>
            <w:r>
              <w:rPr>
                <w:szCs w:val="21"/>
                <w:vertAlign w:val="subscript"/>
              </w:rPr>
              <w:t>2</w:t>
            </w:r>
            <w:r>
              <w:rPr>
                <w:szCs w:val="21"/>
              </w:rPr>
              <w:t>H</w:t>
            </w:r>
            <w:r>
              <w:rPr>
                <w:szCs w:val="21"/>
                <w:vertAlign w:val="subscript"/>
              </w:rPr>
              <w:t>6</w:t>
            </w:r>
            <w:r>
              <w:rPr>
                <w:szCs w:val="21"/>
              </w:rPr>
              <w:t>O</w:t>
            </w:r>
            <w:r>
              <w:rPr>
                <w:szCs w:val="21"/>
                <w:vertAlign w:val="subscript"/>
              </w:rPr>
              <w:t>2</w:t>
            </w:r>
          </w:p>
        </w:tc>
        <w:tc>
          <w:tcPr>
            <w:tcW w:w="196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分子量：62.068</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CAS号：107-21-1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危险性类别：不属危险化学品</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化学类别：醇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组成与性状</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主要成分：纯品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外观与性状：无色、无臭、有甜味、粘稠液体。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主要用途：用于制造树脂、增塑剂、合成纤维、化妆品和炸药, 并用作溶剂、配制发动机的抗冻剂。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健康危害</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侵入途径：吸入、食入、经皮吸收。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国内未见本品急慢性中毒报道。国外的急性中毒多系误服引起。吸入中毒表现为反复发作性昏厥，并可有眼球震颤，淋巴细胞增多。 口服后急性中毒分三个阶段：第一阶段主要为中枢神经系统症状，轻者似乙醇中毒表现， 重者迅速产生昏迷、抽搐，最后死亡；第二阶段，心肺症状明显，严重病例可有肺水肿，支气管肺炎，心力衰竭；第三阶段主要表现为不同程度肾功能衰竭。本品一次口服致死量估计为1.4ml/kg(1.56g/kg)，即总量为70～84m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急救措施</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皮肤接触：立即脱去被污染的衣着，用大量流动清水冲洗。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眼睛接触：立即提起眼睑，用大量流动清水或生理盐水冲洗至少15分钟，就医。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吸入：迅速脱离现场至空气新鲜处，保持呼吸道通畅。如呼吸困难，给输氧。如呼吸停止，立即进行人工呼吸。就医。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食入：误服者用水漱口，给饮牛奶或蛋清。就医。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燃爆特性</w:t>
            </w:r>
          </w:p>
        </w:tc>
        <w:tc>
          <w:tcPr>
            <w:tcW w:w="198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燃烧性：可燃</w:t>
            </w:r>
          </w:p>
        </w:tc>
        <w:tc>
          <w:tcPr>
            <w:tcW w:w="196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闪点（℃）：110</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引燃温度（℃）：无资料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198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爆炸下限（%）：3.2</w:t>
            </w:r>
          </w:p>
        </w:tc>
        <w:tc>
          <w:tcPr>
            <w:tcW w:w="196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爆炸上限（%）：15.3</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最小点火能（mJ）：无资料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198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最大爆炸压力：无资料</w:t>
            </w:r>
          </w:p>
        </w:tc>
        <w:tc>
          <w:tcPr>
            <w:tcW w:w="1964" w:type="dxa"/>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危险特性：遇明火、高热可燃。与氧化剂可发生反应。若遇高热，容器内压增大，有开裂和爆炸的危险。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灭火方法：尽可能将容器从火场移至空旷处。喷水保持火场容器冷却，直至灭火结束。处在火场中的容器若已变色或从安全泄压装置中产生声音，必须马上撤离。灭火剂：雾状水、泡沫、干粉、二氧化碳、砂土。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泄漏处理</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迅速撤离泄漏污染区人员至安全区，并进行隔离，严格限制出入。切断火源。建议应急处理人员戴自吸过滤式防毒面具（全面罩），穿一般作业工作服。尽可能切断泄漏源。防止流入下水道、排洪沟等限制性空间。小量泄漏：用砂土、蛭石或其它惰性材料吸收。也可以用不燃性分散剂制成的乳液刷洗，洗液稀释后放入废水系统。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操作事项</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密闭操作，提供良好的自然通风条件。操作人员必须经过专门培训，严格遵守操作规程。建议操作人员佩戴自吸过滤式防毒面具（半面罩），戴化学安全防护眼镜，戴防化学品手套。远离火种、热源，工作场所严禁吸烟。使用防爆型的通风系统和设备。防止蒸气泄漏到工作场所空气中。避免与氧化剂、酸类接触。搬运时轻装轻卸，保持包装完整，防止洒漏。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储运事项</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储存于阴凉、通风的库房。远离火种、热源。应与氧化剂、酸类分开存放，切忌混储。配备相应品种和数量的消防器材。储区应备有泄漏应急处理设备和合适的收容材料。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防护措施</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车间卫生标准：PC-TWA：20mg/m</w:t>
            </w:r>
            <w:r>
              <w:rPr>
                <w:szCs w:val="21"/>
                <w:vertAlign w:val="superscript"/>
              </w:rPr>
              <w:t>3</w:t>
            </w:r>
            <w:r>
              <w:rPr>
                <w:szCs w:val="21"/>
              </w:rPr>
              <w:t>；PC-STEL：40mg/m</w:t>
            </w:r>
            <w:r>
              <w:rPr>
                <w:szCs w:val="21"/>
                <w:vertAlign w:val="superscript"/>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工程控制：提供良好的自然通风条件。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呼吸系统防护：一般不需要特殊防护，高浓度接触时可佩戴自吸过滤式防毒面具（半面罩）。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眼睛防护：空气中浓度较高时，佩戴化学安全防护眼镜。</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身体防护：穿一般作业防护服。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手防护：戴防化学品手套。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其他：工作完毕，淋浴更衣。避免长期反复接触。定期体检。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9"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理</w:t>
            </w:r>
          </w:p>
          <w:p>
            <w:pPr>
              <w:spacing w:line="280" w:lineRule="exact"/>
              <w:jc w:val="center"/>
              <w:rPr>
                <w:szCs w:val="21"/>
              </w:rPr>
            </w:pPr>
            <w:r>
              <w:rPr>
                <w:szCs w:val="21"/>
              </w:rPr>
              <w:t>化性</w:t>
            </w:r>
          </w:p>
          <w:p>
            <w:pPr>
              <w:spacing w:line="280" w:lineRule="exact"/>
              <w:jc w:val="center"/>
              <w:rPr>
                <w:szCs w:val="21"/>
              </w:rPr>
            </w:pPr>
            <w:r>
              <w:rPr>
                <w:szCs w:val="21"/>
              </w:rPr>
              <w:t>质</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溶解性：与水混溶，可混溶于乙醇、醚等。</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168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熔点（℃）：-13.2</w:t>
            </w:r>
          </w:p>
        </w:tc>
        <w:tc>
          <w:tcPr>
            <w:tcW w:w="2259" w:type="dxa"/>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沸点（℃）：197.5</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相对密度（水=1）：1.11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6"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168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临界温度（℃）：无资料</w:t>
            </w:r>
          </w:p>
        </w:tc>
        <w:tc>
          <w:tcPr>
            <w:tcW w:w="2259" w:type="dxa"/>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临界压力（MPa）：无资料</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相对密度（空气=1）：2.14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7" w:hRule="atLeast"/>
          <w:jc w:val="center"/>
        </w:trPr>
        <w:tc>
          <w:tcPr>
            <w:tcW w:w="1246" w:type="dxa"/>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饱和蒸气压（kPa）：6.21(20℃)</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燃烧热（kJ/mol）：281.9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1" w:hRule="atLeast"/>
          <w:jc w:val="center"/>
        </w:trPr>
        <w:tc>
          <w:tcPr>
            <w:tcW w:w="1246" w:type="dxa"/>
            <w:vMerge w:val="restar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反应活性</w:t>
            </w: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稳定性：稳定</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聚合危害：不聚合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1246"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避免接触的条件：—</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禁忌物：强氧化剂、强酸。</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1246"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燃烧分解产物：一氧化碳、二氧化碳。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6"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毒</w:t>
            </w:r>
          </w:p>
          <w:p>
            <w:pPr>
              <w:spacing w:line="280" w:lineRule="exact"/>
              <w:jc w:val="center"/>
              <w:rPr>
                <w:szCs w:val="21"/>
              </w:rPr>
            </w:pPr>
            <w:r>
              <w:rPr>
                <w:szCs w:val="21"/>
              </w:rPr>
              <w:t>性</w:t>
            </w: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急性中毒：LD</w:t>
            </w:r>
            <w:r>
              <w:rPr>
                <w:szCs w:val="21"/>
                <w:vertAlign w:val="subscript"/>
              </w:rPr>
              <w:t>50</w:t>
            </w:r>
            <w:r>
              <w:rPr>
                <w:szCs w:val="21"/>
              </w:rPr>
              <w:t>：8000～15300 mg/kg(小鼠经口)；5900～13400 mg/kg(大鼠经口)</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LC</w:t>
            </w:r>
            <w:r>
              <w:rPr>
                <w:szCs w:val="21"/>
                <w:vertAlign w:val="subscript"/>
              </w:rPr>
              <w:t>50</w:t>
            </w:r>
            <w:r>
              <w:rPr>
                <w:szCs w:val="21"/>
              </w:rPr>
              <w:t>（mg/m</w:t>
            </w:r>
            <w:r>
              <w:rPr>
                <w:szCs w:val="21"/>
                <w:vertAlign w:val="superscript"/>
              </w:rPr>
              <w:t>3</w:t>
            </w:r>
            <w:r>
              <w:rPr>
                <w:szCs w:val="21"/>
              </w:rPr>
              <w:t>）：无资料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3948" w:type="dxa"/>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慢性毒性：—</w:t>
            </w:r>
          </w:p>
        </w:tc>
        <w:tc>
          <w:tcPr>
            <w:tcW w:w="3419"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致癌性：—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1246"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环境资料</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36" w:hRule="atLeast"/>
          <w:jc w:val="center"/>
        </w:trPr>
        <w:tc>
          <w:tcPr>
            <w:tcW w:w="1246"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废弃</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用焚烧法处置。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9" w:hRule="atLeast"/>
          <w:jc w:val="center"/>
        </w:trPr>
        <w:tc>
          <w:tcPr>
            <w:tcW w:w="1246" w:type="dxa"/>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运输信息</w:t>
            </w:r>
          </w:p>
        </w:tc>
        <w:tc>
          <w:tcPr>
            <w:tcW w:w="2896" w:type="dxa"/>
            <w:gridSpan w:val="3"/>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危规号：—</w:t>
            </w:r>
          </w:p>
        </w:tc>
        <w:tc>
          <w:tcPr>
            <w:tcW w:w="4471" w:type="dxa"/>
            <w:gridSpan w:val="2"/>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UN编号：—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4" w:hRule="atLeast"/>
          <w:jc w:val="center"/>
        </w:trPr>
        <w:tc>
          <w:tcPr>
            <w:tcW w:w="1246" w:type="dxa"/>
            <w:vMerge w:val="continue"/>
            <w:tcBorders>
              <w:left w:val="single" w:color="auto" w:sz="4" w:space="0"/>
              <w:right w:val="single" w:color="auto" w:sz="4" w:space="0"/>
            </w:tcBorders>
            <w:noWrap w:val="0"/>
            <w:vAlign w:val="center"/>
          </w:tcPr>
          <w:p>
            <w:pPr>
              <w:spacing w:line="280" w:lineRule="exact"/>
              <w:jc w:val="center"/>
              <w:rPr>
                <w:szCs w:val="21"/>
              </w:rPr>
            </w:pPr>
          </w:p>
        </w:tc>
        <w:tc>
          <w:tcPr>
            <w:tcW w:w="2896" w:type="dxa"/>
            <w:gridSpan w:val="3"/>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包装分类：—</w:t>
            </w:r>
          </w:p>
        </w:tc>
        <w:tc>
          <w:tcPr>
            <w:tcW w:w="4471" w:type="dxa"/>
            <w:gridSpan w:val="2"/>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包装标志：—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 w:hRule="atLeast"/>
          <w:jc w:val="center"/>
        </w:trPr>
        <w:tc>
          <w:tcPr>
            <w:tcW w:w="1246" w:type="dxa"/>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包装方法：—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5" w:hRule="atLeast"/>
          <w:jc w:val="center"/>
        </w:trPr>
        <w:tc>
          <w:tcPr>
            <w:tcW w:w="1246" w:type="dxa"/>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法规信息</w:t>
            </w:r>
          </w:p>
        </w:tc>
        <w:tc>
          <w:tcPr>
            <w:tcW w:w="7367" w:type="dxa"/>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未列入《危险化学品目录（2015版）》。</w:t>
            </w:r>
          </w:p>
        </w:tc>
      </w:tr>
    </w:tbl>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pPr>
    </w:p>
    <w:p>
      <w:pPr>
        <w:pStyle w:val="32"/>
        <w:tabs>
          <w:tab w:val="clear" w:pos="900"/>
        </w:tabs>
        <w:ind w:firstLine="679" w:firstLineChars="282"/>
        <w:rPr>
          <w:rFonts w:hint="eastAsia"/>
        </w:rPr>
      </w:pPr>
      <w:r>
        <w:t>表3              1.2-</w:t>
      </w:r>
      <w:r>
        <w:rPr>
          <w:rFonts w:hint="eastAsia"/>
        </w:rPr>
        <w:t>丙二醇的理化性质及危险特性</w:t>
      </w:r>
    </w:p>
    <w:tbl>
      <w:tblPr>
        <w:tblStyle w:val="21"/>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79"/>
        <w:gridCol w:w="2449"/>
        <w:gridCol w:w="200"/>
        <w:gridCol w:w="1284"/>
        <w:gridCol w:w="906"/>
        <w:gridCol w:w="745"/>
        <w:gridCol w:w="7"/>
        <w:gridCol w:w="310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3"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标</w:t>
            </w:r>
          </w:p>
          <w:p>
            <w:pPr>
              <w:spacing w:line="280" w:lineRule="exact"/>
              <w:jc w:val="center"/>
              <w:rPr>
                <w:szCs w:val="21"/>
              </w:rPr>
            </w:pPr>
            <w:r>
              <w:rPr>
                <w:szCs w:val="21"/>
              </w:rPr>
              <w:t>识</w:t>
            </w:r>
          </w:p>
        </w:tc>
        <w:tc>
          <w:tcPr>
            <w:tcW w:w="2637" w:type="pct"/>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中文名：1，2-丙二醇</w:t>
            </w: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英文名：1，2-propanediol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1335"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分子式：C</w:t>
            </w:r>
            <w:r>
              <w:rPr>
                <w:szCs w:val="21"/>
                <w:vertAlign w:val="subscript"/>
              </w:rPr>
              <w:t>3</w:t>
            </w:r>
            <w:r>
              <w:rPr>
                <w:szCs w:val="21"/>
              </w:rPr>
              <w:t>H</w:t>
            </w:r>
            <w:r>
              <w:rPr>
                <w:szCs w:val="21"/>
                <w:vertAlign w:val="subscript"/>
              </w:rPr>
              <w:t>8</w:t>
            </w:r>
            <w:r>
              <w:rPr>
                <w:szCs w:val="21"/>
              </w:rPr>
              <w:t>O</w:t>
            </w:r>
            <w:r>
              <w:rPr>
                <w:szCs w:val="21"/>
                <w:vertAlign w:val="subscript"/>
              </w:rPr>
              <w:t>2</w:t>
            </w:r>
          </w:p>
        </w:tc>
        <w:tc>
          <w:tcPr>
            <w:tcW w:w="1303"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分子量：76.10</w:t>
            </w: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CAS号：57-63-2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2637" w:type="pct"/>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危险性类别：不属危险化学品</w:t>
            </w: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化学类别：醇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组成与性状</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主要成分：纯品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外观与性状：无色、无臭，具咸味、吸湿性的粘稠液体。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主要用途：用作溶剂, 用于有机合成。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健康危害</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侵入途径：吸入、食入、经皮吸收。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对眼和皮肤无刺激作用。未见中毒报道。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急救措施</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皮肤接触：脱去污染的衣着，用流动清水冲洗。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眼睛接触：提起眼睑，用流动清水或生理盐水冲洗。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吸入：脱离现场至空气新鲜处。就医。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食入：饮足量温水，催吐。就医。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燃爆特性</w:t>
            </w:r>
          </w:p>
        </w:tc>
        <w:tc>
          <w:tcPr>
            <w:tcW w:w="1335"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燃烧性：可燃</w:t>
            </w:r>
          </w:p>
        </w:tc>
        <w:tc>
          <w:tcPr>
            <w:tcW w:w="1303"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闪点（℃）：79</w:t>
            </w: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引燃温度（℃）：400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1335"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爆炸下限（%）：无资料</w:t>
            </w:r>
          </w:p>
        </w:tc>
        <w:tc>
          <w:tcPr>
            <w:tcW w:w="1303"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爆炸上限（%）：无资料</w:t>
            </w: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最小点火能（mJ）：无资料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1335"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最大爆炸压力：无资料</w:t>
            </w:r>
          </w:p>
        </w:tc>
        <w:tc>
          <w:tcPr>
            <w:tcW w:w="1303"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p>
        </w:tc>
        <w:tc>
          <w:tcPr>
            <w:tcW w:w="2102" w:type="pct"/>
            <w:gridSpan w:val="3"/>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危险特性：遇明火、高热可燃。与氧化剂可发生反应。若遇高热，容器内压增大，有开裂和爆炸的危险。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灭火方法：尽可能将容器从火场移至空旷处。喷水保持火场容器冷却，直至灭火结束。处在火场中的容器若已变色或从安全泄压装置中产生声音，必须马上撤离。灭火剂：雾状水、泡沫、干粉、二氧化碳、砂土。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泄漏处理</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autoSpaceDE w:val="0"/>
              <w:autoSpaceDN w:val="0"/>
              <w:spacing w:line="280" w:lineRule="exact"/>
              <w:jc w:val="left"/>
              <w:rPr>
                <w:szCs w:val="21"/>
              </w:rPr>
            </w:pPr>
            <w:r>
              <w:rPr>
                <w:szCs w:val="21"/>
              </w:rPr>
              <w:t>迅速撤离泄漏污染区人员至安全区，并进行隔离，严格限制出入。切断火源。建议应急处理人员戴自给正压式呼吸器，穿一般作业工作服。尽可能切断泄漏源。防止流入下水道、排洪沟等限制性空间。小量泄漏：用砂土、蛭石或其它惰性材料吸收。也可以用大量水冲洗，洗水稀释后放入废水系统。大量泄漏：构筑围堤或挖坑收容。用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操作事项</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autoSpaceDE w:val="0"/>
              <w:autoSpaceDN w:val="0"/>
              <w:spacing w:line="280" w:lineRule="exact"/>
              <w:jc w:val="left"/>
              <w:rPr>
                <w:szCs w:val="21"/>
              </w:rPr>
            </w:pPr>
            <w:r>
              <w:rPr>
                <w:szCs w:val="21"/>
              </w:rPr>
              <w:t>密闭操作，全面通风。操作人员必须经过专门培训，严格遵守操作规程。远离火种、热源，工作场所严禁吸烟。使用防爆型的通风系统和设备。防止蒸气泄漏到工作场所空气中。避免与氧化剂、还原剂接触。搬运时轻装轻卸，防止包装破损。配备相应品种和数量的消防器材及泄漏应急处理设备。倒空的容器可能残留有害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储存事项</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autoSpaceDE w:val="0"/>
              <w:autoSpaceDN w:val="0"/>
              <w:spacing w:line="280" w:lineRule="exact"/>
              <w:jc w:val="left"/>
              <w:rPr>
                <w:szCs w:val="21"/>
              </w:rPr>
            </w:pPr>
            <w:r>
              <w:rPr>
                <w:szCs w:val="21"/>
              </w:rPr>
              <w:t>储存于阴凉、通风的库房。远离火种、热源。应与氧化剂、还原剂等分开存放，切忌混储。配备相应品种和数量的消防器材。储区应备有泄漏应急处理设备和合适的收容材料。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防护措施</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车间卫生标准：未制定标准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工程控制：生产过程密闭，全面通风。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autoSpaceDE w:val="0"/>
              <w:autoSpaceDN w:val="0"/>
              <w:spacing w:line="280" w:lineRule="exact"/>
              <w:jc w:val="left"/>
              <w:rPr>
                <w:szCs w:val="21"/>
              </w:rPr>
            </w:pPr>
            <w:r>
              <w:rPr>
                <w:szCs w:val="21"/>
              </w:rPr>
              <w:t>呼吸系统防护：一般不需要特殊防护，但建议特殊情况下，建议佩戴自吸过滤式防毒面具（半面罩）。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眼睛防护：一般不需特殊防护。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身体防护：穿一般作业防护服。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手防护：戴一般作业防护手套。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其他：工作现场严禁吸烟。避免长期反复接触。定期体检。</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9"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理</w:t>
            </w:r>
          </w:p>
          <w:p>
            <w:pPr>
              <w:spacing w:line="280" w:lineRule="exact"/>
              <w:jc w:val="center"/>
              <w:rPr>
                <w:szCs w:val="21"/>
              </w:rPr>
            </w:pPr>
            <w:r>
              <w:rPr>
                <w:szCs w:val="21"/>
              </w:rPr>
              <w:t>化性</w:t>
            </w:r>
          </w:p>
          <w:p>
            <w:pPr>
              <w:spacing w:line="280" w:lineRule="exact"/>
              <w:jc w:val="center"/>
              <w:rPr>
                <w:szCs w:val="21"/>
              </w:rPr>
            </w:pPr>
            <w:r>
              <w:rPr>
                <w:szCs w:val="21"/>
              </w:rPr>
              <w:t>质</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溶解性：与水混溶，可混溶于乙醇、乙醚。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1444" w:type="pct"/>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熔点（℃）：-27</w:t>
            </w:r>
          </w:p>
        </w:tc>
        <w:tc>
          <w:tcPr>
            <w:tcW w:w="1603" w:type="pct"/>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沸点（℃）：210-211</w:t>
            </w:r>
          </w:p>
        </w:tc>
        <w:tc>
          <w:tcPr>
            <w:tcW w:w="1693"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相对密度（水=1）：1.05(25℃)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36"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1444" w:type="pct"/>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临界温度（℃）：无资料</w:t>
            </w:r>
          </w:p>
        </w:tc>
        <w:tc>
          <w:tcPr>
            <w:tcW w:w="1603" w:type="pct"/>
            <w:gridSpan w:val="4"/>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临界压力（MPa）：无资料</w:t>
            </w:r>
          </w:p>
        </w:tc>
        <w:tc>
          <w:tcPr>
            <w:tcW w:w="1693"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相对密度（空气=1）：2.6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7" w:hRule="atLeast"/>
          <w:jc w:val="center"/>
        </w:trPr>
        <w:tc>
          <w:tcPr>
            <w:tcW w:w="261" w:type="pct"/>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3047" w:type="pct"/>
            <w:gridSpan w:val="6"/>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饱和蒸气压（kPa）：0.13(60℃)</w:t>
            </w:r>
          </w:p>
        </w:tc>
        <w:tc>
          <w:tcPr>
            <w:tcW w:w="1693" w:type="pct"/>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燃烧热（kJ/mol）：无资料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1" w:hRule="atLeast"/>
          <w:jc w:val="center"/>
        </w:trPr>
        <w:tc>
          <w:tcPr>
            <w:tcW w:w="261" w:type="pct"/>
            <w:vMerge w:val="restar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反应活性</w:t>
            </w:r>
          </w:p>
        </w:tc>
        <w:tc>
          <w:tcPr>
            <w:tcW w:w="3047" w:type="pct"/>
            <w:gridSpan w:val="6"/>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稳定性：稳定</w:t>
            </w:r>
          </w:p>
        </w:tc>
        <w:tc>
          <w:tcPr>
            <w:tcW w:w="1693"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聚合危害：不聚合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7" w:hRule="atLeast"/>
          <w:jc w:val="center"/>
        </w:trPr>
        <w:tc>
          <w:tcPr>
            <w:tcW w:w="261"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3047" w:type="pct"/>
            <w:gridSpan w:val="6"/>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避免接触的条件：—</w:t>
            </w:r>
          </w:p>
        </w:tc>
        <w:tc>
          <w:tcPr>
            <w:tcW w:w="1693"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禁忌物：酰基氯、酸酐、氧化剂、还原剂。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0" w:hRule="atLeast"/>
          <w:jc w:val="center"/>
        </w:trPr>
        <w:tc>
          <w:tcPr>
            <w:tcW w:w="261" w:type="pct"/>
            <w:vMerge w:val="continue"/>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燃烧分解产物：一氧化碳、二氧化碳。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6"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毒</w:t>
            </w:r>
          </w:p>
          <w:p>
            <w:pPr>
              <w:spacing w:line="280" w:lineRule="exact"/>
              <w:jc w:val="center"/>
              <w:rPr>
                <w:szCs w:val="21"/>
              </w:rPr>
            </w:pPr>
            <w:r>
              <w:rPr>
                <w:szCs w:val="21"/>
              </w:rPr>
              <w:t>性</w:t>
            </w:r>
          </w:p>
        </w:tc>
        <w:tc>
          <w:tcPr>
            <w:tcW w:w="3043" w:type="pct"/>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急性中毒：LD</w:t>
            </w:r>
            <w:r>
              <w:rPr>
                <w:szCs w:val="21"/>
                <w:vertAlign w:val="subscript"/>
              </w:rPr>
              <w:t>50</w:t>
            </w:r>
            <w:r>
              <w:rPr>
                <w:szCs w:val="21"/>
              </w:rPr>
              <w:t>：16080 mg/kg(大鼠经口)；</w:t>
            </w:r>
          </w:p>
          <w:p>
            <w:pPr>
              <w:spacing w:line="280" w:lineRule="exact"/>
              <w:ind w:firstLine="1050" w:firstLineChars="500"/>
              <w:jc w:val="left"/>
              <w:rPr>
                <w:szCs w:val="21"/>
              </w:rPr>
            </w:pPr>
            <w:r>
              <w:rPr>
                <w:szCs w:val="21"/>
              </w:rPr>
              <w:t>6500 mg/kg(小鼠经口)</w:t>
            </w:r>
          </w:p>
        </w:tc>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LC</w:t>
            </w:r>
            <w:r>
              <w:rPr>
                <w:szCs w:val="21"/>
                <w:vertAlign w:val="subscript"/>
              </w:rPr>
              <w:t>50</w:t>
            </w:r>
            <w:r>
              <w:rPr>
                <w:szCs w:val="21"/>
              </w:rPr>
              <w:t>（mg/m</w:t>
            </w:r>
            <w:r>
              <w:rPr>
                <w:szCs w:val="21"/>
                <w:vertAlign w:val="superscript"/>
              </w:rPr>
              <w:t>3</w:t>
            </w:r>
            <w:r>
              <w:rPr>
                <w:szCs w:val="21"/>
              </w:rPr>
              <w:t>）：无资料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3043" w:type="pct"/>
            <w:gridSpan w:val="5"/>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慢性毒性：—</w:t>
            </w:r>
          </w:p>
        </w:tc>
        <w:tc>
          <w:tcPr>
            <w:tcW w:w="1696" w:type="pct"/>
            <w:gridSpan w:val="2"/>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致癌性：—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32" w:hRule="atLeast"/>
          <w:jc w:val="center"/>
        </w:trPr>
        <w:tc>
          <w:tcPr>
            <w:tcW w:w="261"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环境资料</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jc w:val="left"/>
              <w:rPr>
                <w:szCs w:val="21"/>
              </w:rPr>
            </w:pPr>
            <w:r>
              <w:rPr>
                <w:szCs w:val="21"/>
              </w:rPr>
              <w:t>无资料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36" w:hRule="atLeast"/>
          <w:jc w:val="center"/>
        </w:trPr>
        <w:tc>
          <w:tcPr>
            <w:tcW w:w="261"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废弃</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处置前应参阅国家和地方有关法规。建议用焚烧法处置。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9" w:hRule="atLeast"/>
          <w:jc w:val="center"/>
        </w:trPr>
        <w:tc>
          <w:tcPr>
            <w:tcW w:w="261" w:type="pct"/>
            <w:vMerge w:val="restart"/>
            <w:tcBorders>
              <w:top w:val="single" w:color="auto" w:sz="4" w:space="0"/>
              <w:left w:val="single" w:color="auto" w:sz="4" w:space="0"/>
              <w:right w:val="single" w:color="auto" w:sz="4" w:space="0"/>
            </w:tcBorders>
            <w:noWrap w:val="0"/>
            <w:vAlign w:val="center"/>
          </w:tcPr>
          <w:p>
            <w:pPr>
              <w:spacing w:line="280" w:lineRule="exact"/>
              <w:jc w:val="center"/>
              <w:rPr>
                <w:szCs w:val="21"/>
              </w:rPr>
            </w:pPr>
            <w:r>
              <w:rPr>
                <w:szCs w:val="21"/>
              </w:rPr>
              <w:t>运输信息</w:t>
            </w:r>
          </w:p>
        </w:tc>
        <w:tc>
          <w:tcPr>
            <w:tcW w:w="2144" w:type="pct"/>
            <w:gridSpan w:val="3"/>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危规号：—</w:t>
            </w:r>
          </w:p>
        </w:tc>
        <w:tc>
          <w:tcPr>
            <w:tcW w:w="2596" w:type="pct"/>
            <w:gridSpan w:val="4"/>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UN编号：—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4" w:hRule="atLeast"/>
          <w:jc w:val="center"/>
        </w:trPr>
        <w:tc>
          <w:tcPr>
            <w:tcW w:w="261" w:type="pct"/>
            <w:vMerge w:val="continue"/>
            <w:tcBorders>
              <w:left w:val="single" w:color="auto" w:sz="4" w:space="0"/>
              <w:right w:val="single" w:color="auto" w:sz="4" w:space="0"/>
            </w:tcBorders>
            <w:noWrap w:val="0"/>
            <w:vAlign w:val="center"/>
          </w:tcPr>
          <w:p>
            <w:pPr>
              <w:spacing w:line="280" w:lineRule="exact"/>
              <w:jc w:val="center"/>
              <w:rPr>
                <w:szCs w:val="21"/>
              </w:rPr>
            </w:pPr>
          </w:p>
        </w:tc>
        <w:tc>
          <w:tcPr>
            <w:tcW w:w="2144" w:type="pct"/>
            <w:gridSpan w:val="3"/>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包装分类：Ⅲ</w:t>
            </w:r>
          </w:p>
        </w:tc>
        <w:tc>
          <w:tcPr>
            <w:tcW w:w="2596" w:type="pct"/>
            <w:gridSpan w:val="4"/>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包装标志：—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2" w:hRule="atLeast"/>
          <w:jc w:val="center"/>
        </w:trPr>
        <w:tc>
          <w:tcPr>
            <w:tcW w:w="261" w:type="pct"/>
            <w:vMerge w:val="continue"/>
            <w:tcBorders>
              <w:left w:val="single" w:color="auto" w:sz="4" w:space="0"/>
              <w:bottom w:val="single" w:color="auto" w:sz="4" w:space="0"/>
              <w:right w:val="single" w:color="auto" w:sz="4" w:space="0"/>
            </w:tcBorders>
            <w:noWrap w:val="0"/>
            <w:vAlign w:val="center"/>
          </w:tcPr>
          <w:p>
            <w:pPr>
              <w:spacing w:line="280" w:lineRule="exact"/>
              <w:jc w:val="center"/>
              <w:rPr>
                <w:szCs w:val="21"/>
              </w:rPr>
            </w:pP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pStyle w:val="12"/>
              <w:spacing w:after="0" w:line="280" w:lineRule="exact"/>
              <w:rPr>
                <w:sz w:val="21"/>
                <w:szCs w:val="21"/>
              </w:rPr>
            </w:pPr>
            <w:r>
              <w:rPr>
                <w:sz w:val="21"/>
                <w:szCs w:val="21"/>
              </w:rPr>
              <w:t>包装方法：铁桶或塑料桶。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2" w:hRule="atLeast"/>
          <w:jc w:val="center"/>
        </w:trPr>
        <w:tc>
          <w:tcPr>
            <w:tcW w:w="261"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法规信息</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未列入《危险化学品目（2015版）》。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90" w:hRule="atLeast"/>
          <w:jc w:val="center"/>
        </w:trPr>
        <w:tc>
          <w:tcPr>
            <w:tcW w:w="261" w:type="pct"/>
            <w:tcBorders>
              <w:top w:val="single" w:color="auto" w:sz="4" w:space="0"/>
              <w:left w:val="single" w:color="auto" w:sz="4" w:space="0"/>
              <w:bottom w:val="single" w:color="auto" w:sz="4" w:space="0"/>
              <w:right w:val="single" w:color="auto" w:sz="4" w:space="0"/>
            </w:tcBorders>
            <w:noWrap w:val="0"/>
            <w:vAlign w:val="center"/>
          </w:tcPr>
          <w:p>
            <w:pPr>
              <w:spacing w:line="280" w:lineRule="exact"/>
              <w:jc w:val="center"/>
              <w:rPr>
                <w:szCs w:val="21"/>
              </w:rPr>
            </w:pPr>
            <w:r>
              <w:rPr>
                <w:szCs w:val="21"/>
              </w:rPr>
              <w:t>其他信息</w:t>
            </w:r>
          </w:p>
        </w:tc>
        <w:tc>
          <w:tcPr>
            <w:tcW w:w="4739" w:type="pct"/>
            <w:gridSpan w:val="7"/>
            <w:tcBorders>
              <w:top w:val="single" w:color="auto" w:sz="4" w:space="0"/>
              <w:left w:val="single" w:color="auto" w:sz="4" w:space="0"/>
              <w:bottom w:val="single" w:color="auto" w:sz="4" w:space="0"/>
              <w:right w:val="single" w:color="auto" w:sz="4" w:space="0"/>
            </w:tcBorders>
            <w:noWrap w:val="0"/>
            <w:vAlign w:val="center"/>
          </w:tcPr>
          <w:p>
            <w:pPr>
              <w:spacing w:line="280" w:lineRule="exact"/>
              <w:rPr>
                <w:szCs w:val="21"/>
              </w:rPr>
            </w:pPr>
            <w:r>
              <w:rPr>
                <w:szCs w:val="21"/>
              </w:rPr>
              <w:t>上述资料来源于www.somsds.com.</w:t>
            </w:r>
          </w:p>
        </w:tc>
      </w:tr>
    </w:tbl>
    <w:p>
      <w:pPr>
        <w:pStyle w:val="32"/>
        <w:tabs>
          <w:tab w:val="clear" w:pos="900"/>
        </w:tabs>
        <w:ind w:firstLine="679" w:firstLineChars="28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6"/>
        <w:rPr>
          <w:bCs/>
        </w:rPr>
      </w:pPr>
      <w:r>
        <w:rPr>
          <w:bCs/>
        </w:rPr>
        <w:t>第</w:t>
      </w:r>
      <w:r>
        <w:rPr>
          <w:szCs w:val="24"/>
        </w:rPr>
        <w:t>8</w:t>
      </w:r>
      <w:r>
        <w:rPr>
          <w:bCs/>
        </w:rPr>
        <w:t xml:space="preserve">章  </w:t>
      </w:r>
      <w:bookmarkStart w:id="261" w:name="_Toc18900786"/>
      <w:r>
        <w:rPr>
          <w:bCs/>
        </w:rPr>
        <w:t>产业政策</w:t>
      </w:r>
      <w:bookmarkEnd w:id="261"/>
      <w:r>
        <w:rPr>
          <w:bCs/>
        </w:rPr>
        <w:t>与相关规划相符性分析</w:t>
      </w:r>
    </w:p>
    <w:p>
      <w:pPr>
        <w:pStyle w:val="4"/>
        <w:spacing w:before="0" w:after="0" w:line="520" w:lineRule="exact"/>
        <w:rPr>
          <w:rFonts w:ascii="Times New Roman" w:hAnsi="Times New Roman" w:eastAsia="黑体"/>
          <w:sz w:val="28"/>
          <w:szCs w:val="28"/>
          <w:lang w:val="en-US" w:eastAsia="zh-CN"/>
        </w:rPr>
      </w:pPr>
      <w:bookmarkStart w:id="262" w:name="_Toc18900787"/>
      <w:r>
        <w:rPr>
          <w:rFonts w:ascii="Times New Roman" w:hAnsi="Times New Roman" w:eastAsia="黑体"/>
          <w:sz w:val="28"/>
          <w:szCs w:val="28"/>
          <w:lang w:val="en-US" w:eastAsia="zh-CN"/>
        </w:rPr>
        <w:t>8.1  产业政策</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8.1.1  建设方案与备案相符性分析</w:t>
      </w:r>
    </w:p>
    <w:p>
      <w:pPr>
        <w:spacing w:line="520" w:lineRule="exact"/>
        <w:ind w:firstLine="560" w:firstLineChars="200"/>
        <w:rPr>
          <w:rFonts w:ascii="Times New Roman" w:hAnsi="Times New Roman"/>
          <w:sz w:val="28"/>
          <w:szCs w:val="28"/>
        </w:rPr>
      </w:pPr>
      <w:r>
        <w:rPr>
          <w:rFonts w:ascii="Times New Roman" w:hAnsi="Times New Roman"/>
          <w:sz w:val="28"/>
          <w:szCs w:val="28"/>
        </w:rPr>
        <w:t>项目于2020年4月26日在濮阳经济技术开发区经济发展局备案，项目代码为：2020-410972-26-03-030443，具体见附件1。</w:t>
      </w:r>
    </w:p>
    <w:p>
      <w:pPr>
        <w:spacing w:line="520" w:lineRule="exact"/>
        <w:ind w:firstLine="560" w:firstLineChars="200"/>
        <w:rPr>
          <w:rFonts w:ascii="Times New Roman" w:hAnsi="Times New Roman"/>
          <w:sz w:val="28"/>
          <w:szCs w:val="28"/>
        </w:rPr>
      </w:pPr>
      <w:bookmarkStart w:id="263" w:name="_Ref364257231"/>
      <w:r>
        <w:rPr>
          <w:rFonts w:ascii="Times New Roman" w:hAnsi="Times New Roman"/>
          <w:sz w:val="28"/>
          <w:szCs w:val="28"/>
        </w:rPr>
        <w:t>本项目建设方案与备案内容基本相符，具体分析见表8.1-1。</w:t>
      </w:r>
    </w:p>
    <w:p>
      <w:pPr>
        <w:pStyle w:val="32"/>
      </w:pPr>
      <w:bookmarkStart w:id="264" w:name="_Ref414949647"/>
      <w:r>
        <w:t>表</w:t>
      </w:r>
      <w:bookmarkEnd w:id="263"/>
      <w:bookmarkEnd w:id="264"/>
      <w:r>
        <w:t>8.1-1          本项目建设方案与备案内容相符性分析一览表</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27"/>
        <w:gridCol w:w="1132"/>
        <w:gridCol w:w="3486"/>
        <w:gridCol w:w="3178"/>
        <w:gridCol w:w="73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b/>
                <w:color w:val="auto"/>
                <w:szCs w:val="21"/>
              </w:rPr>
            </w:pPr>
            <w:r>
              <w:rPr>
                <w:b/>
                <w:color w:val="auto"/>
                <w:szCs w:val="21"/>
              </w:rPr>
              <w:t>序号</w:t>
            </w:r>
          </w:p>
        </w:tc>
        <w:tc>
          <w:tcPr>
            <w:tcW w:w="632" w:type="pct"/>
            <w:noWrap w:val="0"/>
            <w:vAlign w:val="center"/>
          </w:tcPr>
          <w:p>
            <w:pPr>
              <w:pStyle w:val="36"/>
              <w:spacing w:line="240" w:lineRule="auto"/>
              <w:rPr>
                <w:b/>
                <w:color w:val="auto"/>
                <w:szCs w:val="21"/>
              </w:rPr>
            </w:pPr>
            <w:r>
              <w:rPr>
                <w:b/>
                <w:color w:val="auto"/>
                <w:szCs w:val="21"/>
              </w:rPr>
              <w:t>项目</w:t>
            </w:r>
          </w:p>
        </w:tc>
        <w:tc>
          <w:tcPr>
            <w:tcW w:w="1946" w:type="pct"/>
            <w:noWrap w:val="0"/>
            <w:vAlign w:val="center"/>
          </w:tcPr>
          <w:p>
            <w:pPr>
              <w:pStyle w:val="36"/>
              <w:spacing w:line="240" w:lineRule="auto"/>
              <w:rPr>
                <w:b/>
                <w:color w:val="auto"/>
                <w:szCs w:val="21"/>
              </w:rPr>
            </w:pPr>
            <w:r>
              <w:rPr>
                <w:b/>
                <w:color w:val="auto"/>
                <w:szCs w:val="21"/>
              </w:rPr>
              <w:t>备案内容</w:t>
            </w:r>
          </w:p>
        </w:tc>
        <w:tc>
          <w:tcPr>
            <w:tcW w:w="1774" w:type="pct"/>
            <w:noWrap w:val="0"/>
            <w:vAlign w:val="center"/>
          </w:tcPr>
          <w:p>
            <w:pPr>
              <w:pStyle w:val="36"/>
              <w:spacing w:line="240" w:lineRule="auto"/>
              <w:rPr>
                <w:b/>
                <w:color w:val="auto"/>
                <w:szCs w:val="21"/>
              </w:rPr>
            </w:pPr>
            <w:r>
              <w:rPr>
                <w:b/>
                <w:color w:val="auto"/>
                <w:szCs w:val="21"/>
              </w:rPr>
              <w:t>建设内容</w:t>
            </w:r>
          </w:p>
        </w:tc>
        <w:tc>
          <w:tcPr>
            <w:tcW w:w="410" w:type="pct"/>
            <w:noWrap w:val="0"/>
            <w:vAlign w:val="center"/>
          </w:tcPr>
          <w:p>
            <w:pPr>
              <w:pStyle w:val="36"/>
              <w:spacing w:line="240" w:lineRule="auto"/>
              <w:rPr>
                <w:b/>
                <w:color w:val="auto"/>
                <w:szCs w:val="21"/>
              </w:rPr>
            </w:pPr>
            <w:r>
              <w:rPr>
                <w:b/>
                <w:color w:val="auto"/>
                <w:szCs w:val="21"/>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1</w:t>
            </w:r>
          </w:p>
        </w:tc>
        <w:tc>
          <w:tcPr>
            <w:tcW w:w="632" w:type="pct"/>
            <w:noWrap w:val="0"/>
            <w:vAlign w:val="center"/>
          </w:tcPr>
          <w:p>
            <w:pPr>
              <w:pStyle w:val="36"/>
              <w:spacing w:line="240" w:lineRule="auto"/>
              <w:rPr>
                <w:b/>
                <w:color w:val="auto"/>
                <w:szCs w:val="21"/>
              </w:rPr>
            </w:pPr>
            <w:r>
              <w:rPr>
                <w:color w:val="auto"/>
                <w:szCs w:val="21"/>
              </w:rPr>
              <w:t>代码</w:t>
            </w:r>
          </w:p>
        </w:tc>
        <w:tc>
          <w:tcPr>
            <w:tcW w:w="1946" w:type="pct"/>
            <w:noWrap w:val="0"/>
            <w:vAlign w:val="center"/>
          </w:tcPr>
          <w:p>
            <w:pPr>
              <w:pStyle w:val="36"/>
              <w:spacing w:line="240" w:lineRule="auto"/>
              <w:rPr>
                <w:b/>
                <w:color w:val="auto"/>
                <w:szCs w:val="21"/>
              </w:rPr>
            </w:pPr>
            <w:r>
              <w:rPr>
                <w:color w:val="auto"/>
                <w:szCs w:val="21"/>
              </w:rPr>
              <w:t>2020-410972-26-03-030443</w:t>
            </w:r>
          </w:p>
        </w:tc>
        <w:tc>
          <w:tcPr>
            <w:tcW w:w="1774" w:type="pct"/>
            <w:noWrap w:val="0"/>
            <w:vAlign w:val="center"/>
          </w:tcPr>
          <w:p>
            <w:pPr>
              <w:pStyle w:val="36"/>
              <w:spacing w:line="240" w:lineRule="auto"/>
              <w:rPr>
                <w:b/>
                <w:color w:val="auto"/>
                <w:szCs w:val="21"/>
              </w:rPr>
            </w:pPr>
            <w:r>
              <w:rPr>
                <w:b/>
                <w:color w:val="auto"/>
                <w:szCs w:val="21"/>
              </w:rPr>
              <w:t>/</w:t>
            </w:r>
          </w:p>
        </w:tc>
        <w:tc>
          <w:tcPr>
            <w:tcW w:w="410" w:type="pct"/>
            <w:noWrap w:val="0"/>
            <w:vAlign w:val="center"/>
          </w:tcPr>
          <w:p>
            <w:pPr>
              <w:pStyle w:val="36"/>
              <w:spacing w:line="240" w:lineRule="auto"/>
              <w:rPr>
                <w:b/>
                <w:color w:val="auto"/>
                <w:szCs w:val="21"/>
              </w:rPr>
            </w:pPr>
            <w:r>
              <w:rPr>
                <w:b/>
                <w:color w:val="auto"/>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2</w:t>
            </w:r>
          </w:p>
        </w:tc>
        <w:tc>
          <w:tcPr>
            <w:tcW w:w="632" w:type="pct"/>
            <w:noWrap w:val="0"/>
            <w:vAlign w:val="center"/>
          </w:tcPr>
          <w:p>
            <w:pPr>
              <w:pStyle w:val="36"/>
              <w:spacing w:line="240" w:lineRule="auto"/>
              <w:rPr>
                <w:color w:val="auto"/>
                <w:szCs w:val="21"/>
              </w:rPr>
            </w:pPr>
            <w:r>
              <w:rPr>
                <w:color w:val="auto"/>
                <w:szCs w:val="21"/>
              </w:rPr>
              <w:t>企业名称</w:t>
            </w:r>
          </w:p>
        </w:tc>
        <w:tc>
          <w:tcPr>
            <w:tcW w:w="1946" w:type="pct"/>
            <w:noWrap w:val="0"/>
            <w:vAlign w:val="center"/>
          </w:tcPr>
          <w:p>
            <w:pPr>
              <w:pStyle w:val="54"/>
              <w:spacing w:line="240" w:lineRule="auto"/>
              <w:ind w:firstLine="0" w:firstLineChars="0"/>
              <w:rPr>
                <w:color w:val="auto"/>
                <w:sz w:val="21"/>
                <w:szCs w:val="21"/>
              </w:rPr>
            </w:pPr>
            <w:r>
              <w:rPr>
                <w:color w:val="auto"/>
                <w:sz w:val="21"/>
                <w:szCs w:val="21"/>
              </w:rPr>
              <w:t>河南省中原大化集团有限责任公司</w:t>
            </w:r>
          </w:p>
        </w:tc>
        <w:tc>
          <w:tcPr>
            <w:tcW w:w="1774" w:type="pct"/>
            <w:noWrap w:val="0"/>
            <w:vAlign w:val="center"/>
          </w:tcPr>
          <w:p>
            <w:pPr>
              <w:pStyle w:val="54"/>
              <w:spacing w:line="240" w:lineRule="auto"/>
              <w:ind w:firstLine="0" w:firstLineChars="0"/>
              <w:rPr>
                <w:color w:val="auto"/>
                <w:sz w:val="21"/>
                <w:szCs w:val="21"/>
              </w:rPr>
            </w:pPr>
            <w:r>
              <w:rPr>
                <w:color w:val="auto"/>
                <w:sz w:val="21"/>
                <w:szCs w:val="21"/>
              </w:rPr>
              <w:t>河南省中原大化集团有限责任公司</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3</w:t>
            </w:r>
          </w:p>
        </w:tc>
        <w:tc>
          <w:tcPr>
            <w:tcW w:w="632" w:type="pct"/>
            <w:noWrap w:val="0"/>
            <w:vAlign w:val="center"/>
          </w:tcPr>
          <w:p>
            <w:pPr>
              <w:pStyle w:val="36"/>
              <w:spacing w:line="240" w:lineRule="auto"/>
              <w:rPr>
                <w:color w:val="auto"/>
                <w:szCs w:val="21"/>
              </w:rPr>
            </w:pPr>
            <w:r>
              <w:rPr>
                <w:color w:val="auto"/>
                <w:szCs w:val="21"/>
              </w:rPr>
              <w:t>项目名称</w:t>
            </w:r>
          </w:p>
        </w:tc>
        <w:tc>
          <w:tcPr>
            <w:tcW w:w="1946" w:type="pct"/>
            <w:noWrap w:val="0"/>
            <w:vAlign w:val="center"/>
          </w:tcPr>
          <w:p>
            <w:pPr>
              <w:pStyle w:val="54"/>
              <w:spacing w:line="240" w:lineRule="auto"/>
              <w:ind w:firstLine="0" w:firstLineChars="0"/>
              <w:rPr>
                <w:color w:val="auto"/>
                <w:sz w:val="21"/>
                <w:szCs w:val="21"/>
              </w:rPr>
            </w:pPr>
            <w:r>
              <w:rPr>
                <w:color w:val="auto"/>
                <w:sz w:val="21"/>
                <w:szCs w:val="21"/>
              </w:rPr>
              <w:t>千吨级秸秆糖制乙二醇中试项目</w:t>
            </w:r>
          </w:p>
        </w:tc>
        <w:tc>
          <w:tcPr>
            <w:tcW w:w="1774" w:type="pct"/>
            <w:noWrap w:val="0"/>
            <w:vAlign w:val="center"/>
          </w:tcPr>
          <w:p>
            <w:pPr>
              <w:pStyle w:val="54"/>
              <w:spacing w:line="240" w:lineRule="auto"/>
              <w:ind w:firstLine="0" w:firstLineChars="0"/>
              <w:rPr>
                <w:color w:val="auto"/>
                <w:sz w:val="21"/>
                <w:szCs w:val="21"/>
              </w:rPr>
            </w:pPr>
            <w:r>
              <w:rPr>
                <w:color w:val="auto"/>
                <w:sz w:val="21"/>
                <w:szCs w:val="21"/>
              </w:rPr>
              <w:t>千吨级秸秆糖制乙二醇中试项目</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4</w:t>
            </w:r>
          </w:p>
        </w:tc>
        <w:tc>
          <w:tcPr>
            <w:tcW w:w="632" w:type="pct"/>
            <w:noWrap w:val="0"/>
            <w:vAlign w:val="center"/>
          </w:tcPr>
          <w:p>
            <w:pPr>
              <w:pStyle w:val="36"/>
              <w:spacing w:line="240" w:lineRule="auto"/>
              <w:rPr>
                <w:color w:val="auto"/>
                <w:szCs w:val="21"/>
              </w:rPr>
            </w:pPr>
            <w:r>
              <w:rPr>
                <w:color w:val="auto"/>
                <w:szCs w:val="21"/>
              </w:rPr>
              <w:t>建设地点</w:t>
            </w:r>
          </w:p>
        </w:tc>
        <w:tc>
          <w:tcPr>
            <w:tcW w:w="1946" w:type="pct"/>
            <w:noWrap w:val="0"/>
            <w:vAlign w:val="center"/>
          </w:tcPr>
          <w:p>
            <w:pPr>
              <w:tabs>
                <w:tab w:val="left" w:pos="5420"/>
              </w:tabs>
              <w:rPr>
                <w:rFonts w:ascii="Times New Roman" w:hAnsi="Times New Roman"/>
                <w:szCs w:val="21"/>
              </w:rPr>
            </w:pPr>
            <w:r>
              <w:rPr>
                <w:rFonts w:ascii="Times New Roman" w:hAnsi="Times New Roman"/>
                <w:szCs w:val="21"/>
              </w:rPr>
              <w:t>濮阳市濮阳经济技术产业集聚区（含濮阳经济开发区）石化路与濮水路交叉口西南角</w:t>
            </w:r>
          </w:p>
        </w:tc>
        <w:tc>
          <w:tcPr>
            <w:tcW w:w="1774" w:type="pct"/>
            <w:noWrap w:val="0"/>
            <w:vAlign w:val="center"/>
          </w:tcPr>
          <w:p>
            <w:pPr>
              <w:pStyle w:val="36"/>
              <w:spacing w:line="240" w:lineRule="auto"/>
              <w:jc w:val="left"/>
              <w:rPr>
                <w:color w:val="auto"/>
                <w:szCs w:val="21"/>
              </w:rPr>
            </w:pPr>
            <w:r>
              <w:rPr>
                <w:color w:val="auto"/>
                <w:szCs w:val="21"/>
              </w:rPr>
              <w:t>濮阳市濮阳经济技术产业集聚区（含濮阳经济开发区）石化路与濮水路交叉口西南角</w:t>
            </w:r>
          </w:p>
        </w:tc>
        <w:tc>
          <w:tcPr>
            <w:tcW w:w="410" w:type="pct"/>
            <w:noWrap w:val="0"/>
            <w:vAlign w:val="center"/>
          </w:tcPr>
          <w:p>
            <w:pPr>
              <w:pStyle w:val="36"/>
              <w:spacing w:line="240" w:lineRule="auto"/>
              <w:rPr>
                <w:color w:val="auto"/>
                <w:szCs w:val="21"/>
              </w:rPr>
            </w:pPr>
            <w:r>
              <w:rPr>
                <w:color w:val="auto"/>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5</w:t>
            </w:r>
          </w:p>
        </w:tc>
        <w:tc>
          <w:tcPr>
            <w:tcW w:w="632" w:type="pct"/>
            <w:noWrap w:val="0"/>
            <w:vAlign w:val="center"/>
          </w:tcPr>
          <w:p>
            <w:pPr>
              <w:pStyle w:val="36"/>
              <w:spacing w:line="240" w:lineRule="auto"/>
              <w:rPr>
                <w:color w:val="auto"/>
                <w:szCs w:val="21"/>
              </w:rPr>
            </w:pPr>
            <w:r>
              <w:rPr>
                <w:color w:val="auto"/>
                <w:szCs w:val="21"/>
              </w:rPr>
              <w:t>总投资</w:t>
            </w:r>
          </w:p>
        </w:tc>
        <w:tc>
          <w:tcPr>
            <w:tcW w:w="1946" w:type="pct"/>
            <w:noWrap w:val="0"/>
            <w:vAlign w:val="center"/>
          </w:tcPr>
          <w:p>
            <w:pPr>
              <w:pStyle w:val="36"/>
              <w:spacing w:line="240" w:lineRule="auto"/>
              <w:rPr>
                <w:color w:val="auto"/>
                <w:szCs w:val="21"/>
              </w:rPr>
            </w:pPr>
            <w:r>
              <w:rPr>
                <w:color w:val="auto"/>
                <w:szCs w:val="21"/>
              </w:rPr>
              <w:t>2098万元</w:t>
            </w:r>
          </w:p>
        </w:tc>
        <w:tc>
          <w:tcPr>
            <w:tcW w:w="1774" w:type="pct"/>
            <w:noWrap w:val="0"/>
            <w:vAlign w:val="center"/>
          </w:tcPr>
          <w:p>
            <w:pPr>
              <w:pStyle w:val="36"/>
              <w:spacing w:line="240" w:lineRule="auto"/>
              <w:rPr>
                <w:color w:val="auto"/>
                <w:szCs w:val="21"/>
              </w:rPr>
            </w:pPr>
            <w:r>
              <w:rPr>
                <w:color w:val="auto"/>
                <w:szCs w:val="21"/>
              </w:rPr>
              <w:t>2098万元</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6</w:t>
            </w:r>
          </w:p>
        </w:tc>
        <w:tc>
          <w:tcPr>
            <w:tcW w:w="632" w:type="pct"/>
            <w:noWrap w:val="0"/>
            <w:vAlign w:val="center"/>
          </w:tcPr>
          <w:p>
            <w:pPr>
              <w:pStyle w:val="36"/>
              <w:spacing w:line="240" w:lineRule="auto"/>
              <w:rPr>
                <w:color w:val="auto"/>
                <w:szCs w:val="21"/>
              </w:rPr>
            </w:pPr>
            <w:r>
              <w:rPr>
                <w:color w:val="auto"/>
                <w:szCs w:val="21"/>
              </w:rPr>
              <w:t>建设内容</w:t>
            </w:r>
          </w:p>
        </w:tc>
        <w:tc>
          <w:tcPr>
            <w:tcW w:w="1946" w:type="pct"/>
            <w:noWrap w:val="0"/>
            <w:vAlign w:val="center"/>
          </w:tcPr>
          <w:p>
            <w:pPr>
              <w:rPr>
                <w:rFonts w:ascii="Times New Roman" w:hAnsi="Times New Roman"/>
                <w:szCs w:val="21"/>
              </w:rPr>
            </w:pPr>
            <w:r>
              <w:rPr>
                <w:rFonts w:ascii="Times New Roman" w:hAnsi="Times New Roman"/>
                <w:szCs w:val="21"/>
              </w:rPr>
              <w:t>主要建设千吨级乙二醇中试装置，建成后可生产乙二醇746.8t/a、丙二醇194.4t/a。</w:t>
            </w:r>
          </w:p>
        </w:tc>
        <w:tc>
          <w:tcPr>
            <w:tcW w:w="1774" w:type="pct"/>
            <w:noWrap w:val="0"/>
            <w:vAlign w:val="center"/>
          </w:tcPr>
          <w:p>
            <w:pPr>
              <w:rPr>
                <w:rFonts w:ascii="Times New Roman" w:hAnsi="Times New Roman"/>
                <w:szCs w:val="21"/>
              </w:rPr>
            </w:pPr>
            <w:r>
              <w:rPr>
                <w:rFonts w:ascii="Times New Roman" w:hAnsi="Times New Roman"/>
                <w:szCs w:val="21"/>
              </w:rPr>
              <w:t>主要建设千吨级乙二醇中试装置，建成后可生产乙二醇746.8t/a、丙二醇194.4t/a。</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7</w:t>
            </w:r>
          </w:p>
        </w:tc>
        <w:tc>
          <w:tcPr>
            <w:tcW w:w="632" w:type="pct"/>
            <w:noWrap w:val="0"/>
            <w:vAlign w:val="center"/>
          </w:tcPr>
          <w:p>
            <w:pPr>
              <w:pStyle w:val="36"/>
              <w:spacing w:line="240" w:lineRule="auto"/>
              <w:rPr>
                <w:color w:val="auto"/>
                <w:szCs w:val="21"/>
              </w:rPr>
            </w:pPr>
            <w:r>
              <w:rPr>
                <w:color w:val="auto"/>
                <w:szCs w:val="21"/>
              </w:rPr>
              <w:t>工艺</w:t>
            </w:r>
          </w:p>
        </w:tc>
        <w:tc>
          <w:tcPr>
            <w:tcW w:w="1946" w:type="pct"/>
            <w:noWrap w:val="0"/>
            <w:vAlign w:val="center"/>
          </w:tcPr>
          <w:p>
            <w:pPr>
              <w:rPr>
                <w:rFonts w:ascii="Times New Roman" w:hAnsi="Times New Roman"/>
                <w:szCs w:val="21"/>
              </w:rPr>
            </w:pPr>
            <w:r>
              <w:rPr>
                <w:rFonts w:ascii="Times New Roman" w:hAnsi="Times New Roman"/>
                <w:szCs w:val="21"/>
              </w:rPr>
              <w:t>以生物质秸秆糖水溶液和氢气为原料，经过乙二醇合成工段的加氢反应合成粗乙二醇，再经过乙二醇精馏工段得到优等品的乙二醇产品，同时副产工业级丙二醇等。</w:t>
            </w:r>
          </w:p>
        </w:tc>
        <w:tc>
          <w:tcPr>
            <w:tcW w:w="1774" w:type="pct"/>
            <w:noWrap w:val="0"/>
            <w:vAlign w:val="center"/>
          </w:tcPr>
          <w:p>
            <w:pPr>
              <w:rPr>
                <w:rFonts w:ascii="Times New Roman" w:hAnsi="Times New Roman"/>
                <w:szCs w:val="21"/>
              </w:rPr>
            </w:pPr>
            <w:r>
              <w:rPr>
                <w:rFonts w:ascii="Times New Roman" w:hAnsi="Times New Roman"/>
                <w:szCs w:val="21"/>
              </w:rPr>
              <w:t>以生物质秸秆糖水溶液和氢气为原料，经过乙二醇合成工段的加氢反应合成粗乙二醇，再经过乙二醇精馏工段得到优等品的乙二醇产品，同时副产工业级丙二醇等。</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84" w:hRule="atLeast"/>
        </w:trPr>
        <w:tc>
          <w:tcPr>
            <w:tcW w:w="238" w:type="pct"/>
            <w:noWrap w:val="0"/>
            <w:vAlign w:val="center"/>
          </w:tcPr>
          <w:p>
            <w:pPr>
              <w:pStyle w:val="36"/>
              <w:spacing w:line="240" w:lineRule="auto"/>
              <w:rPr>
                <w:color w:val="auto"/>
                <w:szCs w:val="21"/>
              </w:rPr>
            </w:pPr>
            <w:r>
              <w:rPr>
                <w:color w:val="auto"/>
                <w:szCs w:val="21"/>
              </w:rPr>
              <w:t>8</w:t>
            </w:r>
          </w:p>
        </w:tc>
        <w:tc>
          <w:tcPr>
            <w:tcW w:w="632" w:type="pct"/>
            <w:noWrap w:val="0"/>
            <w:vAlign w:val="center"/>
          </w:tcPr>
          <w:p>
            <w:pPr>
              <w:pStyle w:val="36"/>
              <w:spacing w:line="240" w:lineRule="auto"/>
              <w:rPr>
                <w:color w:val="auto"/>
                <w:szCs w:val="21"/>
              </w:rPr>
            </w:pPr>
            <w:r>
              <w:rPr>
                <w:color w:val="auto"/>
                <w:szCs w:val="21"/>
              </w:rPr>
              <w:t>主要装置</w:t>
            </w:r>
          </w:p>
        </w:tc>
        <w:tc>
          <w:tcPr>
            <w:tcW w:w="1946" w:type="pct"/>
            <w:noWrap w:val="0"/>
            <w:vAlign w:val="center"/>
          </w:tcPr>
          <w:p>
            <w:pPr>
              <w:pStyle w:val="36"/>
              <w:spacing w:line="240" w:lineRule="auto"/>
              <w:jc w:val="left"/>
              <w:rPr>
                <w:color w:val="auto"/>
                <w:szCs w:val="21"/>
              </w:rPr>
            </w:pPr>
            <w:r>
              <w:rPr>
                <w:color w:val="auto"/>
                <w:szCs w:val="21"/>
              </w:rPr>
              <w:t>乙二醇合成、乙二醇精馏</w:t>
            </w:r>
          </w:p>
        </w:tc>
        <w:tc>
          <w:tcPr>
            <w:tcW w:w="1774" w:type="pct"/>
            <w:noWrap w:val="0"/>
            <w:vAlign w:val="center"/>
          </w:tcPr>
          <w:p>
            <w:pPr>
              <w:pStyle w:val="36"/>
              <w:spacing w:line="240" w:lineRule="auto"/>
              <w:jc w:val="left"/>
              <w:rPr>
                <w:color w:val="auto"/>
                <w:szCs w:val="21"/>
              </w:rPr>
            </w:pPr>
            <w:r>
              <w:rPr>
                <w:color w:val="auto"/>
                <w:szCs w:val="21"/>
              </w:rPr>
              <w:t>乙二醇合成、乙二醇精馏</w:t>
            </w:r>
          </w:p>
        </w:tc>
        <w:tc>
          <w:tcPr>
            <w:tcW w:w="410" w:type="pct"/>
            <w:noWrap w:val="0"/>
            <w:vAlign w:val="center"/>
          </w:tcPr>
          <w:p>
            <w:pPr>
              <w:pStyle w:val="54"/>
              <w:spacing w:line="240" w:lineRule="auto"/>
              <w:ind w:firstLine="0" w:firstLineChars="0"/>
              <w:rPr>
                <w:color w:val="auto"/>
                <w:sz w:val="21"/>
                <w:szCs w:val="21"/>
              </w:rPr>
            </w:pPr>
            <w:r>
              <w:rPr>
                <w:color w:val="auto"/>
                <w:sz w:val="21"/>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8.1.2  《产业结构调整指导目录（2019年本）》</w:t>
      </w:r>
    </w:p>
    <w:p>
      <w:pPr>
        <w:pStyle w:val="28"/>
        <w:spacing w:line="520" w:lineRule="exact"/>
        <w:ind w:firstLine="560" w:firstLineChars="200"/>
        <w:rPr>
          <w:rFonts w:ascii="Times New Roman" w:hAnsi="Times New Roman" w:cs="Times New Roman"/>
          <w:bCs/>
          <w:color w:val="auto"/>
          <w:sz w:val="28"/>
          <w:szCs w:val="28"/>
        </w:rPr>
      </w:pPr>
      <w:r>
        <w:rPr>
          <w:rFonts w:ascii="Times New Roman" w:hAnsi="Times New Roman" w:cs="Times New Roman"/>
          <w:bCs/>
          <w:color w:val="auto"/>
          <w:sz w:val="28"/>
          <w:szCs w:val="28"/>
        </w:rPr>
        <w:t>本项目已在濮阳经济技术开发区经济发展局备案，项目以生物质秸秆糖水溶液和氢气为原料，经过乙二醇合成、乙二醇精馏工序生产乙二醇，年产乙二醇746.8吨，属于工程技术研究和试验发展中试</w:t>
      </w:r>
      <w:r>
        <w:rPr>
          <w:rFonts w:hint="eastAsia" w:ascii="Times New Roman" w:hAnsi="Times New Roman" w:cs="Times New Roman"/>
          <w:bCs/>
          <w:color w:val="auto"/>
          <w:sz w:val="28"/>
          <w:szCs w:val="28"/>
        </w:rPr>
        <w:t>实验</w:t>
      </w:r>
      <w:r>
        <w:rPr>
          <w:rFonts w:ascii="Times New Roman" w:hAnsi="Times New Roman" w:cs="Times New Roman"/>
          <w:bCs/>
          <w:color w:val="auto"/>
          <w:sz w:val="28"/>
          <w:szCs w:val="28"/>
        </w:rPr>
        <w:t>装置。与《产业结构调整指导目录（2019年本）》对比，项目建设不属于《产业结构调整指导目录（2019年本）》限制和淘汰类，符合国家相关产业政策。</w:t>
      </w:r>
    </w:p>
    <w:p>
      <w:pPr>
        <w:pStyle w:val="5"/>
        <w:spacing w:before="0" w:after="0" w:line="530" w:lineRule="exact"/>
        <w:rPr>
          <w:rFonts w:ascii="Times New Roman" w:hAnsi="Times New Roman" w:eastAsia="楷体_GB2312"/>
          <w:spacing w:val="-16"/>
          <w:sz w:val="28"/>
          <w:szCs w:val="28"/>
          <w:lang w:val="en-US" w:eastAsia="zh-CN"/>
        </w:rPr>
      </w:pPr>
      <w:bookmarkStart w:id="265" w:name="_Toc439061298"/>
      <w:r>
        <w:rPr>
          <w:rFonts w:ascii="Times New Roman" w:hAnsi="Times New Roman" w:eastAsia="楷体_GB2312"/>
          <w:spacing w:val="-16"/>
          <w:sz w:val="28"/>
          <w:szCs w:val="28"/>
          <w:lang w:val="en-US" w:eastAsia="zh-CN"/>
        </w:rPr>
        <w:t>8.1.3  《深化建设项目环境影响评价审批制度改革实施意见》（豫环文[2015]33号）</w:t>
      </w:r>
      <w:bookmarkEnd w:id="265"/>
    </w:p>
    <w:p>
      <w:pPr>
        <w:pStyle w:val="27"/>
        <w:ind w:firstLine="560"/>
      </w:pPr>
      <w:r>
        <w:t>项目与《河南省环境保护厅关于深化建设项目环境影响评价审批制度改革的实施意见》（豫环[2015]33号文）相关要求的对比情况见表8.1-2。</w:t>
      </w:r>
    </w:p>
    <w:p>
      <w:pPr>
        <w:pStyle w:val="32"/>
      </w:pPr>
      <w:r>
        <w:t>表</w:t>
      </w:r>
      <w:r>
        <w:rPr>
          <w:rFonts w:hint="eastAsia"/>
        </w:rPr>
        <w:t>8</w:t>
      </w:r>
      <w:r>
        <w:t>.1-2             与河南省环评审批制度的对比分析</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26"/>
        <w:gridCol w:w="719"/>
        <w:gridCol w:w="4157"/>
        <w:gridCol w:w="2811"/>
        <w:gridCol w:w="70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347" w:type="pct"/>
            <w:noWrap w:val="0"/>
            <w:vAlign w:val="center"/>
          </w:tcPr>
          <w:p>
            <w:pPr>
              <w:adjustRightInd w:val="0"/>
              <w:spacing w:line="260" w:lineRule="exact"/>
              <w:jc w:val="center"/>
              <w:rPr>
                <w:rFonts w:ascii="Times New Roman" w:hAnsi="Times New Roman"/>
                <w:b/>
                <w:szCs w:val="21"/>
              </w:rPr>
            </w:pPr>
            <w:r>
              <w:rPr>
                <w:rFonts w:ascii="Times New Roman" w:hAnsi="Times New Roman"/>
                <w:b/>
                <w:szCs w:val="21"/>
              </w:rPr>
              <w:t>项目</w:t>
            </w:r>
          </w:p>
        </w:tc>
        <w:tc>
          <w:tcPr>
            <w:tcW w:w="2705" w:type="pct"/>
            <w:gridSpan w:val="2"/>
            <w:noWrap w:val="0"/>
            <w:vAlign w:val="center"/>
          </w:tcPr>
          <w:p>
            <w:pPr>
              <w:adjustRightInd w:val="0"/>
              <w:spacing w:line="260" w:lineRule="exact"/>
              <w:jc w:val="center"/>
              <w:rPr>
                <w:rFonts w:ascii="Times New Roman" w:hAnsi="Times New Roman"/>
                <w:b/>
                <w:szCs w:val="21"/>
              </w:rPr>
            </w:pPr>
            <w:r>
              <w:rPr>
                <w:rFonts w:ascii="Times New Roman" w:hAnsi="Times New Roman"/>
                <w:b/>
                <w:szCs w:val="21"/>
              </w:rPr>
              <w:t>实施意见要求</w:t>
            </w:r>
          </w:p>
        </w:tc>
        <w:tc>
          <w:tcPr>
            <w:tcW w:w="1559" w:type="pct"/>
            <w:noWrap w:val="0"/>
            <w:vAlign w:val="center"/>
          </w:tcPr>
          <w:p>
            <w:pPr>
              <w:adjustRightInd w:val="0"/>
              <w:spacing w:line="260" w:lineRule="exact"/>
              <w:jc w:val="center"/>
              <w:rPr>
                <w:rFonts w:ascii="Times New Roman" w:hAnsi="Times New Roman"/>
                <w:b/>
                <w:szCs w:val="21"/>
              </w:rPr>
            </w:pPr>
            <w:r>
              <w:rPr>
                <w:rFonts w:ascii="Times New Roman" w:hAnsi="Times New Roman"/>
                <w:b/>
                <w:szCs w:val="21"/>
              </w:rPr>
              <w:t>本工程情况</w:t>
            </w:r>
          </w:p>
        </w:tc>
        <w:tc>
          <w:tcPr>
            <w:tcW w:w="389" w:type="pct"/>
            <w:noWrap w:val="0"/>
            <w:vAlign w:val="center"/>
          </w:tcPr>
          <w:p>
            <w:pPr>
              <w:adjustRightInd w:val="0"/>
              <w:spacing w:line="260" w:lineRule="exact"/>
              <w:jc w:val="center"/>
              <w:rPr>
                <w:rFonts w:ascii="Times New Roman" w:hAnsi="Times New Roman"/>
                <w:b/>
                <w:szCs w:val="21"/>
              </w:rPr>
            </w:pPr>
            <w:r>
              <w:rPr>
                <w:rFonts w:ascii="Times New Roman" w:hAnsi="Times New Roman"/>
                <w:b/>
                <w:szCs w:val="21"/>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总体要求</w:t>
            </w:r>
          </w:p>
        </w:tc>
        <w:tc>
          <w:tcPr>
            <w:tcW w:w="2705" w:type="pct"/>
            <w:gridSpan w:val="2"/>
            <w:noWrap w:val="0"/>
            <w:vAlign w:val="center"/>
          </w:tcPr>
          <w:p>
            <w:pPr>
              <w:adjustRightInd w:val="0"/>
              <w:spacing w:line="260" w:lineRule="exact"/>
              <w:jc w:val="left"/>
              <w:rPr>
                <w:rFonts w:ascii="Times New Roman" w:hAnsi="Times New Roman"/>
                <w:szCs w:val="21"/>
              </w:rPr>
            </w:pPr>
            <w:r>
              <w:rPr>
                <w:rFonts w:ascii="Times New Roman" w:hAnsi="Times New Roman"/>
                <w:szCs w:val="21"/>
              </w:rPr>
              <w:t>以我省主体功能区中重点开发区域、限制开发区域和禁止开发区域的不同功能定位为基础，结合环境保护规划和环境功能区划的要求，将全省划分为工业准入优先区、城市人居功能区、农产品主产区、重点生态功能区、特殊环境敏感区等5个区域，分别实行不同的建设项目环境准入政策，优化项目准入。</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本项目位于濮阳经济技术产业集聚区，属于河南省主体功能分区中的省级重点开发区域，属于工业准入优先区。</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restart"/>
            <w:noWrap w:val="0"/>
            <w:vAlign w:val="center"/>
          </w:tcPr>
          <w:p>
            <w:pPr>
              <w:adjustRightInd w:val="0"/>
              <w:spacing w:line="260" w:lineRule="exact"/>
              <w:jc w:val="center"/>
              <w:rPr>
                <w:rFonts w:ascii="Times New Roman" w:hAnsi="Times New Roman"/>
                <w:szCs w:val="21"/>
              </w:rPr>
            </w:pPr>
            <w:r>
              <w:rPr>
                <w:rFonts w:ascii="Times New Roman" w:hAnsi="Times New Roman"/>
                <w:szCs w:val="21"/>
              </w:rPr>
              <w:t>工业准入优先区要求</w:t>
            </w:r>
          </w:p>
        </w:tc>
        <w:tc>
          <w:tcPr>
            <w:tcW w:w="39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取消审批事项</w:t>
            </w: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对《建设项目环境影响评价豁免管理名录》内的所有项目，不需办理环评手续。</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本项目未列入《建设项目环境影响评价豁免管理名录》</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简化部分审批程序</w:t>
            </w: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依据环保部《建设项目环境影响评价分类管理名录》规定，对填报环境影响登记表的项目，探索环评文件由审批制改为备案制，即报即受理，现场办结；对编制环境影响报告表的项目，简化审批程序，即报即受理。</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依据环保部《建设项目环境影响评价分类管理名录》规定，项目应该编制环境影响报告书</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下放部分审批权限</w:t>
            </w: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对《工业项目分类清单》中的一类工业项目，其环评文件的审批权限，由原审批机关下放至下一级环保部门。</w:t>
            </w:r>
          </w:p>
        </w:tc>
        <w:tc>
          <w:tcPr>
            <w:tcW w:w="1559" w:type="pct"/>
            <w:noWrap w:val="0"/>
            <w:vAlign w:val="top"/>
          </w:tcPr>
          <w:p>
            <w:pPr>
              <w:adjustRightInd w:val="0"/>
              <w:spacing w:line="260" w:lineRule="exact"/>
              <w:jc w:val="center"/>
              <w:rPr>
                <w:rFonts w:ascii="Times New Roman" w:hAnsi="Times New Roman"/>
                <w:szCs w:val="21"/>
              </w:rPr>
            </w:pPr>
            <w:r>
              <w:rPr>
                <w:rFonts w:ascii="Times New Roman" w:hAnsi="Times New Roman"/>
                <w:szCs w:val="21"/>
              </w:rPr>
              <w:t>本项目未列入《工业项目分类清单》中的一类工业项目清单。</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放宽部分审批条件</w:t>
            </w: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对规划环评已经过审查的产业集聚区或园区，入驻建设项目的环评文件可适当简化；对污水集中处理设施完善的产业集聚区或园区，入驻建设项目的污水排放标准可执行间接排放标准。</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项目位于濮阳经济技术产业集聚区，项目</w:t>
            </w:r>
            <w:r>
              <w:rPr>
                <w:rFonts w:hint="eastAsia" w:ascii="Times New Roman" w:hAnsi="Times New Roman"/>
                <w:szCs w:val="21"/>
              </w:rPr>
              <w:t>工艺</w:t>
            </w:r>
            <w:r>
              <w:rPr>
                <w:rFonts w:ascii="Times New Roman" w:hAnsi="Times New Roman"/>
                <w:szCs w:val="21"/>
              </w:rPr>
              <w:t>废水处理达标后</w:t>
            </w:r>
            <w:r>
              <w:rPr>
                <w:rFonts w:hint="eastAsia" w:ascii="Times New Roman" w:hAnsi="Times New Roman"/>
                <w:szCs w:val="21"/>
              </w:rPr>
              <w:t>与清净下水一起</w:t>
            </w:r>
            <w:r>
              <w:rPr>
                <w:rFonts w:ascii="Times New Roman" w:hAnsi="Times New Roman"/>
                <w:szCs w:val="21"/>
              </w:rPr>
              <w:t>经管网进入濮阳市第二污水处理厂进一步处理。</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vMerge w:val="restart"/>
            <w:noWrap w:val="0"/>
            <w:vAlign w:val="center"/>
          </w:tcPr>
          <w:p>
            <w:pPr>
              <w:adjustRightInd w:val="0"/>
              <w:spacing w:line="260" w:lineRule="exact"/>
              <w:jc w:val="left"/>
              <w:rPr>
                <w:rFonts w:ascii="Times New Roman" w:hAnsi="Times New Roman"/>
                <w:szCs w:val="21"/>
              </w:rPr>
            </w:pPr>
            <w:r>
              <w:rPr>
                <w:rFonts w:ascii="Times New Roman" w:hAnsi="Times New Roman"/>
                <w:szCs w:val="21"/>
              </w:rPr>
              <w:t>严控部分区域重污染项目</w:t>
            </w: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在属于《水污染防治重点单元》的区域内，不予审批煤化工、化学原料药及生物发酵制药、制浆造纸、制革及毛皮鞣制、印染等行业单纯新建和单纯扩大产能的项目。（符合我省重大产业布局的项目除外）</w:t>
            </w:r>
          </w:p>
        </w:tc>
        <w:tc>
          <w:tcPr>
            <w:tcW w:w="1559" w:type="pct"/>
            <w:noWrap w:val="0"/>
            <w:vAlign w:val="center"/>
          </w:tcPr>
          <w:p>
            <w:pPr>
              <w:adjustRightInd w:val="0"/>
              <w:spacing w:line="260" w:lineRule="exact"/>
              <w:jc w:val="left"/>
              <w:rPr>
                <w:rFonts w:ascii="Times New Roman" w:hAnsi="Times New Roman"/>
                <w:szCs w:val="21"/>
                <w:u w:val="single"/>
              </w:rPr>
            </w:pPr>
            <w:r>
              <w:rPr>
                <w:rFonts w:ascii="Times New Roman" w:hAnsi="Times New Roman"/>
                <w:szCs w:val="21"/>
              </w:rPr>
              <w:t>本项目位于濮阳市，属于水污染防治重点单元；项目不属于煤化工、化学原料药及生物发酵制药、制浆造纸、制革及毛皮鞣制、印染等行业单纯新建和单纯扩大产能的项目。</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vMerge w:val="continue"/>
            <w:noWrap w:val="0"/>
            <w:vAlign w:val="center"/>
          </w:tcPr>
          <w:p>
            <w:pPr>
              <w:adjustRightInd w:val="0"/>
              <w:spacing w:line="260" w:lineRule="exact"/>
              <w:jc w:val="left"/>
              <w:rPr>
                <w:rFonts w:ascii="Times New Roman" w:hAnsi="Times New Roman"/>
                <w:szCs w:val="21"/>
              </w:rPr>
            </w:pP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在属于《大气污染防治重点单元》的区域内，不予审批煤化工、火电、冶金、钢铁、铁合金等行业单纯新建和单纯扩大产能的项目。</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本项目位于濮阳经济技术产业集聚区，不属于《大气污染防治重点单元》。</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47" w:type="pct"/>
            <w:vMerge w:val="continue"/>
            <w:noWrap w:val="0"/>
            <w:vAlign w:val="center"/>
          </w:tcPr>
          <w:p>
            <w:pPr>
              <w:adjustRightInd w:val="0"/>
              <w:spacing w:line="260" w:lineRule="exact"/>
              <w:jc w:val="center"/>
              <w:rPr>
                <w:rFonts w:ascii="Times New Roman" w:hAnsi="Times New Roman"/>
                <w:szCs w:val="21"/>
              </w:rPr>
            </w:pPr>
          </w:p>
        </w:tc>
        <w:tc>
          <w:tcPr>
            <w:tcW w:w="399" w:type="pct"/>
            <w:vMerge w:val="continue"/>
            <w:noWrap w:val="0"/>
            <w:vAlign w:val="center"/>
          </w:tcPr>
          <w:p>
            <w:pPr>
              <w:adjustRightInd w:val="0"/>
              <w:spacing w:line="260" w:lineRule="exact"/>
              <w:jc w:val="left"/>
              <w:rPr>
                <w:rFonts w:ascii="Times New Roman" w:hAnsi="Times New Roman"/>
                <w:szCs w:val="21"/>
              </w:rPr>
            </w:pPr>
          </w:p>
        </w:tc>
        <w:tc>
          <w:tcPr>
            <w:tcW w:w="2306"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在属于《重金属污染防控单元》的区域内，不予审批新增铅、铬、镉、汞、砷等重金属污染物排放的相应项目（符合我省重大产业布局的项目除外）。</w:t>
            </w:r>
          </w:p>
        </w:tc>
        <w:tc>
          <w:tcPr>
            <w:tcW w:w="1559" w:type="pct"/>
            <w:noWrap w:val="0"/>
            <w:vAlign w:val="center"/>
          </w:tcPr>
          <w:p>
            <w:pPr>
              <w:adjustRightInd w:val="0"/>
              <w:spacing w:line="260" w:lineRule="exact"/>
              <w:jc w:val="left"/>
              <w:rPr>
                <w:rFonts w:ascii="Times New Roman" w:hAnsi="Times New Roman"/>
                <w:szCs w:val="21"/>
              </w:rPr>
            </w:pPr>
            <w:r>
              <w:rPr>
                <w:rFonts w:ascii="Times New Roman" w:hAnsi="Times New Roman"/>
                <w:szCs w:val="21"/>
              </w:rPr>
              <w:t>本项目位于濮阳经济技术产业集聚区，不属于《重金属污染防控单元。</w:t>
            </w:r>
          </w:p>
        </w:tc>
        <w:tc>
          <w:tcPr>
            <w:tcW w:w="389" w:type="pct"/>
            <w:noWrap w:val="0"/>
            <w:vAlign w:val="center"/>
          </w:tcPr>
          <w:p>
            <w:pPr>
              <w:adjustRightInd w:val="0"/>
              <w:spacing w:line="260" w:lineRule="exact"/>
              <w:jc w:val="center"/>
              <w:rPr>
                <w:rFonts w:ascii="Times New Roman" w:hAnsi="Times New Roman"/>
                <w:szCs w:val="21"/>
              </w:rPr>
            </w:pPr>
            <w:r>
              <w:rPr>
                <w:rFonts w:ascii="Times New Roman" w:hAnsi="Times New Roman"/>
                <w:szCs w:val="21"/>
              </w:rPr>
              <w:t>相符</w:t>
            </w:r>
          </w:p>
        </w:tc>
      </w:tr>
    </w:tbl>
    <w:p>
      <w:pPr>
        <w:pStyle w:val="27"/>
        <w:ind w:firstLine="560"/>
      </w:pPr>
      <w:r>
        <w:t>由表8.1-2可知，本项目的建设符合《河南省环境保护厅关于深化建设项目环境影响评价审批制度改革的实施意见》（豫环[2015]33号文）的相关要求。</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8.1.4  </w:t>
      </w:r>
      <w:r>
        <w:rPr>
          <w:rFonts w:ascii="Times New Roman" w:hAnsi="Times New Roman" w:eastAsia="楷体_GB2312"/>
          <w:spacing w:val="-16"/>
          <w:sz w:val="28"/>
          <w:szCs w:val="28"/>
          <w:lang w:val="en-US" w:eastAsia="zh-CN"/>
        </w:rPr>
        <w:t>《关于印发河南省污染防治攻坚战三年行动计划（2018-2020年）的通知》</w:t>
      </w:r>
    </w:p>
    <w:p>
      <w:pPr>
        <w:pStyle w:val="8"/>
        <w:ind w:firstLine="560"/>
        <w:rPr>
          <w:color w:val="auto"/>
          <w:kern w:val="0"/>
          <w:sz w:val="28"/>
          <w:szCs w:val="28"/>
        </w:rPr>
      </w:pPr>
      <w:r>
        <w:rPr>
          <w:color w:val="auto"/>
          <w:kern w:val="0"/>
          <w:sz w:val="28"/>
          <w:szCs w:val="28"/>
        </w:rPr>
        <w:t>本项目符合河南省人民政府《关于印发河南省污染防治攻坚战三年行动计划（2018-2020年）的通知》（豫政〔2018〕30号）的相关要求，具体相符性分析见表8.1-3。</w:t>
      </w:r>
    </w:p>
    <w:p>
      <w:pPr>
        <w:pStyle w:val="32"/>
      </w:pPr>
      <w:bookmarkStart w:id="266" w:name="_Ref529440184"/>
      <w:r>
        <w:t>表</w:t>
      </w:r>
      <w:bookmarkEnd w:id="266"/>
      <w:r>
        <w:t>8.1-3           本项目与“豫政〔2018〕30号文”相符性分析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567"/>
        <w:gridCol w:w="1149"/>
        <w:gridCol w:w="3982"/>
        <w:gridCol w:w="2579"/>
        <w:gridCol w:w="737"/>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567" w:type="dxa"/>
            <w:shd w:val="clear" w:color="auto" w:fill="auto"/>
            <w:noWrap w:val="0"/>
            <w:vAlign w:val="center"/>
          </w:tcPr>
          <w:p>
            <w:pPr>
              <w:pStyle w:val="36"/>
              <w:spacing w:line="240" w:lineRule="auto"/>
              <w:rPr>
                <w:b/>
                <w:color w:val="auto"/>
                <w:szCs w:val="21"/>
              </w:rPr>
            </w:pPr>
            <w:r>
              <w:rPr>
                <w:b/>
                <w:color w:val="auto"/>
                <w:szCs w:val="21"/>
              </w:rPr>
              <w:t>序号</w:t>
            </w:r>
          </w:p>
        </w:tc>
        <w:tc>
          <w:tcPr>
            <w:tcW w:w="1149" w:type="dxa"/>
            <w:shd w:val="clear" w:color="auto" w:fill="auto"/>
            <w:noWrap w:val="0"/>
            <w:vAlign w:val="center"/>
          </w:tcPr>
          <w:p>
            <w:pPr>
              <w:pStyle w:val="36"/>
              <w:spacing w:line="240" w:lineRule="auto"/>
              <w:rPr>
                <w:b/>
                <w:color w:val="auto"/>
                <w:szCs w:val="21"/>
              </w:rPr>
            </w:pPr>
            <w:r>
              <w:rPr>
                <w:b/>
                <w:color w:val="auto"/>
                <w:szCs w:val="21"/>
              </w:rPr>
              <w:t>类别</w:t>
            </w:r>
          </w:p>
        </w:tc>
        <w:tc>
          <w:tcPr>
            <w:tcW w:w="3982" w:type="dxa"/>
            <w:shd w:val="clear" w:color="auto" w:fill="auto"/>
            <w:noWrap w:val="0"/>
            <w:vAlign w:val="center"/>
          </w:tcPr>
          <w:p>
            <w:pPr>
              <w:pStyle w:val="36"/>
              <w:spacing w:line="240" w:lineRule="auto"/>
              <w:rPr>
                <w:b/>
                <w:color w:val="auto"/>
                <w:szCs w:val="21"/>
              </w:rPr>
            </w:pPr>
            <w:r>
              <w:rPr>
                <w:b/>
                <w:color w:val="auto"/>
              </w:rPr>
              <w:t>实施意见要求</w:t>
            </w:r>
          </w:p>
        </w:tc>
        <w:tc>
          <w:tcPr>
            <w:tcW w:w="2579" w:type="dxa"/>
            <w:shd w:val="clear" w:color="auto" w:fill="auto"/>
            <w:noWrap w:val="0"/>
            <w:vAlign w:val="center"/>
          </w:tcPr>
          <w:p>
            <w:pPr>
              <w:pStyle w:val="36"/>
              <w:spacing w:line="240" w:lineRule="auto"/>
              <w:rPr>
                <w:b/>
                <w:color w:val="auto"/>
                <w:szCs w:val="21"/>
              </w:rPr>
            </w:pPr>
            <w:r>
              <w:rPr>
                <w:b/>
                <w:color w:val="auto"/>
                <w:szCs w:val="21"/>
              </w:rPr>
              <w:t>项目情况</w:t>
            </w:r>
          </w:p>
        </w:tc>
        <w:tc>
          <w:tcPr>
            <w:tcW w:w="737" w:type="dxa"/>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567" w:type="dxa"/>
            <w:shd w:val="clear" w:color="auto" w:fill="auto"/>
            <w:noWrap w:val="0"/>
            <w:vAlign w:val="center"/>
          </w:tcPr>
          <w:p>
            <w:pPr>
              <w:pStyle w:val="36"/>
              <w:spacing w:line="240" w:lineRule="auto"/>
              <w:rPr>
                <w:color w:val="auto"/>
                <w:szCs w:val="21"/>
              </w:rPr>
            </w:pPr>
            <w:r>
              <w:rPr>
                <w:color w:val="auto"/>
                <w:szCs w:val="21"/>
              </w:rPr>
              <w:t>1</w:t>
            </w:r>
          </w:p>
        </w:tc>
        <w:tc>
          <w:tcPr>
            <w:tcW w:w="1149" w:type="dxa"/>
            <w:shd w:val="clear" w:color="auto" w:fill="auto"/>
            <w:noWrap w:val="0"/>
            <w:vAlign w:val="center"/>
          </w:tcPr>
          <w:p>
            <w:pPr>
              <w:pStyle w:val="36"/>
              <w:spacing w:line="240" w:lineRule="auto"/>
              <w:jc w:val="left"/>
              <w:rPr>
                <w:color w:val="auto"/>
                <w:szCs w:val="21"/>
              </w:rPr>
            </w:pPr>
            <w:r>
              <w:rPr>
                <w:color w:val="auto"/>
                <w:szCs w:val="21"/>
              </w:rPr>
              <w:t>严格环境</w:t>
            </w:r>
          </w:p>
          <w:p>
            <w:pPr>
              <w:pStyle w:val="36"/>
              <w:spacing w:line="240" w:lineRule="auto"/>
              <w:jc w:val="left"/>
              <w:rPr>
                <w:color w:val="auto"/>
                <w:szCs w:val="21"/>
              </w:rPr>
            </w:pPr>
            <w:r>
              <w:rPr>
                <w:color w:val="auto"/>
                <w:szCs w:val="21"/>
              </w:rPr>
              <w:t>准入</w:t>
            </w:r>
          </w:p>
        </w:tc>
        <w:tc>
          <w:tcPr>
            <w:tcW w:w="3982" w:type="dxa"/>
            <w:shd w:val="clear" w:color="auto" w:fill="auto"/>
            <w:noWrap w:val="0"/>
            <w:vAlign w:val="center"/>
          </w:tcPr>
          <w:p>
            <w:pPr>
              <w:pStyle w:val="36"/>
              <w:spacing w:line="240" w:lineRule="auto"/>
              <w:jc w:val="left"/>
              <w:rPr>
                <w:color w:val="auto"/>
                <w:szCs w:val="21"/>
              </w:rPr>
            </w:pPr>
            <w:r>
              <w:rPr>
                <w:color w:val="auto"/>
                <w:szCs w:val="21"/>
              </w:rPr>
              <w:t>新改扩建钢铁、石化、化工、焦化、建材、有色等涉气项目的环境影响评价，应满足区域、规划环评要求。原则上禁止钢铁、电解铝、水泥、玻璃、传统煤化工(甲醇、合成氨)、焦化等行业新建、扩建单纯新增产能以及耐火材料、陶瓷等行业新建、扩建以煤炭为燃料的项目和企业，对钢铁、水泥、电解铝、玻璃等行业不再实施省内产能置换。</w:t>
            </w:r>
          </w:p>
        </w:tc>
        <w:tc>
          <w:tcPr>
            <w:tcW w:w="2579" w:type="dxa"/>
            <w:shd w:val="clear" w:color="auto" w:fill="auto"/>
            <w:noWrap w:val="0"/>
            <w:vAlign w:val="center"/>
          </w:tcPr>
          <w:p>
            <w:pPr>
              <w:pStyle w:val="36"/>
              <w:spacing w:line="240" w:lineRule="auto"/>
              <w:jc w:val="left"/>
              <w:rPr>
                <w:color w:val="auto"/>
                <w:szCs w:val="21"/>
              </w:rPr>
            </w:pPr>
            <w:r>
              <w:rPr>
                <w:color w:val="auto"/>
                <w:szCs w:val="21"/>
              </w:rPr>
              <w:t>项目是</w:t>
            </w:r>
            <w:r>
              <w:rPr>
                <w:rFonts w:hint="eastAsia"/>
                <w:color w:val="auto"/>
                <w:szCs w:val="21"/>
              </w:rPr>
              <w:t>生物质法制乙二醇中试项目，</w:t>
            </w:r>
            <w:r>
              <w:rPr>
                <w:color w:val="auto"/>
                <w:szCs w:val="21"/>
              </w:rPr>
              <w:t>符合园区规划环评相关要求，不属于钢铁、电解铝、水泥、玻璃、传统煤化工(甲醇、合成氨)、焦化等行业。</w:t>
            </w:r>
          </w:p>
        </w:tc>
        <w:tc>
          <w:tcPr>
            <w:tcW w:w="737" w:type="dxa"/>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567" w:type="dxa"/>
            <w:shd w:val="clear" w:color="auto" w:fill="auto"/>
            <w:noWrap w:val="0"/>
            <w:vAlign w:val="center"/>
          </w:tcPr>
          <w:p>
            <w:pPr>
              <w:pStyle w:val="36"/>
              <w:spacing w:line="240" w:lineRule="auto"/>
              <w:rPr>
                <w:color w:val="auto"/>
                <w:szCs w:val="21"/>
              </w:rPr>
            </w:pPr>
            <w:r>
              <w:rPr>
                <w:color w:val="auto"/>
                <w:szCs w:val="21"/>
              </w:rPr>
              <w:t>2</w:t>
            </w:r>
          </w:p>
        </w:tc>
        <w:tc>
          <w:tcPr>
            <w:tcW w:w="1149" w:type="dxa"/>
            <w:shd w:val="clear" w:color="auto" w:fill="auto"/>
            <w:noWrap w:val="0"/>
            <w:vAlign w:val="center"/>
          </w:tcPr>
          <w:p>
            <w:pPr>
              <w:pStyle w:val="36"/>
              <w:spacing w:line="240" w:lineRule="auto"/>
              <w:jc w:val="left"/>
              <w:rPr>
                <w:color w:val="auto"/>
                <w:szCs w:val="21"/>
              </w:rPr>
            </w:pPr>
            <w:r>
              <w:rPr>
                <w:color w:val="auto"/>
                <w:szCs w:val="21"/>
              </w:rPr>
              <w:t>实施挥发性有机物(VOCs)专项整治方案</w:t>
            </w:r>
          </w:p>
        </w:tc>
        <w:tc>
          <w:tcPr>
            <w:tcW w:w="3982" w:type="dxa"/>
            <w:shd w:val="clear" w:color="auto" w:fill="auto"/>
            <w:noWrap w:val="0"/>
            <w:vAlign w:val="center"/>
          </w:tcPr>
          <w:p>
            <w:pPr>
              <w:pStyle w:val="19"/>
              <w:shd w:val="clear" w:color="auto" w:fill="FFFFFF"/>
              <w:spacing w:before="0" w:beforeAutospacing="0" w:after="0" w:afterAutospacing="0"/>
              <w:textAlignment w:val="top"/>
              <w:rPr>
                <w:rFonts w:ascii="Times New Roman" w:hAnsi="Times New Roman" w:cs="Times New Roman"/>
                <w:kern w:val="2"/>
                <w:sz w:val="21"/>
                <w:szCs w:val="21"/>
              </w:rPr>
            </w:pPr>
            <w:r>
              <w:rPr>
                <w:rFonts w:ascii="Times New Roman" w:hAnsi="Times New Roman" w:cs="Times New Roman"/>
                <w:kern w:val="2"/>
                <w:sz w:val="21"/>
                <w:szCs w:val="21"/>
              </w:rPr>
              <w:t>推进挥发性有机物排放综合整治，到2020年，VOCs排放总量比2015年下降10%以上。新建涉VOCs排放的工业企业要入园区，实行区域内VOCs排放等量或倍量削减替代。</w:t>
            </w:r>
          </w:p>
          <w:p>
            <w:pPr>
              <w:pStyle w:val="19"/>
              <w:shd w:val="clear" w:color="auto" w:fill="FFFFFF"/>
              <w:spacing w:before="0" w:beforeAutospacing="0" w:after="0" w:afterAutospacing="0"/>
              <w:textAlignment w:val="top"/>
              <w:rPr>
                <w:rFonts w:ascii="Times New Roman" w:hAnsi="Times New Roman" w:cs="Times New Roman"/>
                <w:kern w:val="2"/>
                <w:sz w:val="21"/>
                <w:szCs w:val="21"/>
              </w:rPr>
            </w:pPr>
            <w:r>
              <w:rPr>
                <w:rFonts w:ascii="Times New Roman" w:hAnsi="Times New Roman" w:cs="Times New Roman"/>
                <w:kern w:val="2"/>
                <w:sz w:val="21"/>
                <w:szCs w:val="21"/>
              </w:rPr>
              <w:t>新建、改建、扩建涉VOCs排放项目，应加强废气收集</w:t>
            </w:r>
            <w:r>
              <w:rPr>
                <w:rFonts w:hint="eastAsia" w:ascii="Times New Roman" w:hAnsi="Times New Roman" w:cs="Times New Roman"/>
                <w:kern w:val="2"/>
                <w:sz w:val="21"/>
                <w:szCs w:val="21"/>
              </w:rPr>
              <w:t>，</w:t>
            </w:r>
            <w:r>
              <w:rPr>
                <w:rFonts w:ascii="Times New Roman" w:hAnsi="Times New Roman" w:cs="Times New Roman"/>
                <w:kern w:val="2"/>
                <w:sz w:val="21"/>
                <w:szCs w:val="21"/>
              </w:rPr>
              <w:t>安装高效治理设施。</w:t>
            </w:r>
          </w:p>
          <w:p>
            <w:pPr>
              <w:pStyle w:val="19"/>
              <w:shd w:val="clear" w:color="auto" w:fill="FFFFFF"/>
              <w:spacing w:before="0" w:beforeAutospacing="0" w:after="0" w:afterAutospacing="0"/>
              <w:textAlignment w:val="top"/>
              <w:rPr>
                <w:rFonts w:ascii="Times New Roman" w:hAnsi="Times New Roman" w:cs="Times New Roman"/>
                <w:kern w:val="2"/>
                <w:sz w:val="21"/>
                <w:szCs w:val="21"/>
              </w:rPr>
            </w:pPr>
            <w:r>
              <w:rPr>
                <w:rFonts w:ascii="Times New Roman" w:hAnsi="Times New Roman" w:cs="Times New Roman"/>
                <w:kern w:val="2"/>
                <w:sz w:val="21"/>
                <w:szCs w:val="21"/>
              </w:rPr>
              <w:t>禁止建设生产和使用高VOCs含量的溶剂型涂料、油墨、胶粘剂等项目。</w:t>
            </w:r>
          </w:p>
          <w:p>
            <w:pPr>
              <w:pStyle w:val="19"/>
              <w:shd w:val="clear" w:color="auto" w:fill="FFFFFF"/>
              <w:spacing w:before="0" w:beforeAutospacing="0" w:after="0" w:afterAutospacing="0"/>
              <w:textAlignment w:val="top"/>
              <w:rPr>
                <w:rFonts w:hint="eastAsia" w:ascii="Times New Roman" w:hAnsi="Times New Roman" w:cs="Times New Roman"/>
                <w:kern w:val="2"/>
                <w:sz w:val="21"/>
                <w:szCs w:val="21"/>
              </w:rPr>
            </w:pPr>
            <w:r>
              <w:rPr>
                <w:rFonts w:ascii="Times New Roman" w:hAnsi="Times New Roman" w:cs="Times New Roman"/>
                <w:kern w:val="2"/>
                <w:sz w:val="21"/>
                <w:szCs w:val="21"/>
              </w:rPr>
              <w:t>完成制药、农药、煤化工(含现代煤化工、炼焦、合成氨等)、橡胶制品等化工企业VOCs治理。</w:t>
            </w:r>
          </w:p>
        </w:tc>
        <w:tc>
          <w:tcPr>
            <w:tcW w:w="2579" w:type="dxa"/>
            <w:shd w:val="clear" w:color="auto" w:fill="auto"/>
            <w:noWrap w:val="0"/>
            <w:vAlign w:val="center"/>
          </w:tcPr>
          <w:p>
            <w:pPr>
              <w:pStyle w:val="19"/>
              <w:shd w:val="clear" w:color="auto" w:fill="FFFFFF"/>
              <w:spacing w:before="0" w:beforeAutospacing="0" w:after="0" w:afterAutospacing="0"/>
              <w:textAlignment w:val="top"/>
              <w:rPr>
                <w:rFonts w:ascii="Times New Roman" w:hAnsi="Times New Roman" w:cs="Times New Roman"/>
                <w:kern w:val="2"/>
                <w:sz w:val="21"/>
                <w:szCs w:val="21"/>
              </w:rPr>
            </w:pPr>
            <w:r>
              <w:rPr>
                <w:rFonts w:ascii="Times New Roman" w:hAnsi="Times New Roman" w:cs="Times New Roman"/>
                <w:kern w:val="2"/>
                <w:sz w:val="21"/>
                <w:szCs w:val="21"/>
              </w:rPr>
              <w:t>项目是</w:t>
            </w:r>
            <w:r>
              <w:rPr>
                <w:rFonts w:hint="eastAsia" w:ascii="Times New Roman" w:hAnsi="Times New Roman" w:cs="Times New Roman"/>
                <w:kern w:val="2"/>
                <w:sz w:val="21"/>
                <w:szCs w:val="21"/>
              </w:rPr>
              <w:t>生物质法制乙二醇中试项目，不属于</w:t>
            </w:r>
            <w:r>
              <w:rPr>
                <w:rFonts w:ascii="Times New Roman" w:hAnsi="Times New Roman" w:cs="Times New Roman"/>
                <w:kern w:val="2"/>
                <w:sz w:val="21"/>
                <w:szCs w:val="21"/>
              </w:rPr>
              <w:t>高VOCs含量的溶剂型涂料、油墨、胶粘剂等项目</w:t>
            </w:r>
            <w:r>
              <w:rPr>
                <w:rFonts w:hint="eastAsia" w:ascii="Times New Roman" w:hAnsi="Times New Roman" w:cs="Times New Roman"/>
                <w:kern w:val="2"/>
                <w:sz w:val="21"/>
                <w:szCs w:val="21"/>
              </w:rPr>
              <w:t>；</w:t>
            </w:r>
          </w:p>
          <w:p>
            <w:pPr>
              <w:pStyle w:val="36"/>
              <w:spacing w:line="240" w:lineRule="auto"/>
              <w:jc w:val="left"/>
              <w:rPr>
                <w:rFonts w:hint="eastAsia"/>
                <w:color w:val="auto"/>
                <w:szCs w:val="21"/>
              </w:rPr>
            </w:pPr>
            <w:r>
              <w:rPr>
                <w:color w:val="auto"/>
                <w:szCs w:val="21"/>
              </w:rPr>
              <w:t>项目生产过程全密闭、自动化</w:t>
            </w:r>
            <w:r>
              <w:rPr>
                <w:rFonts w:hint="eastAsia"/>
                <w:color w:val="auto"/>
                <w:szCs w:val="21"/>
              </w:rPr>
              <w:t>，</w:t>
            </w:r>
            <w:r>
              <w:rPr>
                <w:color w:val="auto"/>
                <w:szCs w:val="21"/>
              </w:rPr>
              <w:t>项目</w:t>
            </w:r>
            <w:r>
              <w:rPr>
                <w:rFonts w:hint="eastAsia"/>
                <w:color w:val="auto"/>
                <w:szCs w:val="21"/>
              </w:rPr>
              <w:t>废气主要是合成反应氢气驰放气、闪蒸不凝气和真空泵尾气，氢气驰放气、闪蒸不凝气通过厂区现有火炬焚烧，真空泵尾气通过尾气洗涤塔+活性炭吸附罐处理，</w:t>
            </w:r>
            <w:r>
              <w:rPr>
                <w:color w:val="auto"/>
                <w:szCs w:val="21"/>
              </w:rPr>
              <w:t>去除效率</w:t>
            </w:r>
            <w:r>
              <w:rPr>
                <w:rFonts w:hint="eastAsia"/>
                <w:color w:val="auto"/>
                <w:szCs w:val="21"/>
              </w:rPr>
              <w:t>约8</w:t>
            </w:r>
            <w:r>
              <w:rPr>
                <w:color w:val="auto"/>
                <w:szCs w:val="21"/>
              </w:rPr>
              <w:t>5%。</w:t>
            </w:r>
          </w:p>
        </w:tc>
        <w:tc>
          <w:tcPr>
            <w:tcW w:w="737" w:type="dxa"/>
            <w:shd w:val="clear" w:color="auto" w:fill="auto"/>
            <w:noWrap w:val="0"/>
            <w:vAlign w:val="center"/>
          </w:tcPr>
          <w:p>
            <w:pPr>
              <w:pStyle w:val="36"/>
              <w:spacing w:line="240" w:lineRule="auto"/>
              <w:rPr>
                <w:color w:val="auto"/>
                <w:szCs w:val="21"/>
              </w:rPr>
            </w:pPr>
            <w:r>
              <w:rPr>
                <w:color w:val="auto"/>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8.1.5  《濮阳市污染防治攻坚战三年行动计划实施方案（2018-2020年）》</w:t>
      </w:r>
    </w:p>
    <w:p>
      <w:pPr>
        <w:spacing w:line="520" w:lineRule="exact"/>
        <w:ind w:firstLine="560" w:firstLineChars="200"/>
        <w:rPr>
          <w:rFonts w:ascii="Times New Roman" w:hAnsi="Times New Roman"/>
          <w:sz w:val="28"/>
          <w:szCs w:val="28"/>
        </w:rPr>
      </w:pPr>
      <w:r>
        <w:rPr>
          <w:rFonts w:ascii="Times New Roman" w:hAnsi="Times New Roman"/>
          <w:sz w:val="28"/>
          <w:szCs w:val="28"/>
        </w:rPr>
        <w:t>本项目符合《濮阳市污染防治攻坚战三年行动实施方案（2018-2020年）的通知》（濮政〔2018〕17号）的相关要求，具体相符性分析见表8.1-4。</w:t>
      </w:r>
    </w:p>
    <w:p>
      <w:pPr>
        <w:pStyle w:val="32"/>
      </w:pPr>
      <w:bookmarkStart w:id="267" w:name="_Ref533429619"/>
      <w:r>
        <w:t>表</w:t>
      </w:r>
      <w:bookmarkEnd w:id="267"/>
      <w:r>
        <w:t>8.1-4             本项目与“濮政〔2018〕17号”相符性分析</w:t>
      </w:r>
    </w:p>
    <w:tbl>
      <w:tblPr>
        <w:tblStyle w:val="21"/>
        <w:tblW w:w="4808"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319"/>
        <w:gridCol w:w="4096"/>
        <w:gridCol w:w="2514"/>
        <w:gridCol w:w="739"/>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trPr>
        <w:tc>
          <w:tcPr>
            <w:tcW w:w="761" w:type="pct"/>
            <w:shd w:val="clear" w:color="auto" w:fill="auto"/>
            <w:noWrap w:val="0"/>
            <w:vAlign w:val="center"/>
          </w:tcPr>
          <w:p>
            <w:pPr>
              <w:pStyle w:val="36"/>
              <w:spacing w:line="240" w:lineRule="auto"/>
              <w:rPr>
                <w:b/>
                <w:color w:val="auto"/>
                <w:szCs w:val="21"/>
              </w:rPr>
            </w:pPr>
            <w:r>
              <w:rPr>
                <w:b/>
                <w:color w:val="auto"/>
                <w:szCs w:val="21"/>
              </w:rPr>
              <w:t>类别</w:t>
            </w:r>
          </w:p>
        </w:tc>
        <w:tc>
          <w:tcPr>
            <w:tcW w:w="2363" w:type="pct"/>
            <w:shd w:val="clear" w:color="auto" w:fill="auto"/>
            <w:noWrap w:val="0"/>
            <w:vAlign w:val="center"/>
          </w:tcPr>
          <w:p>
            <w:pPr>
              <w:pStyle w:val="36"/>
              <w:spacing w:line="240" w:lineRule="auto"/>
              <w:rPr>
                <w:b/>
                <w:color w:val="auto"/>
                <w:szCs w:val="21"/>
              </w:rPr>
            </w:pPr>
            <w:r>
              <w:rPr>
                <w:b/>
                <w:color w:val="auto"/>
              </w:rPr>
              <w:t>实施意见要求</w:t>
            </w:r>
          </w:p>
        </w:tc>
        <w:tc>
          <w:tcPr>
            <w:tcW w:w="1450"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761" w:type="pct"/>
            <w:shd w:val="clear" w:color="auto" w:fill="auto"/>
            <w:noWrap w:val="0"/>
            <w:vAlign w:val="center"/>
          </w:tcPr>
          <w:p>
            <w:pPr>
              <w:pStyle w:val="36"/>
              <w:spacing w:line="240" w:lineRule="auto"/>
              <w:rPr>
                <w:color w:val="auto"/>
                <w:szCs w:val="21"/>
              </w:rPr>
            </w:pPr>
            <w:r>
              <w:rPr>
                <w:color w:val="auto"/>
                <w:kern w:val="0"/>
                <w:szCs w:val="21"/>
              </w:rPr>
              <w:t>严格环境准入</w:t>
            </w:r>
          </w:p>
        </w:tc>
        <w:tc>
          <w:tcPr>
            <w:tcW w:w="2363" w:type="pct"/>
            <w:shd w:val="clear" w:color="auto" w:fill="auto"/>
            <w:noWrap w:val="0"/>
            <w:vAlign w:val="center"/>
          </w:tcPr>
          <w:p>
            <w:pPr>
              <w:pStyle w:val="36"/>
              <w:spacing w:line="240" w:lineRule="auto"/>
              <w:jc w:val="left"/>
              <w:rPr>
                <w:color w:val="auto"/>
                <w:szCs w:val="21"/>
              </w:rPr>
            </w:pPr>
            <w:r>
              <w:rPr>
                <w:color w:val="auto"/>
                <w:kern w:val="0"/>
                <w:szCs w:val="21"/>
              </w:rPr>
              <w:t>新改扩建钢铁、石化、化工、建材、有色等涉气项目的环境影响评价，应满足区域、规划环评要求。原则上禁止新建、扩建钢铁、水泥、玻璃、传统煤化工（甲醇、合成氨）等行业单纯新增产能项目，禁止新建、扩建以煤炭为燃料的耐火材料等行业项目。</w:t>
            </w:r>
          </w:p>
        </w:tc>
        <w:tc>
          <w:tcPr>
            <w:tcW w:w="1450" w:type="pct"/>
            <w:shd w:val="clear" w:color="auto" w:fill="auto"/>
            <w:noWrap w:val="0"/>
            <w:vAlign w:val="center"/>
          </w:tcPr>
          <w:p>
            <w:pPr>
              <w:pStyle w:val="36"/>
              <w:spacing w:line="240" w:lineRule="auto"/>
              <w:jc w:val="left"/>
              <w:rPr>
                <w:color w:val="auto"/>
                <w:szCs w:val="21"/>
              </w:rPr>
            </w:pPr>
            <w:r>
              <w:rPr>
                <w:color w:val="auto"/>
                <w:szCs w:val="21"/>
              </w:rPr>
              <w:t>项目是</w:t>
            </w:r>
            <w:r>
              <w:rPr>
                <w:rFonts w:hint="eastAsia"/>
                <w:color w:val="auto"/>
                <w:szCs w:val="21"/>
              </w:rPr>
              <w:t>生物质法制乙二醇中试项目</w:t>
            </w:r>
            <w:r>
              <w:rPr>
                <w:color w:val="auto"/>
                <w:szCs w:val="21"/>
              </w:rPr>
              <w:t>，符合园区规划环评相关要求，不属于钢铁、电解铝、水泥、玻璃、传统煤化工(甲醇、合成氨)、焦化等行业。</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461" w:hRule="atLeast"/>
        </w:trPr>
        <w:tc>
          <w:tcPr>
            <w:tcW w:w="761" w:type="pct"/>
            <w:shd w:val="clear" w:color="auto" w:fill="auto"/>
            <w:noWrap w:val="0"/>
            <w:vAlign w:val="center"/>
          </w:tcPr>
          <w:p>
            <w:pPr>
              <w:pStyle w:val="36"/>
              <w:spacing w:line="240" w:lineRule="auto"/>
              <w:rPr>
                <w:color w:val="auto"/>
                <w:kern w:val="0"/>
                <w:szCs w:val="21"/>
              </w:rPr>
            </w:pPr>
            <w:r>
              <w:rPr>
                <w:color w:val="auto"/>
                <w:szCs w:val="21"/>
              </w:rPr>
              <w:t>强化挥发性有机物（VOCs）污染防治</w:t>
            </w:r>
          </w:p>
        </w:tc>
        <w:tc>
          <w:tcPr>
            <w:tcW w:w="2363" w:type="pct"/>
            <w:shd w:val="clear" w:color="auto" w:fill="auto"/>
            <w:noWrap w:val="0"/>
            <w:vAlign w:val="center"/>
          </w:tcPr>
          <w:p>
            <w:pPr>
              <w:widowControl/>
              <w:shd w:val="clear" w:color="auto" w:fill="FFFFFF"/>
              <w:jc w:val="left"/>
              <w:rPr>
                <w:rFonts w:ascii="Times New Roman" w:hAnsi="Times New Roman"/>
                <w:kern w:val="0"/>
                <w:szCs w:val="21"/>
              </w:rPr>
            </w:pPr>
            <w:r>
              <w:rPr>
                <w:rFonts w:ascii="Times New Roman" w:hAnsi="Times New Roman"/>
                <w:szCs w:val="21"/>
              </w:rPr>
              <w:t>全面实施挥发性有机物总量控制。实施工业源挥发性有机物总量控制和行业控制，遵循“控制总量、削减存量、减量替代”的原则，涉挥发性有机物的建设项目，实行区域内VOCs排放等量削减替代，到2020年，挥发性有机物排放总量比2015年下降10%以上。</w:t>
            </w:r>
          </w:p>
          <w:p>
            <w:pPr>
              <w:shd w:val="clear" w:color="auto" w:fill="FFFFFF"/>
              <w:jc w:val="left"/>
              <w:rPr>
                <w:rFonts w:ascii="Times New Roman" w:hAnsi="Times New Roman"/>
                <w:kern w:val="0"/>
                <w:szCs w:val="21"/>
              </w:rPr>
            </w:pPr>
            <w:r>
              <w:rPr>
                <w:rFonts w:ascii="Times New Roman" w:hAnsi="Times New Roman"/>
                <w:bCs/>
                <w:szCs w:val="21"/>
              </w:rPr>
              <w:t>新建涉VOCs排放的工业企业必须入园。新、改、扩建涉VOCs排放项目，应加强废气收集，安装高效治理设施。</w:t>
            </w:r>
          </w:p>
        </w:tc>
        <w:tc>
          <w:tcPr>
            <w:tcW w:w="1450" w:type="pct"/>
            <w:shd w:val="clear" w:color="auto" w:fill="auto"/>
            <w:noWrap w:val="0"/>
            <w:vAlign w:val="center"/>
          </w:tcPr>
          <w:p>
            <w:pPr>
              <w:pStyle w:val="36"/>
              <w:spacing w:line="240" w:lineRule="auto"/>
              <w:jc w:val="left"/>
              <w:rPr>
                <w:color w:val="auto"/>
                <w:szCs w:val="21"/>
              </w:rPr>
            </w:pPr>
            <w:r>
              <w:rPr>
                <w:color w:val="auto"/>
                <w:szCs w:val="21"/>
              </w:rPr>
              <w:t>项目位于濮阳经济技术开发区，生产工艺均设置相应的废气收集治理设施，有效地减少项目</w:t>
            </w:r>
            <w:r>
              <w:rPr>
                <w:bCs/>
                <w:color w:val="auto"/>
                <w:szCs w:val="21"/>
              </w:rPr>
              <w:t>VOCs排放。</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761" w:type="pct"/>
            <w:shd w:val="clear" w:color="auto" w:fill="auto"/>
            <w:noWrap w:val="0"/>
            <w:vAlign w:val="center"/>
          </w:tcPr>
          <w:p>
            <w:pPr>
              <w:pStyle w:val="36"/>
              <w:spacing w:line="240" w:lineRule="auto"/>
              <w:rPr>
                <w:color w:val="auto"/>
                <w:kern w:val="0"/>
                <w:szCs w:val="21"/>
              </w:rPr>
            </w:pPr>
            <w:r>
              <w:rPr>
                <w:color w:val="auto"/>
                <w:szCs w:val="21"/>
              </w:rPr>
              <w:t>强化污染源自动监控能力</w:t>
            </w:r>
          </w:p>
        </w:tc>
        <w:tc>
          <w:tcPr>
            <w:tcW w:w="2363" w:type="pct"/>
            <w:shd w:val="clear" w:color="auto" w:fill="auto"/>
            <w:noWrap w:val="0"/>
            <w:vAlign w:val="center"/>
          </w:tcPr>
          <w:p>
            <w:pPr>
              <w:widowControl/>
              <w:shd w:val="clear" w:color="auto" w:fill="FFFFFF"/>
              <w:jc w:val="left"/>
              <w:rPr>
                <w:rFonts w:ascii="Times New Roman" w:hAnsi="Times New Roman"/>
                <w:kern w:val="0"/>
                <w:szCs w:val="21"/>
              </w:rPr>
            </w:pPr>
            <w:r>
              <w:rPr>
                <w:rFonts w:ascii="Times New Roman" w:hAnsi="Times New Roman"/>
                <w:szCs w:val="21"/>
              </w:rPr>
              <w:t>构建挥发性有机物排放监控体系。开展全市挥发性有机物排放企业排查，摸清VOCs排放企业清单，将石化、化工、包装印刷、工业涂装等VOCs排放重点企业纳入重点排污单位名录，</w:t>
            </w:r>
            <w:r>
              <w:rPr>
                <w:rFonts w:ascii="Times New Roman" w:hAnsi="Times New Roman"/>
                <w:bCs/>
                <w:szCs w:val="21"/>
              </w:rPr>
              <w:t>安装VOCs排放自动监控设备并与环保部门联网，</w:t>
            </w:r>
            <w:r>
              <w:rPr>
                <w:rFonts w:ascii="Times New Roman" w:hAnsi="Times New Roman"/>
                <w:szCs w:val="21"/>
              </w:rPr>
              <w:t>实现石化、现代煤化工等行业泄漏检测与修复（LDAR）相关无组织排放数据与环保监管部门共享。</w:t>
            </w:r>
          </w:p>
        </w:tc>
        <w:tc>
          <w:tcPr>
            <w:tcW w:w="1450" w:type="pct"/>
            <w:shd w:val="clear" w:color="auto" w:fill="auto"/>
            <w:noWrap w:val="0"/>
            <w:vAlign w:val="center"/>
          </w:tcPr>
          <w:p>
            <w:pPr>
              <w:pStyle w:val="36"/>
              <w:spacing w:line="240" w:lineRule="auto"/>
              <w:jc w:val="left"/>
              <w:rPr>
                <w:color w:val="auto"/>
                <w:szCs w:val="21"/>
              </w:rPr>
            </w:pPr>
            <w:r>
              <w:rPr>
                <w:rFonts w:hint="eastAsia"/>
                <w:color w:val="auto"/>
                <w:szCs w:val="21"/>
              </w:rPr>
              <w:t>项目为千吨级中试项目，位于中原大化现有煤化工厂区内；</w:t>
            </w:r>
            <w:r>
              <w:rPr>
                <w:color w:val="auto"/>
                <w:szCs w:val="21"/>
              </w:rPr>
              <w:t>目前</w:t>
            </w:r>
            <w:r>
              <w:rPr>
                <w:rFonts w:hint="eastAsia"/>
                <w:color w:val="auto"/>
                <w:szCs w:val="21"/>
              </w:rPr>
              <w:t>厂界已</w:t>
            </w:r>
            <w:r>
              <w:rPr>
                <w:color w:val="auto"/>
                <w:szCs w:val="28"/>
              </w:rPr>
              <w:t>设置2套非甲烷总烃在线监控设施，</w:t>
            </w:r>
            <w:r>
              <w:rPr>
                <w:bCs/>
                <w:color w:val="auto"/>
                <w:szCs w:val="21"/>
              </w:rPr>
              <w:t>并与环保部门联网</w:t>
            </w:r>
            <w:r>
              <w:rPr>
                <w:rFonts w:hint="eastAsia"/>
                <w:bCs/>
                <w:color w:val="auto"/>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spacing w:line="40" w:lineRule="exact"/>
        <w:rPr>
          <w:rFonts w:ascii="Times New Roman" w:hAnsi="Times New Roman"/>
        </w:rPr>
      </w:pP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8.1.6  《关于印发河南省2020年大气、水、土壤污染防治攻坚战实施方案的通知》（豫环攻坚办〔2020〕7号）</w:t>
      </w:r>
    </w:p>
    <w:p>
      <w:pPr>
        <w:spacing w:line="520" w:lineRule="exact"/>
        <w:ind w:firstLine="560" w:firstLineChars="200"/>
        <w:rPr>
          <w:rFonts w:ascii="Times New Roman" w:hAnsi="Times New Roman"/>
          <w:sz w:val="28"/>
          <w:szCs w:val="28"/>
        </w:rPr>
      </w:pPr>
      <w:r>
        <w:rPr>
          <w:rFonts w:ascii="Times New Roman" w:hAnsi="Times New Roman"/>
          <w:sz w:val="28"/>
          <w:szCs w:val="28"/>
        </w:rPr>
        <w:t>本项目与《河南省2020年大气、水、土壤污染防治攻坚战实施方案的通知》（豫环攻坚办〔2020〕7号）相符性分析见表8.1-5。</w:t>
      </w:r>
    </w:p>
    <w:p>
      <w:pPr>
        <w:pStyle w:val="32"/>
        <w:ind w:firstLine="723" w:firstLineChars="300"/>
        <w:rPr>
          <w:rFonts w:eastAsia="宋体"/>
          <w:kern w:val="2"/>
          <w:sz w:val="28"/>
          <w:szCs w:val="28"/>
        </w:rPr>
      </w:pPr>
      <w:bookmarkStart w:id="268" w:name="_Ref529439827"/>
      <w:r>
        <w:t>表</w:t>
      </w:r>
      <w:bookmarkEnd w:id="268"/>
      <w:r>
        <w:t>8.1-5           本项目与豫环攻坚办〔2020〕7号文相符性分析</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71"/>
        <w:gridCol w:w="4119"/>
        <w:gridCol w:w="3288"/>
        <w:gridCol w:w="73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83" w:type="pct"/>
            <w:noWrap w:val="0"/>
            <w:vAlign w:val="center"/>
          </w:tcPr>
          <w:p>
            <w:pPr>
              <w:pStyle w:val="36"/>
              <w:spacing w:line="240" w:lineRule="auto"/>
              <w:rPr>
                <w:b/>
                <w:color w:val="auto"/>
                <w:szCs w:val="21"/>
              </w:rPr>
            </w:pPr>
            <w:r>
              <w:rPr>
                <w:b/>
                <w:color w:val="auto"/>
                <w:szCs w:val="21"/>
              </w:rPr>
              <w:t>项目</w:t>
            </w:r>
          </w:p>
        </w:tc>
        <w:tc>
          <w:tcPr>
            <w:tcW w:w="2285" w:type="pct"/>
            <w:noWrap w:val="0"/>
            <w:vAlign w:val="center"/>
          </w:tcPr>
          <w:p>
            <w:pPr>
              <w:pStyle w:val="36"/>
              <w:spacing w:line="240" w:lineRule="auto"/>
              <w:rPr>
                <w:b/>
                <w:color w:val="auto"/>
                <w:szCs w:val="21"/>
              </w:rPr>
            </w:pPr>
            <w:r>
              <w:rPr>
                <w:b/>
                <w:color w:val="auto"/>
                <w:szCs w:val="21"/>
              </w:rPr>
              <w:t>实施意见要求</w:t>
            </w:r>
          </w:p>
        </w:tc>
        <w:tc>
          <w:tcPr>
            <w:tcW w:w="1824" w:type="pct"/>
            <w:noWrap w:val="0"/>
            <w:vAlign w:val="center"/>
          </w:tcPr>
          <w:p>
            <w:pPr>
              <w:pStyle w:val="36"/>
              <w:spacing w:line="240" w:lineRule="auto"/>
              <w:rPr>
                <w:b/>
                <w:color w:val="auto"/>
                <w:szCs w:val="21"/>
              </w:rPr>
            </w:pPr>
            <w:r>
              <w:rPr>
                <w:b/>
                <w:color w:val="auto"/>
                <w:szCs w:val="21"/>
              </w:rPr>
              <w:t>本项目情况</w:t>
            </w:r>
          </w:p>
        </w:tc>
        <w:tc>
          <w:tcPr>
            <w:tcW w:w="408" w:type="pct"/>
            <w:noWrap w:val="0"/>
            <w:vAlign w:val="center"/>
          </w:tcPr>
          <w:p>
            <w:pPr>
              <w:pStyle w:val="36"/>
              <w:spacing w:line="240" w:lineRule="auto"/>
              <w:rPr>
                <w:b/>
                <w:color w:val="auto"/>
                <w:szCs w:val="21"/>
              </w:rPr>
            </w:pPr>
            <w:r>
              <w:rPr>
                <w:b/>
                <w:color w:val="auto"/>
                <w:szCs w:val="21"/>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83" w:type="pct"/>
            <w:noWrap w:val="0"/>
            <w:vAlign w:val="center"/>
          </w:tcPr>
          <w:p>
            <w:pPr>
              <w:pStyle w:val="36"/>
              <w:spacing w:line="240" w:lineRule="auto"/>
              <w:jc w:val="left"/>
              <w:rPr>
                <w:color w:val="auto"/>
                <w:szCs w:val="21"/>
              </w:rPr>
            </w:pPr>
            <w:r>
              <w:rPr>
                <w:bCs/>
                <w:color w:val="auto"/>
                <w:szCs w:val="21"/>
              </w:rPr>
              <w:t>1.着力调整产业布局</w:t>
            </w:r>
          </w:p>
        </w:tc>
        <w:tc>
          <w:tcPr>
            <w:tcW w:w="2285" w:type="pct"/>
            <w:noWrap w:val="0"/>
            <w:vAlign w:val="center"/>
          </w:tcPr>
          <w:p>
            <w:pPr>
              <w:pStyle w:val="36"/>
              <w:spacing w:line="240" w:lineRule="auto"/>
              <w:jc w:val="left"/>
              <w:rPr>
                <w:b/>
                <w:color w:val="auto"/>
                <w:szCs w:val="21"/>
              </w:rPr>
            </w:pPr>
            <w:r>
              <w:rPr>
                <w:color w:val="auto"/>
                <w:szCs w:val="21"/>
              </w:rPr>
              <w:t>加快调整不符合生态环境功能定位的产业布局、产业规模和产业结构，按照《产业结构调整指导目录（2019年本）》和《河南省部分工业行业淘汰落后生产工艺装备和产品目录》，明确禁止和限制发展的行业、生产工艺和产业目录，2020年4月底前排查建立淘汰类工业产能和装备清单台账，年底前关停淘汰完毕。对于限制类工业产能和装备，因地制宜采取资金奖补、产能置换等政策措施，鼓励提前淘汰。</w:t>
            </w:r>
          </w:p>
        </w:tc>
        <w:tc>
          <w:tcPr>
            <w:tcW w:w="1824" w:type="pct"/>
            <w:noWrap w:val="0"/>
            <w:vAlign w:val="center"/>
          </w:tcPr>
          <w:p>
            <w:pPr>
              <w:pStyle w:val="36"/>
              <w:spacing w:line="240" w:lineRule="auto"/>
              <w:jc w:val="left"/>
              <w:rPr>
                <w:color w:val="auto"/>
                <w:szCs w:val="21"/>
              </w:rPr>
            </w:pPr>
            <w:r>
              <w:rPr>
                <w:color w:val="auto"/>
                <w:szCs w:val="21"/>
              </w:rPr>
              <w:t>项目是</w:t>
            </w:r>
            <w:r>
              <w:rPr>
                <w:rFonts w:hint="eastAsia"/>
                <w:color w:val="auto"/>
                <w:szCs w:val="21"/>
              </w:rPr>
              <w:t>生物质法制乙二醇中试项目，</w:t>
            </w:r>
            <w:r>
              <w:rPr>
                <w:color w:val="auto"/>
                <w:szCs w:val="21"/>
              </w:rPr>
              <w:t>不属于《产业结构调整指导目录（2019年本）》和《河南省部分工业行业淘汰落后生产工艺装备和产品目录》中禁止和限制发展的行业、生产工艺和产业。</w:t>
            </w:r>
          </w:p>
        </w:tc>
        <w:tc>
          <w:tcPr>
            <w:tcW w:w="408" w:type="pct"/>
            <w:noWrap w:val="0"/>
            <w:vAlign w:val="center"/>
          </w:tcPr>
          <w:p>
            <w:pPr>
              <w:pStyle w:val="36"/>
              <w:spacing w:line="240" w:lineRule="auto"/>
              <w:rPr>
                <w:color w:val="auto"/>
                <w:szCs w:val="21"/>
              </w:rPr>
            </w:pPr>
            <w:r>
              <w:rPr>
                <w:color w:val="auto"/>
                <w:szCs w:val="21"/>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83" w:type="pct"/>
            <w:noWrap w:val="0"/>
            <w:vAlign w:val="center"/>
          </w:tcPr>
          <w:p>
            <w:pPr>
              <w:pStyle w:val="36"/>
              <w:spacing w:line="240" w:lineRule="auto"/>
              <w:jc w:val="left"/>
              <w:rPr>
                <w:color w:val="auto"/>
                <w:szCs w:val="21"/>
              </w:rPr>
            </w:pPr>
            <w:r>
              <w:rPr>
                <w:bCs/>
                <w:color w:val="auto"/>
                <w:szCs w:val="21"/>
              </w:rPr>
              <w:t>5.严格新建项目准入管理</w:t>
            </w:r>
          </w:p>
        </w:tc>
        <w:tc>
          <w:tcPr>
            <w:tcW w:w="2285" w:type="pct"/>
            <w:noWrap w:val="0"/>
            <w:vAlign w:val="center"/>
          </w:tcPr>
          <w:p>
            <w:pPr>
              <w:pStyle w:val="36"/>
              <w:spacing w:line="240" w:lineRule="auto"/>
              <w:jc w:val="left"/>
              <w:rPr>
                <w:b/>
                <w:bCs/>
                <w:color w:val="auto"/>
                <w:szCs w:val="21"/>
              </w:rPr>
            </w:pPr>
            <w:r>
              <w:rPr>
                <w:color w:val="auto"/>
                <w:szCs w:val="21"/>
              </w:rPr>
              <w:t>加强区域、流域规划环评管理，强化对项目环评的指导和约束，逐步构建起“三线一单”为空间管控基础、项目环评为环境准入把关、排污许可为企业运行守法依据的管理新框架，从源头预防环境污染和生态破坏。全省原则上禁止新增钢铁、电解铝、水泥、平板玻璃、传统煤化工（甲醇、合成氨）、焦化、铸造、铝用炭素、砖瓦窑、耐火材料等行业产能，原则上禁止新建燃料类煤气发生炉和35蒸吨/时及以下燃煤锅炉。对钢铁、水泥、电解铝、玻璃等行业严格落实国家、省有关产能置换规定，新建涉工业炉窑的建设项目，应进入园区，配套建设高效环保治理设施。</w:t>
            </w:r>
          </w:p>
        </w:tc>
        <w:tc>
          <w:tcPr>
            <w:tcW w:w="1824" w:type="pct"/>
            <w:noWrap w:val="0"/>
            <w:vAlign w:val="center"/>
          </w:tcPr>
          <w:p>
            <w:pPr>
              <w:pStyle w:val="36"/>
              <w:spacing w:line="240" w:lineRule="auto"/>
              <w:jc w:val="left"/>
              <w:rPr>
                <w:color w:val="auto"/>
                <w:szCs w:val="21"/>
              </w:rPr>
            </w:pPr>
            <w:r>
              <w:rPr>
                <w:color w:val="auto"/>
                <w:szCs w:val="21"/>
              </w:rPr>
              <w:t>项目位于濮阳经济技术开发区，区域规划环评已通过环保部门审批；</w:t>
            </w:r>
          </w:p>
          <w:p>
            <w:pPr>
              <w:pStyle w:val="36"/>
              <w:spacing w:line="240" w:lineRule="auto"/>
              <w:jc w:val="left"/>
              <w:rPr>
                <w:color w:val="auto"/>
                <w:szCs w:val="21"/>
              </w:rPr>
            </w:pPr>
            <w:r>
              <w:rPr>
                <w:color w:val="auto"/>
                <w:szCs w:val="21"/>
              </w:rPr>
              <w:t>项目是</w:t>
            </w:r>
            <w:r>
              <w:rPr>
                <w:rFonts w:hint="eastAsia"/>
                <w:color w:val="auto"/>
                <w:szCs w:val="21"/>
              </w:rPr>
              <w:t>生物质法制乙二醇中试项目，</w:t>
            </w:r>
            <w:r>
              <w:rPr>
                <w:color w:val="auto"/>
                <w:szCs w:val="21"/>
              </w:rPr>
              <w:t>以秸秆糖水溶液和氢气为原料</w:t>
            </w:r>
            <w:r>
              <w:rPr>
                <w:rFonts w:hint="eastAsia"/>
                <w:color w:val="auto"/>
                <w:szCs w:val="21"/>
              </w:rPr>
              <w:t>经乙二醇合成和乙二醇精馏工序生产乙二醇，</w:t>
            </w:r>
            <w:r>
              <w:rPr>
                <w:color w:val="auto"/>
                <w:szCs w:val="21"/>
              </w:rPr>
              <w:t>不属于钢铁、电解铝、水泥、平板玻璃、传统煤化工（甲醇、合成氨）、焦化、铸造、铝用炭素、砖瓦窑、耐火材料等行业；</w:t>
            </w:r>
          </w:p>
          <w:p>
            <w:pPr>
              <w:pStyle w:val="36"/>
              <w:spacing w:line="240" w:lineRule="auto"/>
              <w:jc w:val="left"/>
              <w:rPr>
                <w:color w:val="auto"/>
                <w:szCs w:val="21"/>
              </w:rPr>
            </w:pPr>
            <w:r>
              <w:rPr>
                <w:rFonts w:hint="eastAsia"/>
                <w:color w:val="auto"/>
                <w:szCs w:val="21"/>
              </w:rPr>
              <w:t>项目不涉及工业炉窑。</w:t>
            </w:r>
          </w:p>
        </w:tc>
        <w:tc>
          <w:tcPr>
            <w:tcW w:w="408" w:type="pct"/>
            <w:noWrap w:val="0"/>
            <w:vAlign w:val="center"/>
          </w:tcPr>
          <w:p>
            <w:pPr>
              <w:pStyle w:val="36"/>
              <w:spacing w:line="240" w:lineRule="auto"/>
              <w:rPr>
                <w:b/>
                <w:color w:val="auto"/>
                <w:szCs w:val="21"/>
              </w:rPr>
            </w:pPr>
            <w:r>
              <w:rPr>
                <w:color w:val="auto"/>
                <w:szCs w:val="21"/>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83" w:type="pct"/>
            <w:noWrap w:val="0"/>
            <w:vAlign w:val="center"/>
          </w:tcPr>
          <w:p>
            <w:pPr>
              <w:pStyle w:val="36"/>
              <w:spacing w:line="240" w:lineRule="auto"/>
              <w:jc w:val="left"/>
              <w:rPr>
                <w:color w:val="auto"/>
                <w:szCs w:val="21"/>
              </w:rPr>
            </w:pPr>
            <w:r>
              <w:rPr>
                <w:bCs/>
                <w:color w:val="auto"/>
                <w:szCs w:val="21"/>
              </w:rPr>
              <w:t>38.加强废气收集和处理</w:t>
            </w:r>
          </w:p>
        </w:tc>
        <w:tc>
          <w:tcPr>
            <w:tcW w:w="2285" w:type="pct"/>
            <w:noWrap w:val="0"/>
            <w:vAlign w:val="center"/>
          </w:tcPr>
          <w:p>
            <w:pPr>
              <w:pStyle w:val="36"/>
              <w:spacing w:line="240" w:lineRule="auto"/>
              <w:jc w:val="left"/>
              <w:rPr>
                <w:color w:val="auto"/>
                <w:szCs w:val="21"/>
              </w:rPr>
            </w:pPr>
            <w:r>
              <w:rPr>
                <w:color w:val="auto"/>
                <w:szCs w:val="21"/>
              </w:rPr>
              <w:t>推进治污设施升级改造，通过采用全密闭、连续化、自动化等生产技术，以及高效工艺与设备等，减少工艺过程无组织排放。</w:t>
            </w:r>
          </w:p>
          <w:p>
            <w:pPr>
              <w:pStyle w:val="36"/>
              <w:spacing w:line="240" w:lineRule="auto"/>
              <w:jc w:val="left"/>
              <w:rPr>
                <w:color w:val="auto"/>
                <w:szCs w:val="21"/>
              </w:rPr>
            </w:pPr>
            <w:r>
              <w:rPr>
                <w:color w:val="auto"/>
                <w:szCs w:val="21"/>
              </w:rPr>
              <w:t>提高废气收集率，遵循“应收尽收、分质收集”的原则，科学设计废气收集系统，将无组织排放转变为有组织排放进行控制，采用密闭空间作业的，除行业有特殊要求外，应保持微负压状态，并根据相关规范合理设置通风量；采用局部集气罩的，距集气罩开口面最远处的VOCs无组织排放位置，控制风速应不低于0.3米/秒，有行业要求的按相关规定执行。车间或生产设施收集排放的废气，VOCs初始排放速率大于等于2千克/小时，应加大控制力度，除确保排放浓度稳定达标外，还应实行去除效率控制，去除效率不低于80%。</w:t>
            </w:r>
          </w:p>
        </w:tc>
        <w:tc>
          <w:tcPr>
            <w:tcW w:w="1824" w:type="pct"/>
            <w:noWrap w:val="0"/>
            <w:vAlign w:val="center"/>
          </w:tcPr>
          <w:p>
            <w:pPr>
              <w:pStyle w:val="36"/>
              <w:spacing w:line="240" w:lineRule="auto"/>
              <w:jc w:val="left"/>
              <w:rPr>
                <w:color w:val="auto"/>
                <w:szCs w:val="21"/>
              </w:rPr>
            </w:pPr>
            <w:r>
              <w:rPr>
                <w:color w:val="auto"/>
                <w:szCs w:val="21"/>
              </w:rPr>
              <w:t>项目生产过程全密闭、自动化，可有效减少工艺过程无组织排放；</w:t>
            </w:r>
          </w:p>
          <w:p>
            <w:pPr>
              <w:pStyle w:val="36"/>
              <w:spacing w:line="240" w:lineRule="auto"/>
              <w:jc w:val="left"/>
              <w:rPr>
                <w:rFonts w:hint="eastAsia"/>
                <w:color w:val="auto"/>
                <w:szCs w:val="21"/>
              </w:rPr>
            </w:pPr>
            <w:r>
              <w:rPr>
                <w:color w:val="auto"/>
                <w:szCs w:val="21"/>
              </w:rPr>
              <w:t>项目生产过程全密闭、自动化</w:t>
            </w:r>
            <w:r>
              <w:rPr>
                <w:rFonts w:hint="eastAsia"/>
                <w:color w:val="auto"/>
                <w:szCs w:val="21"/>
              </w:rPr>
              <w:t>，</w:t>
            </w:r>
            <w:r>
              <w:rPr>
                <w:color w:val="auto"/>
                <w:szCs w:val="21"/>
              </w:rPr>
              <w:t>项目</w:t>
            </w:r>
            <w:r>
              <w:rPr>
                <w:rFonts w:hint="eastAsia"/>
                <w:color w:val="auto"/>
                <w:szCs w:val="21"/>
              </w:rPr>
              <w:t>废气主要是合成反应氢气驰放气、闪蒸不凝气和真空泵尾气，氢气驰放气、闪蒸不凝气通过厂区现有火炬焚烧，真空泵尾气通过尾气洗涤塔+活性炭吸附罐处理，</w:t>
            </w:r>
            <w:r>
              <w:rPr>
                <w:color w:val="auto"/>
                <w:szCs w:val="21"/>
              </w:rPr>
              <w:t>去除效率不低于80%。</w:t>
            </w:r>
          </w:p>
        </w:tc>
        <w:tc>
          <w:tcPr>
            <w:tcW w:w="408" w:type="pct"/>
            <w:noWrap w:val="0"/>
            <w:vAlign w:val="center"/>
          </w:tcPr>
          <w:p>
            <w:pPr>
              <w:pStyle w:val="36"/>
              <w:spacing w:line="240" w:lineRule="auto"/>
              <w:rPr>
                <w:color w:val="auto"/>
                <w:szCs w:val="21"/>
              </w:rPr>
            </w:pPr>
            <w:r>
              <w:rPr>
                <w:color w:val="auto"/>
                <w:szCs w:val="21"/>
              </w:rPr>
              <w:t>相符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83" w:type="pct"/>
            <w:noWrap w:val="0"/>
            <w:vAlign w:val="center"/>
          </w:tcPr>
          <w:p>
            <w:pPr>
              <w:pStyle w:val="36"/>
              <w:spacing w:line="240" w:lineRule="auto"/>
              <w:jc w:val="left"/>
              <w:rPr>
                <w:color w:val="auto"/>
                <w:szCs w:val="21"/>
              </w:rPr>
            </w:pPr>
            <w:r>
              <w:rPr>
                <w:bCs/>
                <w:color w:val="auto"/>
                <w:szCs w:val="21"/>
              </w:rPr>
              <w:t>39.强化设施运行管理</w:t>
            </w:r>
          </w:p>
        </w:tc>
        <w:tc>
          <w:tcPr>
            <w:tcW w:w="2285" w:type="pct"/>
            <w:noWrap w:val="0"/>
            <w:vAlign w:val="center"/>
          </w:tcPr>
          <w:p>
            <w:pPr>
              <w:pStyle w:val="36"/>
              <w:spacing w:line="240" w:lineRule="auto"/>
              <w:jc w:val="left"/>
              <w:rPr>
                <w:color w:val="auto"/>
                <w:szCs w:val="21"/>
              </w:rPr>
            </w:pPr>
            <w:r>
              <w:rPr>
                <w:color w:val="auto"/>
                <w:szCs w:val="21"/>
              </w:rPr>
              <w:t>企业应系统梳理VOCs排放主要环节和工序，包括启停机、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w:t>
            </w:r>
          </w:p>
        </w:tc>
        <w:tc>
          <w:tcPr>
            <w:tcW w:w="1824" w:type="pct"/>
            <w:noWrap w:val="0"/>
            <w:vAlign w:val="center"/>
          </w:tcPr>
          <w:p>
            <w:pPr>
              <w:rPr>
                <w:rFonts w:ascii="Times New Roman" w:hAnsi="Times New Roman"/>
                <w:szCs w:val="21"/>
              </w:rPr>
            </w:pPr>
            <w:r>
              <w:rPr>
                <w:rFonts w:hint="eastAsia" w:ascii="Times New Roman" w:hAnsi="Times New Roman"/>
                <w:szCs w:val="21"/>
              </w:rPr>
              <w:t>建议企业制定</w:t>
            </w:r>
            <w:r>
              <w:rPr>
                <w:szCs w:val="21"/>
              </w:rPr>
              <w:t>启停机、检维修作业等具体操作规程，落实到具体责任人</w:t>
            </w:r>
            <w:r>
              <w:rPr>
                <w:rFonts w:hint="eastAsia"/>
                <w:szCs w:val="21"/>
              </w:rPr>
              <w:t>；</w:t>
            </w:r>
            <w:r>
              <w:rPr>
                <w:rFonts w:ascii="Times New Roman" w:hAnsi="Times New Roman"/>
                <w:szCs w:val="21"/>
              </w:rPr>
              <w:t>建立管理台账，记录企业生产和治污设施运行的关键参数，在线监控参数要确保能够实时调取，相关台账记录至少保存三年。</w:t>
            </w:r>
          </w:p>
        </w:tc>
        <w:tc>
          <w:tcPr>
            <w:tcW w:w="408" w:type="pct"/>
            <w:noWrap w:val="0"/>
            <w:vAlign w:val="center"/>
          </w:tcPr>
          <w:p>
            <w:pPr>
              <w:pStyle w:val="36"/>
              <w:spacing w:line="240" w:lineRule="auto"/>
              <w:rPr>
                <w:color w:val="auto"/>
                <w:szCs w:val="21"/>
              </w:rPr>
            </w:pPr>
            <w:r>
              <w:rPr>
                <w:color w:val="auto"/>
                <w:szCs w:val="21"/>
              </w:rPr>
              <w:t>相符</w:t>
            </w:r>
          </w:p>
        </w:tc>
      </w:tr>
    </w:tbl>
    <w:p>
      <w:pPr>
        <w:spacing w:line="520" w:lineRule="exact"/>
        <w:ind w:firstLine="560" w:firstLineChars="200"/>
        <w:rPr>
          <w:rFonts w:ascii="Times New Roman" w:hAnsi="Times New Roman"/>
          <w:sz w:val="28"/>
          <w:szCs w:val="28"/>
        </w:rPr>
      </w:pPr>
      <w:r>
        <w:rPr>
          <w:rFonts w:ascii="Times New Roman" w:hAnsi="Times New Roman"/>
          <w:sz w:val="28"/>
          <w:szCs w:val="28"/>
        </w:rPr>
        <w:t>由表8.1-5可知，工程建设符合《河南省2020年大气、水、土壤污染防治攻坚战实施方案的通知》（豫环攻坚办〔2020〕7号）要求。</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8.1.7  “十三五”挥发性有机物污染防治工作方案</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本项目符合《“十三五”挥发性有机物污染防治工作方案》的相关要求，具体相符性分析见表8.1-6。</w:t>
      </w:r>
    </w:p>
    <w:p>
      <w:pPr>
        <w:pStyle w:val="32"/>
      </w:pPr>
      <w:r>
        <w:t>表8.1-6    本项目与《“十三五”挥发性有机物污染防治工作方案》相符性分析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372"/>
        <w:gridCol w:w="4260"/>
        <w:gridCol w:w="2614"/>
        <w:gridCol w:w="7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blHeader/>
        </w:trPr>
        <w:tc>
          <w:tcPr>
            <w:tcW w:w="761" w:type="pct"/>
            <w:shd w:val="clear" w:color="auto" w:fill="auto"/>
            <w:noWrap w:val="0"/>
            <w:vAlign w:val="center"/>
          </w:tcPr>
          <w:p>
            <w:pPr>
              <w:pStyle w:val="36"/>
              <w:spacing w:line="240" w:lineRule="auto"/>
              <w:rPr>
                <w:b/>
                <w:color w:val="auto"/>
                <w:szCs w:val="21"/>
              </w:rPr>
            </w:pPr>
            <w:r>
              <w:rPr>
                <w:b/>
                <w:color w:val="auto"/>
                <w:szCs w:val="21"/>
              </w:rPr>
              <w:t>类别</w:t>
            </w:r>
          </w:p>
        </w:tc>
        <w:tc>
          <w:tcPr>
            <w:tcW w:w="2363" w:type="pct"/>
            <w:shd w:val="clear" w:color="auto" w:fill="auto"/>
            <w:noWrap w:val="0"/>
            <w:vAlign w:val="center"/>
          </w:tcPr>
          <w:p>
            <w:pPr>
              <w:pStyle w:val="36"/>
              <w:spacing w:line="240" w:lineRule="auto"/>
              <w:rPr>
                <w:b/>
                <w:color w:val="auto"/>
                <w:szCs w:val="21"/>
              </w:rPr>
            </w:pPr>
            <w:r>
              <w:rPr>
                <w:b/>
                <w:color w:val="auto"/>
                <w:szCs w:val="21"/>
              </w:rPr>
              <w:t>实施意见要求</w:t>
            </w:r>
          </w:p>
        </w:tc>
        <w:tc>
          <w:tcPr>
            <w:tcW w:w="1450"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761" w:type="pct"/>
            <w:shd w:val="clear" w:color="auto" w:fill="auto"/>
            <w:noWrap w:val="0"/>
            <w:vAlign w:val="center"/>
          </w:tcPr>
          <w:p>
            <w:pPr>
              <w:pStyle w:val="36"/>
              <w:spacing w:line="240" w:lineRule="auto"/>
              <w:rPr>
                <w:color w:val="auto"/>
                <w:szCs w:val="21"/>
              </w:rPr>
            </w:pPr>
            <w:r>
              <w:rPr>
                <w:color w:val="auto"/>
                <w:kern w:val="0"/>
                <w:szCs w:val="21"/>
              </w:rPr>
              <w:t>严格建设项目环境准入</w:t>
            </w:r>
          </w:p>
        </w:tc>
        <w:tc>
          <w:tcPr>
            <w:tcW w:w="2363"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提高VOCs排放重点行业环保准入门槛，严格控制新增污染物排放量。重点地区要严格限制石化、化工、包装印刷、工业涂装等高VOCs 排放建设项目。新建涉VOCs排放的工业企业要入园区。未纳入《石化产业规划布局方案》的新建炼化项目一律不得建设。</w:t>
            </w:r>
          </w:p>
          <w:p>
            <w:pPr>
              <w:autoSpaceDE w:val="0"/>
              <w:autoSpaceDN w:val="0"/>
              <w:adjustRightInd w:val="0"/>
              <w:jc w:val="left"/>
              <w:rPr>
                <w:rFonts w:ascii="Times New Roman" w:hAnsi="Times New Roman"/>
                <w:kern w:val="0"/>
                <w:szCs w:val="21"/>
              </w:rPr>
            </w:pPr>
            <w:r>
              <w:rPr>
                <w:rFonts w:ascii="Times New Roman" w:hAnsi="Times New Roman"/>
                <w:kern w:val="0"/>
                <w:szCs w:val="21"/>
              </w:rPr>
              <w:t>新、改、扩建涉VOCs排放项目，应从源头加强控制，使用低（无）VOCs含量的原辅材料，加强废气收集，安装高效治理设施。</w:t>
            </w:r>
          </w:p>
        </w:tc>
        <w:tc>
          <w:tcPr>
            <w:tcW w:w="1450" w:type="pct"/>
            <w:shd w:val="clear" w:color="auto" w:fill="auto"/>
            <w:noWrap w:val="0"/>
            <w:vAlign w:val="center"/>
          </w:tcPr>
          <w:p>
            <w:pPr>
              <w:pStyle w:val="36"/>
              <w:spacing w:line="240" w:lineRule="auto"/>
              <w:jc w:val="left"/>
              <w:rPr>
                <w:color w:val="auto"/>
                <w:szCs w:val="21"/>
              </w:rPr>
            </w:pPr>
            <w:r>
              <w:rPr>
                <w:color w:val="auto"/>
                <w:szCs w:val="21"/>
              </w:rPr>
              <w:t>项目位于濮阳经济技术开发区，生产工艺及储运系统均设置相应的废气收集治理设施，有效地减少项目</w:t>
            </w:r>
            <w:r>
              <w:rPr>
                <w:bCs/>
                <w:color w:val="auto"/>
                <w:szCs w:val="21"/>
              </w:rPr>
              <w:t>VOCs排放</w:t>
            </w:r>
            <w:r>
              <w:rPr>
                <w:color w:val="auto"/>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761" w:type="pct"/>
            <w:vMerge w:val="restart"/>
            <w:shd w:val="clear" w:color="auto" w:fill="auto"/>
            <w:noWrap w:val="0"/>
            <w:vAlign w:val="center"/>
          </w:tcPr>
          <w:p>
            <w:pPr>
              <w:pStyle w:val="36"/>
              <w:spacing w:line="240" w:lineRule="auto"/>
              <w:jc w:val="both"/>
              <w:rPr>
                <w:color w:val="auto"/>
                <w:kern w:val="0"/>
                <w:szCs w:val="21"/>
              </w:rPr>
            </w:pPr>
            <w:r>
              <w:rPr>
                <w:color w:val="auto"/>
              </w:rPr>
              <w:t>加快推进化工行业 VOCs 综合治理</w:t>
            </w:r>
          </w:p>
        </w:tc>
        <w:tc>
          <w:tcPr>
            <w:tcW w:w="2363"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rPr>
              <w:t>参照石化行业 VOCs 治理任务要求，全面推进化工企业设备动静密封点、储存、装卸、废水系统、有组织工艺废气和非正常工况等源项整治。</w:t>
            </w:r>
          </w:p>
        </w:tc>
        <w:tc>
          <w:tcPr>
            <w:tcW w:w="1450" w:type="pct"/>
            <w:shd w:val="clear" w:color="auto" w:fill="auto"/>
            <w:noWrap w:val="0"/>
            <w:vAlign w:val="center"/>
          </w:tcPr>
          <w:p>
            <w:pPr>
              <w:pStyle w:val="36"/>
              <w:spacing w:line="240" w:lineRule="auto"/>
              <w:jc w:val="left"/>
              <w:rPr>
                <w:color w:val="auto"/>
              </w:rPr>
            </w:pPr>
            <w:r>
              <w:rPr>
                <w:color w:val="auto"/>
                <w:szCs w:val="21"/>
              </w:rPr>
              <w:t>项目生产过程全密闭、自动化，可有效减少工艺过程无组织排放</w:t>
            </w:r>
            <w:r>
              <w:rPr>
                <w:rFonts w:hint="eastAsia"/>
                <w:color w:val="auto"/>
                <w:szCs w:val="21"/>
              </w:rPr>
              <w:t>；同时项目氢气驰放气、闪蒸不凝气和事故安全阀泻放气均通过厂区现有火炬焚烧，真空泵尾气通过尾气洗涤塔+活性炭吸附罐处理，可有效降低</w:t>
            </w:r>
            <w:r>
              <w:rPr>
                <w:color w:val="auto"/>
              </w:rPr>
              <w:t>VOCs</w:t>
            </w:r>
            <w:r>
              <w:rPr>
                <w:rFonts w:hint="eastAsia"/>
                <w:color w:val="auto"/>
              </w:rPr>
              <w:t>排放量。</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761" w:type="pct"/>
            <w:vMerge w:val="continue"/>
            <w:shd w:val="clear" w:color="auto" w:fill="auto"/>
            <w:noWrap w:val="0"/>
            <w:vAlign w:val="center"/>
          </w:tcPr>
          <w:p>
            <w:pPr>
              <w:pStyle w:val="36"/>
              <w:spacing w:line="240" w:lineRule="auto"/>
              <w:jc w:val="both"/>
              <w:rPr>
                <w:color w:val="auto"/>
              </w:rPr>
            </w:pPr>
          </w:p>
        </w:tc>
        <w:tc>
          <w:tcPr>
            <w:tcW w:w="2363"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rPr>
              <w:t>现代煤化工行业全面实施 LDAR，制药、农药、炼焦、涂料、油墨、胶粘剂、染料等行业逐步推广LDAR 工作。</w:t>
            </w:r>
          </w:p>
        </w:tc>
        <w:tc>
          <w:tcPr>
            <w:tcW w:w="1450" w:type="pct"/>
            <w:shd w:val="clear" w:color="auto" w:fill="auto"/>
            <w:noWrap w:val="0"/>
            <w:vAlign w:val="center"/>
          </w:tcPr>
          <w:p>
            <w:pPr>
              <w:pStyle w:val="36"/>
              <w:spacing w:line="240" w:lineRule="auto"/>
              <w:jc w:val="left"/>
              <w:rPr>
                <w:color w:val="auto"/>
                <w:szCs w:val="21"/>
              </w:rPr>
            </w:pPr>
            <w:r>
              <w:rPr>
                <w:color w:val="auto"/>
                <w:szCs w:val="21"/>
              </w:rPr>
              <w:t>要求项目建立“泄漏检测与修复”管理体系</w:t>
            </w:r>
            <w:r>
              <w:rPr>
                <w:rFonts w:hint="eastAsia"/>
                <w:color w:val="auto"/>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761" w:type="pct"/>
            <w:vMerge w:val="continue"/>
            <w:shd w:val="clear" w:color="auto" w:fill="auto"/>
            <w:noWrap w:val="0"/>
            <w:vAlign w:val="center"/>
          </w:tcPr>
          <w:p>
            <w:pPr>
              <w:pStyle w:val="36"/>
              <w:spacing w:line="240" w:lineRule="auto"/>
              <w:rPr>
                <w:color w:val="auto"/>
                <w:kern w:val="0"/>
                <w:szCs w:val="21"/>
              </w:rPr>
            </w:pPr>
          </w:p>
        </w:tc>
        <w:tc>
          <w:tcPr>
            <w:tcW w:w="2363"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rPr>
              <w:t>加强无组织废气排放控制，含 VOCs 物料的储存、输送、投料、卸料，涉及 VOCs 物料的生产及含 VOCs 产品分装等过程应密闭操作。</w:t>
            </w:r>
          </w:p>
        </w:tc>
        <w:tc>
          <w:tcPr>
            <w:tcW w:w="1450" w:type="pct"/>
            <w:shd w:val="clear" w:color="auto" w:fill="auto"/>
            <w:noWrap w:val="0"/>
            <w:vAlign w:val="center"/>
          </w:tcPr>
          <w:p>
            <w:pPr>
              <w:pStyle w:val="36"/>
              <w:spacing w:line="240" w:lineRule="auto"/>
              <w:jc w:val="left"/>
              <w:rPr>
                <w:color w:val="auto"/>
                <w:szCs w:val="21"/>
              </w:rPr>
            </w:pPr>
            <w:r>
              <w:rPr>
                <w:color w:val="auto"/>
                <w:szCs w:val="21"/>
              </w:rPr>
              <w:t>项目生产过程全密闭、自动化，可有效减少工艺过程无组织排放；项目废水经密闭管道收集后泵入甲醇项目污水处理站，现有污水处理站</w:t>
            </w:r>
            <w:r>
              <w:rPr>
                <w:color w:val="auto"/>
                <w:kern w:val="0"/>
                <w:szCs w:val="21"/>
              </w:rPr>
              <w:t>VOCs逸散环节采用密闭收集措施。</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761" w:type="pct"/>
            <w:vMerge w:val="continue"/>
            <w:shd w:val="clear" w:color="auto" w:fill="auto"/>
            <w:noWrap w:val="0"/>
            <w:vAlign w:val="center"/>
          </w:tcPr>
          <w:p>
            <w:pPr>
              <w:pStyle w:val="36"/>
              <w:spacing w:line="240" w:lineRule="auto"/>
              <w:rPr>
                <w:color w:val="auto"/>
                <w:kern w:val="0"/>
                <w:szCs w:val="21"/>
              </w:rPr>
            </w:pPr>
          </w:p>
        </w:tc>
        <w:tc>
          <w:tcPr>
            <w:tcW w:w="2363" w:type="pct"/>
            <w:shd w:val="clear" w:color="auto" w:fill="auto"/>
            <w:noWrap w:val="0"/>
            <w:vAlign w:val="center"/>
          </w:tcPr>
          <w:p>
            <w:pPr>
              <w:rPr>
                <w:rFonts w:ascii="Times New Roman" w:hAnsi="Times New Roman"/>
                <w:sz w:val="28"/>
                <w:szCs w:val="28"/>
              </w:rPr>
            </w:pPr>
            <w:r>
              <w:rPr>
                <w:rFonts w:ascii="Times New Roman" w:hAnsi="Times New Roman"/>
              </w:rPr>
              <w:t>反应尾气、蒸馏 装置不凝尾气等工艺排气，工艺容器的置换气、吹扫气、抽真空排气等应进行收集治理。</w:t>
            </w:r>
          </w:p>
        </w:tc>
        <w:tc>
          <w:tcPr>
            <w:tcW w:w="1450" w:type="pct"/>
            <w:shd w:val="clear" w:color="auto" w:fill="auto"/>
            <w:noWrap w:val="0"/>
            <w:vAlign w:val="center"/>
          </w:tcPr>
          <w:p>
            <w:pPr>
              <w:pStyle w:val="36"/>
              <w:spacing w:line="240" w:lineRule="auto"/>
              <w:jc w:val="left"/>
              <w:rPr>
                <w:color w:val="auto"/>
                <w:szCs w:val="21"/>
              </w:rPr>
            </w:pPr>
            <w:r>
              <w:rPr>
                <w:color w:val="auto"/>
                <w:szCs w:val="21"/>
              </w:rPr>
              <w:t>项目氢气驰放气、闪蒸不凝气通过厂区现有火炬焚烧，真空泵尾气通过尾气洗涤塔</w:t>
            </w:r>
            <w:r>
              <w:rPr>
                <w:rFonts w:hint="eastAsia"/>
                <w:color w:val="auto"/>
                <w:szCs w:val="21"/>
              </w:rPr>
              <w:t>+活性炭吸附罐</w:t>
            </w:r>
            <w:r>
              <w:rPr>
                <w:color w:val="auto"/>
                <w:szCs w:val="21"/>
              </w:rPr>
              <w:t>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 xml:space="preserve">8.1.8  </w:t>
      </w:r>
      <w:r>
        <w:rPr>
          <w:rFonts w:hint="eastAsia" w:ascii="Times New Roman" w:hAnsi="Times New Roman" w:eastAsia="楷体_GB2312"/>
          <w:sz w:val="28"/>
          <w:szCs w:val="28"/>
          <w:lang w:val="en-US" w:eastAsia="zh-CN"/>
        </w:rPr>
        <w:t>《</w:t>
      </w:r>
      <w:r>
        <w:rPr>
          <w:rFonts w:ascii="Times New Roman" w:hAnsi="Times New Roman" w:eastAsia="楷体_GB2312"/>
          <w:sz w:val="28"/>
          <w:szCs w:val="28"/>
          <w:lang w:val="en-US" w:eastAsia="zh-CN"/>
        </w:rPr>
        <w:t>濮阳市2016年度重点行业挥发性有机物治理方案</w:t>
      </w:r>
      <w:r>
        <w:rPr>
          <w:rFonts w:hint="eastAsia" w:ascii="Times New Roman" w:hAnsi="Times New Roman" w:eastAsia="楷体_GB2312"/>
          <w:sz w:val="28"/>
          <w:szCs w:val="28"/>
          <w:lang w:val="en-US" w:eastAsia="zh-CN"/>
        </w:rPr>
        <w:t>》</w:t>
      </w:r>
    </w:p>
    <w:p>
      <w:pPr>
        <w:spacing w:line="520" w:lineRule="exact"/>
        <w:ind w:firstLine="560" w:firstLineChars="200"/>
        <w:rPr>
          <w:rFonts w:ascii="Times New Roman" w:hAnsi="Times New Roman"/>
          <w:sz w:val="28"/>
          <w:szCs w:val="28"/>
        </w:rPr>
      </w:pPr>
      <w:r>
        <w:rPr>
          <w:rFonts w:ascii="Times New Roman" w:hAnsi="Times New Roman"/>
          <w:sz w:val="28"/>
          <w:szCs w:val="28"/>
        </w:rPr>
        <w:t>本项目符合</w:t>
      </w:r>
      <w:bookmarkStart w:id="269" w:name="_Hlk42178541"/>
      <w:r>
        <w:rPr>
          <w:rFonts w:ascii="Times New Roman" w:hAnsi="Times New Roman"/>
          <w:sz w:val="28"/>
          <w:szCs w:val="28"/>
        </w:rPr>
        <w:t>《濮阳市2016年度重点行业挥发性有机物治理方案</w:t>
      </w:r>
      <w:bookmarkEnd w:id="269"/>
      <w:r>
        <w:rPr>
          <w:rFonts w:ascii="Times New Roman" w:hAnsi="Times New Roman"/>
          <w:sz w:val="28"/>
          <w:szCs w:val="28"/>
        </w:rPr>
        <w:t>》的相关要求，具体相符性分析见表8.1-7。</w:t>
      </w:r>
    </w:p>
    <w:p>
      <w:pPr>
        <w:pStyle w:val="32"/>
      </w:pPr>
      <w:r>
        <w:t>表8.1-7   与《濮阳市2016年度重点行业挥发性有机物治理方案》相符性分析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880"/>
        <w:gridCol w:w="4393"/>
        <w:gridCol w:w="2973"/>
        <w:gridCol w:w="7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blHeader/>
        </w:trPr>
        <w:tc>
          <w:tcPr>
            <w:tcW w:w="488" w:type="pct"/>
            <w:shd w:val="clear" w:color="auto" w:fill="auto"/>
            <w:noWrap w:val="0"/>
            <w:vAlign w:val="center"/>
          </w:tcPr>
          <w:p>
            <w:pPr>
              <w:pStyle w:val="36"/>
              <w:spacing w:line="240" w:lineRule="auto"/>
              <w:rPr>
                <w:b/>
                <w:color w:val="auto"/>
                <w:szCs w:val="21"/>
              </w:rPr>
            </w:pPr>
            <w:r>
              <w:rPr>
                <w:b/>
                <w:color w:val="auto"/>
                <w:szCs w:val="21"/>
              </w:rPr>
              <w:t>类别</w:t>
            </w:r>
          </w:p>
        </w:tc>
        <w:tc>
          <w:tcPr>
            <w:tcW w:w="2437" w:type="pct"/>
            <w:shd w:val="clear" w:color="auto" w:fill="auto"/>
            <w:noWrap w:val="0"/>
            <w:vAlign w:val="center"/>
          </w:tcPr>
          <w:p>
            <w:pPr>
              <w:pStyle w:val="36"/>
              <w:spacing w:line="240" w:lineRule="auto"/>
              <w:rPr>
                <w:b/>
                <w:color w:val="auto"/>
                <w:szCs w:val="21"/>
              </w:rPr>
            </w:pPr>
            <w:r>
              <w:rPr>
                <w:b/>
                <w:color w:val="auto"/>
                <w:szCs w:val="21"/>
              </w:rPr>
              <w:t>实施意见要求</w:t>
            </w:r>
          </w:p>
        </w:tc>
        <w:tc>
          <w:tcPr>
            <w:tcW w:w="1649"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color w:val="auto"/>
                <w:szCs w:val="21"/>
                <w:shd w:val="clear" w:color="auto" w:fill="FFFFFF"/>
              </w:rPr>
              <w:t>加强有组织工艺废气排放控制</w:t>
            </w:r>
          </w:p>
        </w:tc>
        <w:tc>
          <w:tcPr>
            <w:tcW w:w="2437" w:type="pct"/>
            <w:shd w:val="clear" w:color="auto" w:fill="auto"/>
            <w:noWrap w:val="0"/>
            <w:vAlign w:val="center"/>
          </w:tcPr>
          <w:p>
            <w:pPr>
              <w:autoSpaceDE w:val="0"/>
              <w:autoSpaceDN w:val="0"/>
              <w:adjustRightInd w:val="0"/>
              <w:jc w:val="left"/>
              <w:rPr>
                <w:rFonts w:ascii="Times New Roman" w:hAnsi="Times New Roman"/>
                <w:szCs w:val="21"/>
                <w:shd w:val="clear" w:color="auto" w:fill="FFFFFF"/>
              </w:rPr>
            </w:pPr>
            <w:r>
              <w:rPr>
                <w:rFonts w:ascii="Times New Roman" w:hAnsi="Times New Roman"/>
                <w:szCs w:val="21"/>
                <w:shd w:val="clear" w:color="auto" w:fill="FFFFFF"/>
              </w:rPr>
              <w:t>工艺废气应优先考虑生产系统内回收利用，难以回收利用的，应采用催化燃烧、热力焚烧等方式净化处理后达标排放。</w:t>
            </w:r>
          </w:p>
          <w:p>
            <w:pPr>
              <w:autoSpaceDE w:val="0"/>
              <w:autoSpaceDN w:val="0"/>
              <w:adjustRightInd w:val="0"/>
              <w:jc w:val="left"/>
              <w:rPr>
                <w:rFonts w:ascii="Times New Roman" w:hAnsi="Times New Roman"/>
                <w:kern w:val="0"/>
                <w:szCs w:val="21"/>
              </w:rPr>
            </w:pPr>
            <w:r>
              <w:rPr>
                <w:rFonts w:ascii="Times New Roman" w:hAnsi="Times New Roman"/>
                <w:szCs w:val="21"/>
                <w:shd w:val="clear" w:color="auto" w:fill="FFFFFF"/>
              </w:rPr>
              <w:t>采取适当措施尽可能回收排入火炬系统的废气；火炬应按照相关要求设置规范的点火系统，确保通过火炬排放的VOCs点燃，并尽可能充分燃烧。</w:t>
            </w:r>
          </w:p>
        </w:tc>
        <w:tc>
          <w:tcPr>
            <w:tcW w:w="1649" w:type="pct"/>
            <w:shd w:val="clear" w:color="auto" w:fill="auto"/>
            <w:noWrap w:val="0"/>
            <w:vAlign w:val="center"/>
          </w:tcPr>
          <w:p>
            <w:pPr>
              <w:pStyle w:val="36"/>
              <w:spacing w:line="240" w:lineRule="auto"/>
              <w:jc w:val="left"/>
              <w:rPr>
                <w:rFonts w:hint="eastAsia"/>
                <w:color w:val="auto"/>
                <w:szCs w:val="21"/>
              </w:rPr>
            </w:pPr>
            <w:r>
              <w:rPr>
                <w:color w:val="auto"/>
                <w:szCs w:val="21"/>
              </w:rPr>
              <w:t>项目</w:t>
            </w:r>
            <w:r>
              <w:rPr>
                <w:rFonts w:hint="eastAsia"/>
                <w:color w:val="auto"/>
                <w:szCs w:val="21"/>
              </w:rPr>
              <w:t>氢气驰放气、闪蒸不凝气通过厂区现有火炬焚烧，真空泵尾气通过尾气洗涤塔+活性炭吸附罐处理；</w:t>
            </w:r>
            <w:r>
              <w:rPr>
                <w:color w:val="auto"/>
                <w:szCs w:val="21"/>
              </w:rPr>
              <w:t>项目非正常工况及事故状态下的废气</w:t>
            </w:r>
            <w:r>
              <w:rPr>
                <w:rFonts w:hint="eastAsia"/>
                <w:color w:val="auto"/>
                <w:szCs w:val="21"/>
              </w:rPr>
              <w:t>均</w:t>
            </w:r>
            <w:r>
              <w:rPr>
                <w:color w:val="auto"/>
                <w:szCs w:val="21"/>
              </w:rPr>
              <w:t>送入</w:t>
            </w:r>
            <w:r>
              <w:rPr>
                <w:rFonts w:hint="eastAsia"/>
                <w:color w:val="auto"/>
                <w:szCs w:val="21"/>
              </w:rPr>
              <w:t>厂区现有</w:t>
            </w:r>
            <w:r>
              <w:rPr>
                <w:color w:val="auto"/>
                <w:szCs w:val="21"/>
              </w:rPr>
              <w:t>火炬焚烧处理。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color w:val="auto"/>
                <w:szCs w:val="21"/>
                <w:shd w:val="clear" w:color="auto" w:fill="FFFFFF"/>
              </w:rPr>
              <w:t>严格控制储存、装卸损失</w:t>
            </w:r>
          </w:p>
        </w:tc>
        <w:tc>
          <w:tcPr>
            <w:tcW w:w="2437" w:type="pct"/>
            <w:shd w:val="clear" w:color="auto" w:fill="auto"/>
            <w:noWrap w:val="0"/>
            <w:vAlign w:val="center"/>
          </w:tcPr>
          <w:p>
            <w:pPr>
              <w:autoSpaceDE w:val="0"/>
              <w:autoSpaceDN w:val="0"/>
              <w:adjustRightInd w:val="0"/>
              <w:jc w:val="left"/>
              <w:rPr>
                <w:rFonts w:ascii="Times New Roman" w:hAnsi="Times New Roman"/>
                <w:szCs w:val="21"/>
                <w:shd w:val="clear" w:color="auto" w:fill="FFFFFF"/>
              </w:rPr>
            </w:pPr>
            <w:r>
              <w:rPr>
                <w:rFonts w:ascii="Times New Roman" w:hAnsi="Times New Roman"/>
                <w:szCs w:val="21"/>
                <w:shd w:val="clear" w:color="auto" w:fill="FFFFFF"/>
              </w:rPr>
              <w:t>挥发性有机液体储存设施应在符合安全等相关规范的前提下，采用压力罐、低温罐、高效密封的浮顶罐或安装顶空联通置换油气回收装置的拱顶罐，其中苯、甲苯、二甲苯等危险化学品应在采用内浮顶罐基础上安装油气回收装置等处理设施。</w:t>
            </w:r>
          </w:p>
          <w:p>
            <w:pPr>
              <w:autoSpaceDE w:val="0"/>
              <w:autoSpaceDN w:val="0"/>
              <w:adjustRightInd w:val="0"/>
              <w:jc w:val="left"/>
              <w:rPr>
                <w:rFonts w:ascii="Times New Roman" w:hAnsi="Times New Roman"/>
                <w:szCs w:val="21"/>
                <w:shd w:val="clear" w:color="auto" w:fill="FFFFFF"/>
              </w:rPr>
            </w:pPr>
            <w:r>
              <w:rPr>
                <w:rFonts w:ascii="Times New Roman" w:hAnsi="Times New Roman"/>
                <w:szCs w:val="21"/>
                <w:shd w:val="clear" w:color="auto" w:fill="FFFFFF"/>
              </w:rPr>
              <w:t>挥发性有机液体装卸应采取全密闭、液下装载等方式，严禁喷溅式装载。</w:t>
            </w:r>
          </w:p>
          <w:p>
            <w:pPr>
              <w:autoSpaceDE w:val="0"/>
              <w:autoSpaceDN w:val="0"/>
              <w:adjustRightInd w:val="0"/>
              <w:jc w:val="left"/>
              <w:rPr>
                <w:rFonts w:ascii="Times New Roman" w:hAnsi="Times New Roman"/>
                <w:szCs w:val="21"/>
                <w:shd w:val="clear" w:color="auto" w:fill="FFFFFF"/>
              </w:rPr>
            </w:pPr>
            <w:r>
              <w:rPr>
                <w:rFonts w:ascii="Times New Roman" w:hAnsi="Times New Roman"/>
                <w:szCs w:val="21"/>
                <w:shd w:val="clear" w:color="auto" w:fill="FFFFFF"/>
              </w:rPr>
              <w:t>汽油、石脑油、煤油等高挥发性有机液体和苯、甲苯、二甲苯等危险化学品的装卸过程应优先采用高效油气回收措施。运输相关产品应采用具备油气回收接口的运输工具。</w:t>
            </w:r>
          </w:p>
        </w:tc>
        <w:tc>
          <w:tcPr>
            <w:tcW w:w="1649" w:type="pct"/>
            <w:shd w:val="clear" w:color="auto" w:fill="auto"/>
            <w:noWrap w:val="0"/>
            <w:vAlign w:val="center"/>
          </w:tcPr>
          <w:p>
            <w:pPr>
              <w:pStyle w:val="36"/>
              <w:spacing w:line="240" w:lineRule="auto"/>
              <w:jc w:val="left"/>
              <w:rPr>
                <w:rFonts w:hint="eastAsia"/>
                <w:color w:val="auto"/>
                <w:szCs w:val="21"/>
              </w:rPr>
            </w:pPr>
            <w:r>
              <w:rPr>
                <w:color w:val="auto"/>
                <w:szCs w:val="21"/>
              </w:rPr>
              <w:t>项目涉及</w:t>
            </w:r>
            <w:r>
              <w:rPr>
                <w:rFonts w:hint="eastAsia"/>
                <w:color w:val="auto"/>
                <w:szCs w:val="21"/>
              </w:rPr>
              <w:t>的物料主要是乙二醇和丙二醇，不易挥发，采用</w:t>
            </w:r>
            <w:r>
              <w:rPr>
                <w:color w:val="auto"/>
                <w:szCs w:val="21"/>
              </w:rPr>
              <w:t>立式椭圆封头固定顶储罐</w:t>
            </w:r>
            <w:r>
              <w:rPr>
                <w:rFonts w:hint="eastAsia"/>
                <w:color w:val="auto"/>
                <w:szCs w:val="21"/>
              </w:rPr>
              <w:t>。</w:t>
            </w:r>
          </w:p>
          <w:p>
            <w:pPr>
              <w:pStyle w:val="36"/>
              <w:spacing w:line="240" w:lineRule="auto"/>
              <w:jc w:val="left"/>
              <w:rPr>
                <w:rFonts w:hint="eastAsia"/>
                <w:color w:val="auto"/>
                <w:szCs w:val="21"/>
              </w:rPr>
            </w:pPr>
            <w:r>
              <w:rPr>
                <w:rFonts w:hint="eastAsia"/>
                <w:color w:val="auto"/>
                <w:szCs w:val="21"/>
                <w:shd w:val="clear" w:color="auto" w:fill="FFFFFF"/>
              </w:rPr>
              <w:t>项目</w:t>
            </w:r>
            <w:r>
              <w:rPr>
                <w:color w:val="auto"/>
                <w:szCs w:val="21"/>
                <w:shd w:val="clear" w:color="auto" w:fill="FFFFFF"/>
              </w:rPr>
              <w:t>液体装卸应采取全密闭、液下装载等方式，严禁喷溅式装载。</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color w:val="auto"/>
                <w:szCs w:val="21"/>
                <w:shd w:val="clear" w:color="auto" w:fill="FFFFFF"/>
              </w:rPr>
              <w:t>加强废水废液废渣系统逸散废气治理</w:t>
            </w:r>
          </w:p>
        </w:tc>
        <w:tc>
          <w:tcPr>
            <w:tcW w:w="2437"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shd w:val="clear" w:color="auto" w:fill="FFFFFF"/>
              </w:rPr>
              <w:t>废水废液废渣收集、储存和处理处置过程中，应对逸散VOCs和产生异味的主要环节采取有效的密闭与收集措施，确保废气经收集处理后达到相关标准要求，禁止稀释排放。</w:t>
            </w:r>
          </w:p>
        </w:tc>
        <w:tc>
          <w:tcPr>
            <w:tcW w:w="1649" w:type="pct"/>
            <w:shd w:val="clear" w:color="auto" w:fill="auto"/>
            <w:noWrap w:val="0"/>
            <w:vAlign w:val="center"/>
          </w:tcPr>
          <w:p>
            <w:pPr>
              <w:pStyle w:val="36"/>
              <w:spacing w:line="240" w:lineRule="auto"/>
              <w:jc w:val="left"/>
              <w:rPr>
                <w:rFonts w:hint="eastAsia"/>
                <w:color w:val="auto"/>
                <w:kern w:val="0"/>
                <w:szCs w:val="21"/>
              </w:rPr>
            </w:pPr>
            <w:r>
              <w:rPr>
                <w:color w:val="auto"/>
                <w:szCs w:val="21"/>
              </w:rPr>
              <w:t>项目废水经密闭管道收集后泵入甲醇项目污水处理站，</w:t>
            </w:r>
            <w:r>
              <w:rPr>
                <w:rFonts w:hint="eastAsia"/>
                <w:color w:val="auto"/>
                <w:szCs w:val="21"/>
              </w:rPr>
              <w:t>现有</w:t>
            </w:r>
            <w:r>
              <w:rPr>
                <w:color w:val="auto"/>
                <w:szCs w:val="21"/>
              </w:rPr>
              <w:t>污水处理站</w:t>
            </w:r>
            <w:r>
              <w:rPr>
                <w:color w:val="auto"/>
                <w:kern w:val="0"/>
                <w:szCs w:val="21"/>
              </w:rPr>
              <w:t>VOCs逸散环节采用密闭收集措施</w:t>
            </w:r>
            <w:r>
              <w:rPr>
                <w:rFonts w:hint="eastAsia"/>
                <w:color w:val="auto"/>
                <w:kern w:val="0"/>
                <w:szCs w:val="21"/>
              </w:rPr>
              <w:t>，废气处理后达标排放。</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rFonts w:hint="eastAsia"/>
                <w:color w:val="auto"/>
                <w:kern w:val="0"/>
                <w:szCs w:val="21"/>
              </w:rPr>
            </w:pPr>
            <w:r>
              <w:rPr>
                <w:color w:val="auto"/>
                <w:szCs w:val="21"/>
                <w:shd w:val="clear" w:color="auto" w:fill="FFFFFF"/>
              </w:rPr>
              <w:t>加强非正常工况污染控制</w:t>
            </w:r>
          </w:p>
        </w:tc>
        <w:tc>
          <w:tcPr>
            <w:tcW w:w="2437"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shd w:val="clear" w:color="auto" w:fill="FFFFFF"/>
              </w:rPr>
              <w:t>制定开停车、检维修、生产异常等非正常工况的操作规程和污染控制措施，非正常工况下生产装置排出的含挥发性有机物的物料、废气和检维修前清扫气应接入回收或净化处理装置。</w:t>
            </w:r>
          </w:p>
        </w:tc>
        <w:tc>
          <w:tcPr>
            <w:tcW w:w="1649" w:type="pct"/>
            <w:shd w:val="clear" w:color="auto" w:fill="auto"/>
            <w:noWrap w:val="0"/>
            <w:vAlign w:val="center"/>
          </w:tcPr>
          <w:p>
            <w:pPr>
              <w:rPr>
                <w:rFonts w:ascii="Times New Roman" w:hAnsi="Times New Roman"/>
                <w:szCs w:val="21"/>
              </w:rPr>
            </w:pPr>
            <w:r>
              <w:rPr>
                <w:rFonts w:ascii="Times New Roman" w:hAnsi="Times New Roman"/>
                <w:szCs w:val="21"/>
              </w:rPr>
              <w:t>项目非正常工况及事故状态下的废气</w:t>
            </w:r>
            <w:r>
              <w:rPr>
                <w:rFonts w:hint="eastAsia" w:ascii="Times New Roman" w:hAnsi="Times New Roman"/>
                <w:szCs w:val="21"/>
              </w:rPr>
              <w:t>均</w:t>
            </w:r>
            <w:r>
              <w:rPr>
                <w:rFonts w:ascii="Times New Roman" w:hAnsi="Times New Roman"/>
                <w:szCs w:val="21"/>
              </w:rPr>
              <w:t>送入</w:t>
            </w:r>
            <w:r>
              <w:rPr>
                <w:rFonts w:hint="eastAsia" w:ascii="Times New Roman" w:hAnsi="Times New Roman"/>
                <w:szCs w:val="21"/>
              </w:rPr>
              <w:t>厂区现有</w:t>
            </w:r>
            <w:r>
              <w:rPr>
                <w:rFonts w:ascii="Times New Roman" w:hAnsi="Times New Roman"/>
                <w:szCs w:val="21"/>
              </w:rPr>
              <w:t>火炬焚烧处理。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rFonts w:hint="eastAsia"/>
                <w:color w:val="auto"/>
                <w:kern w:val="0"/>
                <w:szCs w:val="21"/>
              </w:rPr>
            </w:pPr>
            <w:r>
              <w:rPr>
                <w:color w:val="auto"/>
                <w:szCs w:val="21"/>
                <w:shd w:val="clear" w:color="auto" w:fill="FFFFFF"/>
              </w:rPr>
              <w:t>建立VOCs监测监控体系</w:t>
            </w:r>
          </w:p>
        </w:tc>
        <w:tc>
          <w:tcPr>
            <w:tcW w:w="2437" w:type="pct"/>
            <w:shd w:val="clear" w:color="auto" w:fill="auto"/>
            <w:noWrap w:val="0"/>
            <w:vAlign w:val="center"/>
          </w:tcPr>
          <w:p>
            <w:pPr>
              <w:autoSpaceDE w:val="0"/>
              <w:autoSpaceDN w:val="0"/>
              <w:adjustRightInd w:val="0"/>
              <w:jc w:val="left"/>
              <w:rPr>
                <w:rFonts w:ascii="Times New Roman" w:hAnsi="Times New Roman"/>
                <w:szCs w:val="21"/>
              </w:rPr>
            </w:pPr>
            <w:r>
              <w:rPr>
                <w:rFonts w:ascii="Times New Roman" w:hAnsi="Times New Roman"/>
                <w:szCs w:val="21"/>
                <w:shd w:val="clear" w:color="auto" w:fill="FFFFFF"/>
              </w:rPr>
              <w:t>重点石油炼制与石油化学企业的有组织废气排放要逐步安装在线连续监测系统和厂界特征污染物环境监测设施，并与环境保护部门联网。</w:t>
            </w:r>
          </w:p>
        </w:tc>
        <w:tc>
          <w:tcPr>
            <w:tcW w:w="1649" w:type="pct"/>
            <w:shd w:val="clear" w:color="auto" w:fill="auto"/>
            <w:noWrap w:val="0"/>
            <w:vAlign w:val="center"/>
          </w:tcPr>
          <w:p>
            <w:pPr>
              <w:rPr>
                <w:rFonts w:hint="eastAsia" w:ascii="Times New Roman" w:hAnsi="Times New Roman"/>
                <w:szCs w:val="21"/>
              </w:rPr>
            </w:pPr>
            <w:r>
              <w:rPr>
                <w:rFonts w:hint="eastAsia"/>
                <w:szCs w:val="21"/>
              </w:rPr>
              <w:t>项目为千吨级中试项目，位于中原大化现有煤化工厂区内；</w:t>
            </w:r>
            <w:r>
              <w:rPr>
                <w:rFonts w:ascii="Times New Roman" w:hAnsi="Times New Roman"/>
                <w:szCs w:val="21"/>
              </w:rPr>
              <w:t>目前</w:t>
            </w:r>
            <w:r>
              <w:rPr>
                <w:rFonts w:hint="eastAsia"/>
                <w:szCs w:val="21"/>
              </w:rPr>
              <w:t>厂界已</w:t>
            </w:r>
            <w:r>
              <w:rPr>
                <w:rFonts w:ascii="Times New Roman" w:hAnsi="Times New Roman"/>
                <w:szCs w:val="28"/>
              </w:rPr>
              <w:t>设置</w:t>
            </w:r>
            <w:r>
              <w:rPr>
                <w:szCs w:val="28"/>
              </w:rPr>
              <w:t>2</w:t>
            </w:r>
            <w:r>
              <w:rPr>
                <w:rFonts w:ascii="Times New Roman" w:hAnsi="Times New Roman"/>
                <w:szCs w:val="28"/>
              </w:rPr>
              <w:t>套非甲烷总烃在线监控设施，</w:t>
            </w:r>
            <w:r>
              <w:rPr>
                <w:bCs/>
                <w:szCs w:val="21"/>
              </w:rPr>
              <w:t>并与环保部门联网</w:t>
            </w:r>
            <w:r>
              <w:rPr>
                <w:rFonts w:hint="eastAsia"/>
                <w:bCs/>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color w:val="auto"/>
                <w:szCs w:val="21"/>
                <w:shd w:val="clear" w:color="auto" w:fill="FFFFFF"/>
              </w:rPr>
              <w:t>大力推进清洁生产</w:t>
            </w:r>
          </w:p>
        </w:tc>
        <w:tc>
          <w:tcPr>
            <w:tcW w:w="2437" w:type="pct"/>
            <w:shd w:val="clear" w:color="auto" w:fill="auto"/>
            <w:noWrap w:val="0"/>
            <w:vAlign w:val="center"/>
          </w:tcPr>
          <w:p>
            <w:pPr>
              <w:autoSpaceDE w:val="0"/>
              <w:autoSpaceDN w:val="0"/>
              <w:adjustRightInd w:val="0"/>
              <w:jc w:val="left"/>
              <w:rPr>
                <w:rFonts w:ascii="Times New Roman" w:hAnsi="Times New Roman"/>
                <w:szCs w:val="21"/>
                <w:shd w:val="clear" w:color="auto" w:fill="FFFFFF"/>
              </w:rPr>
            </w:pPr>
            <w:r>
              <w:rPr>
                <w:rFonts w:ascii="Times New Roman" w:hAnsi="Times New Roman"/>
                <w:szCs w:val="21"/>
                <w:shd w:val="clear" w:color="auto" w:fill="FFFFFF"/>
              </w:rPr>
              <w:t>优先选用低挥发性原辅材料、先进密闭的生产工艺，加强生产、输送、进出料、干燥以及采样等易泄露环节的密闭性和安全性，加强无组织废气的收集和有效处理。</w:t>
            </w:r>
          </w:p>
        </w:tc>
        <w:tc>
          <w:tcPr>
            <w:tcW w:w="1649" w:type="pct"/>
            <w:shd w:val="clear" w:color="auto" w:fill="auto"/>
            <w:noWrap w:val="0"/>
            <w:vAlign w:val="center"/>
          </w:tcPr>
          <w:p>
            <w:pPr>
              <w:rPr>
                <w:rFonts w:ascii="Times New Roman" w:hAnsi="Times New Roman"/>
                <w:bCs/>
                <w:szCs w:val="21"/>
              </w:rPr>
            </w:pPr>
            <w:r>
              <w:rPr>
                <w:szCs w:val="21"/>
              </w:rPr>
              <w:t>项目生产所用设备均为密闭生产，以尽可能减少设备生产过程中的无组织排放量；项目液态物料均在密闭投料</w:t>
            </w:r>
            <w:r>
              <w:rPr>
                <w:rFonts w:hint="eastAsia"/>
                <w:szCs w:val="21"/>
              </w:rPr>
              <w:t>环境中</w:t>
            </w:r>
            <w:r>
              <w:rPr>
                <w:szCs w:val="21"/>
              </w:rPr>
              <w:t>进行投料，反应尾气、真空废气等废气均进行了收集处理；项目物料输送环节采用密闭管道输送，以减少输送环节的无组织散失</w:t>
            </w:r>
            <w:r>
              <w:rPr>
                <w:rFonts w:hint="eastAsia"/>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rFonts w:hint="eastAsia"/>
                <w:color w:val="auto"/>
                <w:shd w:val="clear" w:color="auto" w:fill="FFFFFF"/>
              </w:rPr>
              <w:t>重点行业VOCs污染治理总体要求</w:t>
            </w:r>
          </w:p>
        </w:tc>
        <w:tc>
          <w:tcPr>
            <w:tcW w:w="2437" w:type="pct"/>
            <w:shd w:val="clear" w:color="auto" w:fill="auto"/>
            <w:noWrap w:val="0"/>
            <w:vAlign w:val="center"/>
          </w:tcPr>
          <w:p>
            <w:pPr>
              <w:widowControl/>
              <w:shd w:val="clear" w:color="auto" w:fill="FFFFFF"/>
              <w:jc w:val="left"/>
              <w:rPr>
                <w:rFonts w:ascii="Times New Roman" w:hAnsi="Times New Roman"/>
                <w:kern w:val="0"/>
                <w:szCs w:val="21"/>
              </w:rPr>
            </w:pPr>
            <w:r>
              <w:rPr>
                <w:rFonts w:ascii="Times New Roman" w:hAnsi="Times New Roman"/>
                <w:kern w:val="0"/>
                <w:szCs w:val="21"/>
              </w:rPr>
              <w:t>（一）所有产生VOCs污染的企业均应采用密闭化的生产系统，封闭一切不必要的开口，尽可能采用环保型原辅料、生产工艺和装备，从源头控制VOCs废气的产生和无组织排放。</w:t>
            </w:r>
          </w:p>
          <w:p>
            <w:pPr>
              <w:pStyle w:val="19"/>
              <w:shd w:val="clear" w:color="auto" w:fill="FFFFFF"/>
              <w:spacing w:before="0" w:beforeAutospacing="0" w:after="0" w:afterAutospacing="0"/>
              <w:rPr>
                <w:rFonts w:ascii="Times New Roman" w:hAnsi="Times New Roman" w:cs="Times New Roman"/>
                <w:sz w:val="21"/>
                <w:szCs w:val="21"/>
              </w:rPr>
            </w:pPr>
            <w:r>
              <w:rPr>
                <w:rFonts w:ascii="Times New Roman" w:hAnsi="Times New Roman" w:cs="Times New Roman"/>
                <w:sz w:val="21"/>
                <w:szCs w:val="21"/>
              </w:rPr>
              <w:t>（二）鼓励回收利用VOCs废气，并优先在生产系统内回用。宜对浓度和性状差异大的废气分类收集，采用适宜的方式进行有效处理，确保VOCs总去除率满足管理要求。</w:t>
            </w:r>
          </w:p>
          <w:p>
            <w:pPr>
              <w:pStyle w:val="19"/>
              <w:shd w:val="clear" w:color="auto" w:fill="FFFFFF"/>
              <w:spacing w:before="0" w:beforeAutospacing="0" w:after="0" w:afterAutospacing="0"/>
              <w:rPr>
                <w:rFonts w:ascii="Times New Roman" w:hAnsi="Times New Roman" w:cs="Times New Roman"/>
                <w:sz w:val="21"/>
                <w:szCs w:val="21"/>
              </w:rPr>
            </w:pPr>
            <w:r>
              <w:rPr>
                <w:rFonts w:ascii="Times New Roman" w:hAnsi="Times New Roman" w:cs="Times New Roman"/>
                <w:sz w:val="21"/>
                <w:szCs w:val="21"/>
              </w:rPr>
              <w:t>（三）含高浓度挥发性有机物的母液和废水宜采用密闭管道收集，存在VOCs和恶臭污染的污水处理单元应予以封闭，废气经有效处理后达标排放。更换产生的废吸附剂应按照相关管理要求规范处置，防范二次污染。</w:t>
            </w:r>
          </w:p>
          <w:p>
            <w:pPr>
              <w:pStyle w:val="19"/>
              <w:shd w:val="clear" w:color="auto" w:fill="FFFFFF"/>
              <w:spacing w:before="0" w:beforeAutospacing="0" w:after="0" w:afterAutospacing="0"/>
              <w:rPr>
                <w:rFonts w:ascii="Times New Roman" w:hAnsi="Times New Roman" w:cs="Times New Roman"/>
                <w:sz w:val="21"/>
                <w:szCs w:val="21"/>
              </w:rPr>
            </w:pPr>
            <w:r>
              <w:rPr>
                <w:rFonts w:ascii="Times New Roman" w:hAnsi="Times New Roman" w:cs="Times New Roman"/>
                <w:sz w:val="21"/>
                <w:szCs w:val="21"/>
              </w:rPr>
              <w:t>（四）企业废气处理方案应明确确保处理装置长期有效运行的管理方案和监控方案</w:t>
            </w:r>
            <w:r>
              <w:rPr>
                <w:rFonts w:hint="eastAsia" w:ascii="Times New Roman" w:hAnsi="Times New Roman" w:cs="Times New Roman"/>
                <w:sz w:val="21"/>
                <w:szCs w:val="21"/>
              </w:rPr>
              <w:t>。</w:t>
            </w:r>
          </w:p>
          <w:p>
            <w:pPr>
              <w:pStyle w:val="19"/>
              <w:shd w:val="clear" w:color="auto" w:fill="FFFFFF"/>
              <w:spacing w:before="0" w:beforeAutospacing="0" w:after="0" w:afterAutospacing="0"/>
              <w:rPr>
                <w:rFonts w:ascii="Times New Roman" w:hAnsi="Times New Roman" w:cs="Times New Roman"/>
                <w:sz w:val="21"/>
                <w:szCs w:val="21"/>
              </w:rPr>
            </w:pPr>
            <w:r>
              <w:rPr>
                <w:rFonts w:ascii="Times New Roman" w:hAnsi="Times New Roman" w:cs="Times New Roman"/>
                <w:sz w:val="21"/>
                <w:szCs w:val="21"/>
              </w:rPr>
              <w:t>（五）企业在VOCs污染防治设施验收时应监测TVOCs净化效率，并记录在线连续检测装置或其他检测方法获取的TVOCs排放浓度，以作为设施日常稳定运行情况的考核依据。</w:t>
            </w:r>
          </w:p>
          <w:p>
            <w:pPr>
              <w:widowControl/>
              <w:shd w:val="clear" w:color="auto" w:fill="FFFFFF"/>
              <w:jc w:val="left"/>
              <w:rPr>
                <w:rFonts w:hint="eastAsia" w:ascii="Times New Roman" w:hAnsi="Times New Roman"/>
                <w:kern w:val="0"/>
                <w:szCs w:val="21"/>
              </w:rPr>
            </w:pPr>
            <w:r>
              <w:rPr>
                <w:rFonts w:ascii="Times New Roman" w:hAnsi="Times New Roman"/>
                <w:kern w:val="0"/>
                <w:szCs w:val="21"/>
              </w:rPr>
              <w:t>（六）需定期更换吸附剂、催化剂或吸收液的，应有详细的购买及更换台账，提供采购发票复印件，台账至少保存3年。</w:t>
            </w:r>
          </w:p>
        </w:tc>
        <w:tc>
          <w:tcPr>
            <w:tcW w:w="1649" w:type="pct"/>
            <w:shd w:val="clear" w:color="auto" w:fill="auto"/>
            <w:noWrap w:val="0"/>
            <w:vAlign w:val="center"/>
          </w:tcPr>
          <w:p>
            <w:pPr>
              <w:rPr>
                <w:szCs w:val="21"/>
              </w:rPr>
            </w:pPr>
            <w:r>
              <w:rPr>
                <w:szCs w:val="21"/>
              </w:rPr>
              <w:t>项目生产所用设备</w:t>
            </w:r>
            <w:r>
              <w:rPr>
                <w:rFonts w:hint="eastAsia"/>
                <w:szCs w:val="21"/>
              </w:rPr>
              <w:t>、</w:t>
            </w:r>
            <w:r>
              <w:rPr>
                <w:szCs w:val="21"/>
              </w:rPr>
              <w:t>输送环节采用密闭</w:t>
            </w:r>
            <w:r>
              <w:rPr>
                <w:rFonts w:hint="eastAsia"/>
                <w:szCs w:val="21"/>
              </w:rPr>
              <w:t>设施，</w:t>
            </w:r>
            <w:r>
              <w:rPr>
                <w:szCs w:val="21"/>
              </w:rPr>
              <w:t>减少无组织散失</w:t>
            </w:r>
            <w:r>
              <w:rPr>
                <w:rFonts w:hint="eastAsia"/>
                <w:szCs w:val="21"/>
              </w:rPr>
              <w:t>。</w:t>
            </w:r>
          </w:p>
          <w:p>
            <w:pPr>
              <w:pStyle w:val="36"/>
              <w:spacing w:line="240" w:lineRule="auto"/>
              <w:jc w:val="left"/>
              <w:rPr>
                <w:color w:val="auto"/>
                <w:szCs w:val="21"/>
              </w:rPr>
            </w:pPr>
            <w:r>
              <w:rPr>
                <w:color w:val="auto"/>
                <w:szCs w:val="21"/>
              </w:rPr>
              <w:t>项目氢气驰放气、闪蒸不凝气通过厂区现有火炬焚烧，真空泵尾气通过尾气洗涤塔</w:t>
            </w:r>
            <w:r>
              <w:rPr>
                <w:rFonts w:hint="eastAsia"/>
                <w:color w:val="auto"/>
                <w:szCs w:val="21"/>
              </w:rPr>
              <w:t>+活性炭吸附罐</w:t>
            </w:r>
            <w:r>
              <w:rPr>
                <w:color w:val="auto"/>
                <w:szCs w:val="21"/>
              </w:rPr>
              <w:t>处理。</w:t>
            </w:r>
          </w:p>
          <w:p>
            <w:pPr>
              <w:rPr>
                <w:rFonts w:ascii="Times New Roman" w:hAnsi="Times New Roman"/>
                <w:szCs w:val="21"/>
              </w:rPr>
            </w:pPr>
            <w:r>
              <w:rPr>
                <w:rFonts w:hint="eastAsia"/>
                <w:szCs w:val="21"/>
              </w:rPr>
              <w:t>项目废水经密闭管道送厂区现有污水处理站处理，该污水处理站要求全部</w:t>
            </w:r>
            <w:r>
              <w:rPr>
                <w:rFonts w:ascii="Times New Roman" w:hAnsi="Times New Roman"/>
                <w:szCs w:val="21"/>
              </w:rPr>
              <w:t>处理单元予以封闭</w:t>
            </w:r>
            <w:r>
              <w:rPr>
                <w:rFonts w:hint="eastAsia" w:ascii="Times New Roman" w:hAnsi="Times New Roman"/>
                <w:szCs w:val="21"/>
              </w:rPr>
              <w:t>，废气处理后达标排放。</w:t>
            </w:r>
          </w:p>
          <w:p>
            <w:pPr>
              <w:rPr>
                <w:rFonts w:hint="eastAsia" w:ascii="Times New Roman" w:hAnsi="Times New Roman"/>
                <w:szCs w:val="21"/>
              </w:rPr>
            </w:pPr>
            <w:r>
              <w:rPr>
                <w:rFonts w:ascii="Times New Roman" w:hAnsi="Times New Roman"/>
                <w:kern w:val="0"/>
                <w:szCs w:val="21"/>
              </w:rPr>
              <w:t>废气处理方案</w:t>
            </w:r>
            <w:r>
              <w:rPr>
                <w:rFonts w:hint="eastAsia" w:ascii="Times New Roman" w:hAnsi="Times New Roman"/>
                <w:kern w:val="0"/>
                <w:szCs w:val="21"/>
              </w:rPr>
              <w:t>、</w:t>
            </w:r>
            <w:r>
              <w:rPr>
                <w:rFonts w:ascii="Times New Roman" w:hAnsi="Times New Roman"/>
                <w:szCs w:val="21"/>
              </w:rPr>
              <w:t>VOCs污染防治设施验收</w:t>
            </w:r>
            <w:r>
              <w:rPr>
                <w:rFonts w:hint="eastAsia" w:ascii="Times New Roman" w:hAnsi="Times New Roman"/>
                <w:szCs w:val="21"/>
              </w:rPr>
              <w:t>及催化剂更换均要求按相关管理文件执行。</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8.1.9  《河南省2019年挥发性有机物治理专项方案》</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本项目符合《河南省2019年挥发性有机物治理专项方案》的相关要求，具体相符性分析见表8.1-8。</w:t>
      </w:r>
    </w:p>
    <w:p>
      <w:pPr>
        <w:spacing w:line="520" w:lineRule="exact"/>
        <w:ind w:firstLine="560" w:firstLineChars="200"/>
        <w:rPr>
          <w:rFonts w:ascii="Times New Roman" w:hAnsi="Times New Roman"/>
          <w:sz w:val="28"/>
          <w:szCs w:val="28"/>
        </w:rPr>
      </w:pPr>
    </w:p>
    <w:p>
      <w:pPr>
        <w:spacing w:line="520" w:lineRule="exact"/>
        <w:ind w:firstLine="560" w:firstLineChars="200"/>
        <w:rPr>
          <w:rFonts w:hint="eastAsia" w:ascii="Times New Roman" w:hAnsi="Times New Roman"/>
          <w:sz w:val="28"/>
          <w:szCs w:val="28"/>
        </w:rPr>
      </w:pPr>
    </w:p>
    <w:p>
      <w:pPr>
        <w:pStyle w:val="32"/>
      </w:pPr>
      <w:r>
        <w:t>表8.1-8   本项目与《河南省2019年挥发性有机物治理专项方案》相符性分析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737"/>
        <w:gridCol w:w="4536"/>
        <w:gridCol w:w="2973"/>
        <w:gridCol w:w="7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blHeader/>
        </w:trPr>
        <w:tc>
          <w:tcPr>
            <w:tcW w:w="409" w:type="pct"/>
            <w:shd w:val="clear" w:color="auto" w:fill="auto"/>
            <w:noWrap w:val="0"/>
            <w:vAlign w:val="center"/>
          </w:tcPr>
          <w:p>
            <w:pPr>
              <w:pStyle w:val="36"/>
              <w:spacing w:line="240" w:lineRule="auto"/>
              <w:rPr>
                <w:b/>
                <w:color w:val="auto"/>
                <w:szCs w:val="21"/>
              </w:rPr>
            </w:pPr>
            <w:r>
              <w:rPr>
                <w:b/>
                <w:color w:val="auto"/>
                <w:szCs w:val="21"/>
              </w:rPr>
              <w:t>类别</w:t>
            </w:r>
          </w:p>
        </w:tc>
        <w:tc>
          <w:tcPr>
            <w:tcW w:w="2516" w:type="pct"/>
            <w:shd w:val="clear" w:color="auto" w:fill="auto"/>
            <w:noWrap w:val="0"/>
            <w:vAlign w:val="center"/>
          </w:tcPr>
          <w:p>
            <w:pPr>
              <w:pStyle w:val="36"/>
              <w:spacing w:line="240" w:lineRule="auto"/>
              <w:rPr>
                <w:b/>
                <w:color w:val="auto"/>
                <w:szCs w:val="21"/>
              </w:rPr>
            </w:pPr>
            <w:r>
              <w:rPr>
                <w:b/>
                <w:color w:val="auto"/>
                <w:szCs w:val="21"/>
              </w:rPr>
              <w:t>实施意见要求</w:t>
            </w:r>
          </w:p>
        </w:tc>
        <w:tc>
          <w:tcPr>
            <w:tcW w:w="1649"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09" w:type="pct"/>
            <w:vMerge w:val="restart"/>
            <w:shd w:val="clear" w:color="auto" w:fill="auto"/>
            <w:noWrap w:val="0"/>
            <w:vAlign w:val="center"/>
          </w:tcPr>
          <w:p>
            <w:pPr>
              <w:pStyle w:val="36"/>
              <w:spacing w:line="240" w:lineRule="auto"/>
              <w:jc w:val="left"/>
              <w:rPr>
                <w:color w:val="auto"/>
                <w:kern w:val="0"/>
                <w:szCs w:val="21"/>
              </w:rPr>
            </w:pPr>
            <w:r>
              <w:rPr>
                <w:color w:val="auto"/>
                <w:szCs w:val="21"/>
              </w:rPr>
              <w:t>推进化工、医药行业综合治理</w:t>
            </w:r>
          </w:p>
        </w:tc>
        <w:tc>
          <w:tcPr>
            <w:tcW w:w="251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rPr>
              <w:t>强化源头控制，严格过程管理，推广采用先进的干燥、固液分离及真空设备，以连续、自动、密闭生产工艺替代间歇式、敞开式生产工艺，并采取停工退料等措施，加强非正常工况的过程控制。</w:t>
            </w:r>
          </w:p>
        </w:tc>
        <w:tc>
          <w:tcPr>
            <w:tcW w:w="1649" w:type="pct"/>
            <w:shd w:val="clear" w:color="auto" w:fill="auto"/>
            <w:noWrap w:val="0"/>
            <w:vAlign w:val="center"/>
          </w:tcPr>
          <w:p>
            <w:pPr>
              <w:pStyle w:val="36"/>
              <w:spacing w:line="240" w:lineRule="auto"/>
              <w:jc w:val="left"/>
              <w:rPr>
                <w:color w:val="auto"/>
                <w:szCs w:val="21"/>
              </w:rPr>
            </w:pPr>
            <w:r>
              <w:rPr>
                <w:color w:val="auto"/>
                <w:szCs w:val="21"/>
              </w:rPr>
              <w:t>项目为生物质法生产乙二醇中试项目，项目设备均密闭生产，且采用先进的DCS自动控制系统，</w:t>
            </w:r>
            <w:r>
              <w:rPr>
                <w:rFonts w:hint="eastAsia"/>
                <w:color w:val="auto"/>
                <w:szCs w:val="21"/>
              </w:rPr>
              <w:t>严格控制过程。</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09" w:type="pct"/>
            <w:vMerge w:val="continue"/>
            <w:shd w:val="clear" w:color="auto" w:fill="auto"/>
            <w:noWrap w:val="0"/>
            <w:vAlign w:val="center"/>
          </w:tcPr>
          <w:p>
            <w:pPr>
              <w:pStyle w:val="36"/>
              <w:spacing w:line="240" w:lineRule="auto"/>
              <w:rPr>
                <w:color w:val="auto"/>
                <w:kern w:val="0"/>
                <w:szCs w:val="21"/>
              </w:rPr>
            </w:pPr>
          </w:p>
        </w:tc>
        <w:tc>
          <w:tcPr>
            <w:tcW w:w="251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rPr>
              <w:t>深化末端治理，在涉及VOCs排放环节安装集气罩或密闭式负压收集装置，采取回收或焚烧等方式进行治理。</w:t>
            </w:r>
          </w:p>
        </w:tc>
        <w:tc>
          <w:tcPr>
            <w:tcW w:w="1649" w:type="pct"/>
            <w:shd w:val="clear" w:color="auto" w:fill="auto"/>
            <w:noWrap w:val="0"/>
            <w:vAlign w:val="center"/>
          </w:tcPr>
          <w:p>
            <w:pPr>
              <w:pStyle w:val="36"/>
              <w:spacing w:line="240" w:lineRule="auto"/>
              <w:jc w:val="left"/>
              <w:rPr>
                <w:color w:val="auto"/>
                <w:szCs w:val="21"/>
              </w:rPr>
            </w:pPr>
            <w:r>
              <w:rPr>
                <w:color w:val="auto"/>
                <w:szCs w:val="21"/>
              </w:rPr>
              <w:t>项目氢气驰放气、闪蒸不凝气</w:t>
            </w:r>
            <w:r>
              <w:rPr>
                <w:rFonts w:hint="eastAsia"/>
                <w:color w:val="auto"/>
                <w:szCs w:val="21"/>
              </w:rPr>
              <w:t>及事故安全阀泻放气</w:t>
            </w:r>
            <w:r>
              <w:rPr>
                <w:color w:val="auto"/>
                <w:szCs w:val="21"/>
              </w:rPr>
              <w:t>通过厂区现有火炬焚烧，真空泵尾气通过尾气洗涤塔</w:t>
            </w:r>
            <w:r>
              <w:rPr>
                <w:rFonts w:hint="eastAsia"/>
                <w:color w:val="auto"/>
                <w:szCs w:val="21"/>
              </w:rPr>
              <w:t>+活性炭吸附罐</w:t>
            </w:r>
            <w:r>
              <w:rPr>
                <w:color w:val="auto"/>
                <w:szCs w:val="21"/>
              </w:rPr>
              <w:t>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09" w:type="pct"/>
            <w:vMerge w:val="continue"/>
            <w:shd w:val="clear" w:color="auto" w:fill="auto"/>
            <w:noWrap w:val="0"/>
            <w:vAlign w:val="center"/>
          </w:tcPr>
          <w:p>
            <w:pPr>
              <w:pStyle w:val="36"/>
              <w:spacing w:line="240" w:lineRule="auto"/>
              <w:rPr>
                <w:color w:val="auto"/>
                <w:kern w:val="0"/>
                <w:szCs w:val="21"/>
              </w:rPr>
            </w:pPr>
          </w:p>
        </w:tc>
        <w:tc>
          <w:tcPr>
            <w:tcW w:w="251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rPr>
              <w:t>参照石化行业VOCs治理要求，全面推进化工企业设备动静密封点、储存、装卸、废水系统、有组织工艺废气和非正常工况等源项整治。</w:t>
            </w:r>
          </w:p>
        </w:tc>
        <w:tc>
          <w:tcPr>
            <w:tcW w:w="1649" w:type="pct"/>
            <w:shd w:val="clear" w:color="auto" w:fill="auto"/>
            <w:noWrap w:val="0"/>
            <w:vAlign w:val="center"/>
          </w:tcPr>
          <w:p>
            <w:pPr>
              <w:pStyle w:val="36"/>
              <w:spacing w:line="240" w:lineRule="auto"/>
              <w:jc w:val="left"/>
              <w:rPr>
                <w:color w:val="auto"/>
                <w:szCs w:val="21"/>
              </w:rPr>
            </w:pPr>
            <w:r>
              <w:rPr>
                <w:color w:val="auto"/>
                <w:szCs w:val="21"/>
              </w:rPr>
              <w:t>项目生产过程全密闭、自动化，可有效减少工艺过程无组织排放</w:t>
            </w:r>
            <w:r>
              <w:rPr>
                <w:rFonts w:hint="eastAsia"/>
                <w:color w:val="auto"/>
                <w:szCs w:val="21"/>
              </w:rPr>
              <w:t>；同时项目氢气驰放气、闪蒸不凝气和事故安全阀泻放气均通过厂区现有火炬焚烧，真空泵尾气通过尾气洗涤塔+活性炭吸附罐处理，可有效降低</w:t>
            </w:r>
            <w:r>
              <w:rPr>
                <w:color w:val="auto"/>
              </w:rPr>
              <w:t>VOCs</w:t>
            </w:r>
            <w:r>
              <w:rPr>
                <w:rFonts w:hint="eastAsia"/>
                <w:color w:val="auto"/>
              </w:rPr>
              <w:t>排放量。</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09" w:type="pct"/>
            <w:vMerge w:val="continue"/>
            <w:shd w:val="clear" w:color="auto" w:fill="auto"/>
            <w:noWrap w:val="0"/>
            <w:vAlign w:val="center"/>
          </w:tcPr>
          <w:p>
            <w:pPr>
              <w:pStyle w:val="36"/>
              <w:spacing w:line="240" w:lineRule="auto"/>
              <w:rPr>
                <w:color w:val="auto"/>
                <w:kern w:val="0"/>
                <w:szCs w:val="21"/>
              </w:rPr>
            </w:pPr>
          </w:p>
        </w:tc>
        <w:tc>
          <w:tcPr>
            <w:tcW w:w="251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szCs w:val="21"/>
              </w:rPr>
              <w:t>现代煤化工行业全面实施LDAR（泄漏检测与修复）治理，制药、农药、炼焦、涂料、油墨、胶粘剂、染料等行业逐步推广LDAR（泄漏检测与修复）治理工作。</w:t>
            </w:r>
          </w:p>
        </w:tc>
        <w:tc>
          <w:tcPr>
            <w:tcW w:w="1649" w:type="pct"/>
            <w:shd w:val="clear" w:color="auto" w:fill="auto"/>
            <w:noWrap w:val="0"/>
            <w:vAlign w:val="center"/>
          </w:tcPr>
          <w:p>
            <w:pPr>
              <w:rPr>
                <w:rFonts w:ascii="Times New Roman" w:hAnsi="Times New Roman"/>
                <w:szCs w:val="21"/>
              </w:rPr>
            </w:pPr>
            <w:r>
              <w:rPr>
                <w:rFonts w:ascii="Times New Roman" w:hAnsi="Times New Roman"/>
                <w:szCs w:val="21"/>
              </w:rPr>
              <w:t>要求项目建立“泄漏检测与修复”管理体系</w:t>
            </w:r>
            <w:r>
              <w:rPr>
                <w:rFonts w:hint="eastAsia"/>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09" w:type="pct"/>
            <w:vMerge w:val="continue"/>
            <w:shd w:val="clear" w:color="auto" w:fill="auto"/>
            <w:noWrap w:val="0"/>
            <w:vAlign w:val="center"/>
          </w:tcPr>
          <w:p>
            <w:pPr>
              <w:pStyle w:val="36"/>
              <w:spacing w:line="240" w:lineRule="auto"/>
              <w:rPr>
                <w:color w:val="auto"/>
                <w:kern w:val="0"/>
                <w:szCs w:val="21"/>
              </w:rPr>
            </w:pPr>
          </w:p>
        </w:tc>
        <w:tc>
          <w:tcPr>
            <w:tcW w:w="2516" w:type="pct"/>
            <w:shd w:val="clear" w:color="auto" w:fill="auto"/>
            <w:noWrap w:val="0"/>
            <w:vAlign w:val="center"/>
          </w:tcPr>
          <w:p>
            <w:pPr>
              <w:autoSpaceDE w:val="0"/>
              <w:autoSpaceDN w:val="0"/>
              <w:adjustRightInd w:val="0"/>
              <w:jc w:val="left"/>
              <w:rPr>
                <w:rFonts w:ascii="Times New Roman" w:hAnsi="Times New Roman"/>
                <w:szCs w:val="21"/>
              </w:rPr>
            </w:pPr>
            <w:r>
              <w:rPr>
                <w:rFonts w:ascii="Times New Roman" w:hAnsi="Times New Roman"/>
                <w:szCs w:val="21"/>
              </w:rPr>
              <w:t>反应尾气、蒸馏装置不凝尾气等工艺排气，工艺容器的置换气、吹扫气、抽真空排气等应进行收集治理，低浓度有机废气或恶臭气体采用低温等离子体技术、UV光催化氧化技术、活性炭吸附技术等两种或两种以上组合工艺，禁止使用单一吸附、催化氧化等处理技术。</w:t>
            </w:r>
          </w:p>
        </w:tc>
        <w:tc>
          <w:tcPr>
            <w:tcW w:w="1649" w:type="pct"/>
            <w:shd w:val="clear" w:color="auto" w:fill="auto"/>
            <w:noWrap w:val="0"/>
            <w:vAlign w:val="center"/>
          </w:tcPr>
          <w:p>
            <w:pPr>
              <w:rPr>
                <w:rFonts w:ascii="Times New Roman" w:hAnsi="Times New Roman"/>
                <w:szCs w:val="21"/>
              </w:rPr>
            </w:pPr>
            <w:r>
              <w:rPr>
                <w:rFonts w:ascii="Times New Roman" w:hAnsi="Times New Roman"/>
                <w:szCs w:val="21"/>
              </w:rPr>
              <w:t>项目氢气驰放气、闪蒸不凝气通过厂区现有火炬焚烧，真空泵尾气通过尾气洗涤塔</w:t>
            </w:r>
            <w:r>
              <w:rPr>
                <w:rFonts w:hint="eastAsia" w:ascii="Times New Roman" w:hAnsi="Times New Roman"/>
                <w:szCs w:val="21"/>
              </w:rPr>
              <w:t>+活性炭吸附罐</w:t>
            </w:r>
            <w:r>
              <w:rPr>
                <w:rFonts w:ascii="Times New Roman" w:hAnsi="Times New Roman"/>
                <w:szCs w:val="21"/>
              </w:rPr>
              <w:t>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8.1.10</w:t>
      </w:r>
      <w:r>
        <w:rPr>
          <w:rFonts w:hint="eastAsia" w:ascii="Times New Roman" w:hAnsi="Times New Roman" w:eastAsia="楷体_GB2312"/>
          <w:sz w:val="28"/>
          <w:szCs w:val="28"/>
          <w:lang w:val="en-US" w:eastAsia="zh-CN"/>
        </w:rPr>
        <w:t xml:space="preserve"> </w:t>
      </w:r>
      <w:r>
        <w:rPr>
          <w:rFonts w:ascii="Times New Roman" w:hAnsi="Times New Roman" w:eastAsia="楷体_GB2312"/>
          <w:sz w:val="28"/>
          <w:szCs w:val="28"/>
          <w:lang w:val="en-US" w:eastAsia="zh-CN"/>
        </w:rPr>
        <w:t xml:space="preserve"> 《挥发性有机物无组织排放污染控制标准》（GB37822-2019）</w:t>
      </w:r>
    </w:p>
    <w:p>
      <w:pPr>
        <w:pStyle w:val="69"/>
        <w:ind w:firstLine="560"/>
        <w:rPr>
          <w:rFonts w:hint="eastAsia" w:cs="Times New Roman"/>
          <w:szCs w:val="28"/>
        </w:rPr>
      </w:pPr>
      <w:r>
        <w:rPr>
          <w:rFonts w:hint="eastAsia" w:cs="Times New Roman"/>
          <w:szCs w:val="28"/>
        </w:rPr>
        <w:t>本项目与</w:t>
      </w:r>
      <w:r>
        <w:rPr>
          <w:rFonts w:cs="Times New Roman"/>
          <w:szCs w:val="28"/>
        </w:rPr>
        <w:t>《挥发性有机物无组织排放污染控制标准》（GB37822-2019）相符性见表</w:t>
      </w:r>
      <w:r>
        <w:rPr>
          <w:szCs w:val="28"/>
        </w:rPr>
        <w:t>表8.1-9</w:t>
      </w:r>
      <w:r>
        <w:rPr>
          <w:rFonts w:cs="Times New Roman"/>
          <w:szCs w:val="28"/>
        </w:rPr>
        <w:t>，可见，本项目建设与《挥发性有机物无组织排放污染控制标准》（GB37822-2019）相符。</w:t>
      </w:r>
    </w:p>
    <w:p>
      <w:pPr>
        <w:pStyle w:val="69"/>
        <w:ind w:firstLine="560"/>
        <w:rPr>
          <w:rFonts w:hint="eastAsia" w:cs="Times New Roman"/>
          <w:szCs w:val="28"/>
        </w:rPr>
      </w:pPr>
    </w:p>
    <w:p>
      <w:pPr>
        <w:pStyle w:val="69"/>
        <w:ind w:firstLine="560"/>
        <w:rPr>
          <w:rFonts w:hint="eastAsia" w:cs="Times New Roman"/>
          <w:szCs w:val="28"/>
        </w:rPr>
      </w:pPr>
    </w:p>
    <w:p>
      <w:pPr>
        <w:pStyle w:val="69"/>
        <w:ind w:firstLine="560"/>
        <w:rPr>
          <w:rFonts w:hint="eastAsia" w:cs="Times New Roman"/>
          <w:szCs w:val="28"/>
        </w:rPr>
      </w:pPr>
    </w:p>
    <w:p>
      <w:pPr>
        <w:pStyle w:val="69"/>
        <w:ind w:firstLine="560"/>
        <w:rPr>
          <w:rFonts w:hint="eastAsia" w:cs="Times New Roman"/>
          <w:szCs w:val="28"/>
        </w:rPr>
      </w:pPr>
    </w:p>
    <w:p>
      <w:pPr>
        <w:pStyle w:val="69"/>
        <w:ind w:firstLine="560"/>
        <w:rPr>
          <w:rFonts w:hint="eastAsia" w:cs="Times New Roman"/>
          <w:szCs w:val="28"/>
        </w:rPr>
      </w:pPr>
    </w:p>
    <w:p>
      <w:pPr>
        <w:pStyle w:val="69"/>
        <w:ind w:firstLine="560"/>
        <w:rPr>
          <w:rFonts w:hint="eastAsia" w:cs="Times New Roman"/>
          <w:szCs w:val="28"/>
        </w:rPr>
      </w:pPr>
    </w:p>
    <w:p>
      <w:pPr>
        <w:pStyle w:val="69"/>
        <w:ind w:firstLine="560"/>
        <w:rPr>
          <w:rFonts w:hint="eastAsia" w:cs="Times New Roman"/>
          <w:szCs w:val="28"/>
        </w:rPr>
      </w:pPr>
    </w:p>
    <w:p>
      <w:pPr>
        <w:pStyle w:val="32"/>
      </w:pPr>
      <w:r>
        <w:t>表8.1-9    与《挥发性有机物无组织排放污染控制标准》相符性分析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880"/>
        <w:gridCol w:w="849"/>
        <w:gridCol w:w="3544"/>
        <w:gridCol w:w="2973"/>
        <w:gridCol w:w="7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blHeader/>
        </w:trPr>
        <w:tc>
          <w:tcPr>
            <w:tcW w:w="488" w:type="pct"/>
            <w:shd w:val="clear" w:color="auto" w:fill="auto"/>
            <w:noWrap w:val="0"/>
            <w:vAlign w:val="center"/>
          </w:tcPr>
          <w:p>
            <w:pPr>
              <w:pStyle w:val="36"/>
              <w:spacing w:line="240" w:lineRule="auto"/>
              <w:rPr>
                <w:b/>
                <w:color w:val="auto"/>
                <w:szCs w:val="21"/>
              </w:rPr>
            </w:pPr>
            <w:r>
              <w:rPr>
                <w:b/>
                <w:color w:val="auto"/>
                <w:szCs w:val="21"/>
              </w:rPr>
              <w:t>类别</w:t>
            </w:r>
          </w:p>
        </w:tc>
        <w:tc>
          <w:tcPr>
            <w:tcW w:w="2437" w:type="pct"/>
            <w:gridSpan w:val="2"/>
            <w:shd w:val="clear" w:color="auto" w:fill="auto"/>
            <w:noWrap w:val="0"/>
            <w:vAlign w:val="center"/>
          </w:tcPr>
          <w:p>
            <w:pPr>
              <w:pStyle w:val="36"/>
              <w:spacing w:line="240" w:lineRule="auto"/>
              <w:rPr>
                <w:b/>
                <w:color w:val="auto"/>
                <w:szCs w:val="21"/>
              </w:rPr>
            </w:pPr>
            <w:r>
              <w:rPr>
                <w:b/>
                <w:color w:val="auto"/>
                <w:szCs w:val="21"/>
              </w:rPr>
              <w:t>实施意见要求</w:t>
            </w:r>
          </w:p>
        </w:tc>
        <w:tc>
          <w:tcPr>
            <w:tcW w:w="1649"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185" w:hRule="atLeast"/>
        </w:trPr>
        <w:tc>
          <w:tcPr>
            <w:tcW w:w="488" w:type="pct"/>
            <w:shd w:val="clear" w:color="auto" w:fill="auto"/>
            <w:noWrap w:val="0"/>
            <w:vAlign w:val="center"/>
          </w:tcPr>
          <w:p>
            <w:pPr>
              <w:pStyle w:val="36"/>
              <w:spacing w:line="240" w:lineRule="auto"/>
              <w:rPr>
                <w:color w:val="auto"/>
                <w:kern w:val="0"/>
                <w:szCs w:val="21"/>
              </w:rPr>
            </w:pPr>
            <w:r>
              <w:rPr>
                <w:color w:val="auto"/>
                <w:kern w:val="0"/>
                <w:szCs w:val="21"/>
              </w:rPr>
              <w:t>挥发性有机液体储罐</w:t>
            </w:r>
          </w:p>
        </w:tc>
        <w:tc>
          <w:tcPr>
            <w:tcW w:w="2437" w:type="pct"/>
            <w:gridSpan w:val="2"/>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VOCs物料储罐应密封良好，其中挥发性有机液体储罐应符合挥发性有机液体储罐规定。</w:t>
            </w:r>
          </w:p>
          <w:p>
            <w:pPr>
              <w:autoSpaceDE w:val="0"/>
              <w:autoSpaceDN w:val="0"/>
              <w:adjustRightInd w:val="0"/>
              <w:jc w:val="left"/>
              <w:rPr>
                <w:rFonts w:ascii="Times New Roman" w:hAnsi="Times New Roman"/>
                <w:kern w:val="0"/>
                <w:szCs w:val="21"/>
              </w:rPr>
            </w:pPr>
            <w:r>
              <w:rPr>
                <w:rFonts w:ascii="Times New Roman" w:hAnsi="Times New Roman"/>
                <w:kern w:val="0"/>
                <w:szCs w:val="21"/>
              </w:rPr>
              <w:t>（1）储存真实蒸气压≥76.6kPa且储罐容积≥75m</w:t>
            </w:r>
            <w:r>
              <w:rPr>
                <w:rFonts w:ascii="Times New Roman" w:hAnsi="Times New Roman"/>
                <w:kern w:val="0"/>
                <w:szCs w:val="21"/>
                <w:vertAlign w:val="superscript"/>
              </w:rPr>
              <w:t>3</w:t>
            </w:r>
            <w:r>
              <w:rPr>
                <w:rFonts w:ascii="Times New Roman" w:hAnsi="Times New Roman"/>
                <w:kern w:val="0"/>
                <w:szCs w:val="21"/>
              </w:rPr>
              <w:t>的挥发性有机液体储罐，应采用低压罐、压力罐或其他等效措施。</w:t>
            </w:r>
          </w:p>
          <w:p>
            <w:pPr>
              <w:autoSpaceDE w:val="0"/>
              <w:autoSpaceDN w:val="0"/>
              <w:adjustRightInd w:val="0"/>
              <w:jc w:val="left"/>
              <w:rPr>
                <w:rFonts w:ascii="Times New Roman" w:hAnsi="Times New Roman"/>
                <w:kern w:val="0"/>
                <w:szCs w:val="21"/>
              </w:rPr>
            </w:pPr>
            <w:r>
              <w:rPr>
                <w:rFonts w:ascii="Times New Roman" w:hAnsi="Times New Roman"/>
                <w:kern w:val="0"/>
                <w:szCs w:val="21"/>
              </w:rPr>
              <w:t>（2）储存真实蒸气压≥27.6kPa但＜76.6kPa且储罐容积≥75m</w:t>
            </w:r>
            <w:r>
              <w:rPr>
                <w:rFonts w:ascii="Times New Roman" w:hAnsi="Times New Roman"/>
                <w:kern w:val="0"/>
                <w:szCs w:val="21"/>
                <w:vertAlign w:val="superscript"/>
              </w:rPr>
              <w:t>3</w:t>
            </w:r>
            <w:r>
              <w:rPr>
                <w:rFonts w:ascii="Times New Roman" w:hAnsi="Times New Roman"/>
                <w:kern w:val="0"/>
                <w:szCs w:val="21"/>
              </w:rPr>
              <w:t>的挥发性有机液体储罐，应符合下列规定之一：</w:t>
            </w:r>
          </w:p>
          <w:p>
            <w:pPr>
              <w:autoSpaceDE w:val="0"/>
              <w:autoSpaceDN w:val="0"/>
              <w:adjustRightInd w:val="0"/>
              <w:jc w:val="left"/>
              <w:rPr>
                <w:rFonts w:ascii="Times New Roman" w:hAnsi="Times New Roman"/>
                <w:kern w:val="0"/>
                <w:szCs w:val="21"/>
              </w:rPr>
            </w:pPr>
            <w:r>
              <w:rPr>
                <w:rFonts w:ascii="Times New Roman" w:hAnsi="Times New Roman"/>
                <w:kern w:val="0"/>
                <w:szCs w:val="21"/>
              </w:rPr>
              <w:t>a）采用浮顶罐。对于内浮顶罐，浮顶与罐壁之间应采用浸液式密封、机械式鞋形密封等高效密封方式；对于外浮顶罐，浮顶与罐壁之间应采用双重密封，且一次密封应采用浸液式密封、机械式鞋形密封等高效密封方式。</w:t>
            </w:r>
          </w:p>
          <w:p>
            <w:pPr>
              <w:autoSpaceDE w:val="0"/>
              <w:autoSpaceDN w:val="0"/>
              <w:adjustRightInd w:val="0"/>
              <w:jc w:val="left"/>
              <w:rPr>
                <w:rFonts w:ascii="Times New Roman" w:hAnsi="Times New Roman"/>
                <w:kern w:val="0"/>
                <w:szCs w:val="21"/>
              </w:rPr>
            </w:pPr>
            <w:r>
              <w:rPr>
                <w:rFonts w:ascii="Times New Roman" w:hAnsi="Times New Roman"/>
                <w:kern w:val="0"/>
                <w:szCs w:val="21"/>
              </w:rPr>
              <w:t>b）采用固定顶罐，排放的废气应收集处理并满足相关行业排放标准的要求（无行业排放标准的应满足GB 16297 的要求），或者处理效率不低于80%。</w:t>
            </w:r>
          </w:p>
          <w:p>
            <w:pPr>
              <w:autoSpaceDE w:val="0"/>
              <w:autoSpaceDN w:val="0"/>
              <w:adjustRightInd w:val="0"/>
              <w:jc w:val="left"/>
              <w:rPr>
                <w:rFonts w:ascii="Times New Roman" w:hAnsi="Times New Roman"/>
                <w:kern w:val="0"/>
                <w:szCs w:val="21"/>
              </w:rPr>
            </w:pPr>
            <w:r>
              <w:rPr>
                <w:rFonts w:ascii="Times New Roman" w:hAnsi="Times New Roman"/>
                <w:kern w:val="0"/>
                <w:szCs w:val="21"/>
              </w:rPr>
              <w:t>c）采用气相平衡系统。</w:t>
            </w:r>
          </w:p>
          <w:p>
            <w:pPr>
              <w:autoSpaceDE w:val="0"/>
              <w:autoSpaceDN w:val="0"/>
              <w:adjustRightInd w:val="0"/>
              <w:jc w:val="left"/>
              <w:rPr>
                <w:rFonts w:ascii="Times New Roman" w:hAnsi="Times New Roman"/>
                <w:kern w:val="0"/>
                <w:szCs w:val="21"/>
              </w:rPr>
            </w:pPr>
            <w:r>
              <w:rPr>
                <w:rFonts w:ascii="Times New Roman" w:hAnsi="Times New Roman"/>
                <w:kern w:val="0"/>
                <w:szCs w:val="21"/>
              </w:rPr>
              <w:t>d）采取其他等效措施。</w:t>
            </w:r>
          </w:p>
        </w:tc>
        <w:tc>
          <w:tcPr>
            <w:tcW w:w="1649" w:type="pct"/>
            <w:shd w:val="clear" w:color="auto" w:fill="auto"/>
            <w:noWrap w:val="0"/>
            <w:vAlign w:val="center"/>
          </w:tcPr>
          <w:p>
            <w:pPr>
              <w:pStyle w:val="36"/>
              <w:spacing w:line="240" w:lineRule="auto"/>
              <w:jc w:val="left"/>
              <w:rPr>
                <w:rFonts w:hint="eastAsia"/>
                <w:color w:val="auto"/>
                <w:szCs w:val="21"/>
              </w:rPr>
            </w:pPr>
            <w:r>
              <w:rPr>
                <w:color w:val="auto"/>
                <w:szCs w:val="21"/>
              </w:rPr>
              <w:t>项目</w:t>
            </w:r>
            <w:r>
              <w:rPr>
                <w:rFonts w:hint="eastAsia"/>
                <w:color w:val="auto"/>
                <w:szCs w:val="21"/>
              </w:rPr>
              <w:t>物料量较小，涉及储罐主要是粗乙二醇罐和乙二醇罐，</w:t>
            </w:r>
            <w:r>
              <w:rPr>
                <w:color w:val="auto"/>
                <w:szCs w:val="21"/>
              </w:rPr>
              <w:t>乙二醇物质</w:t>
            </w:r>
            <w:r>
              <w:rPr>
                <w:color w:val="auto"/>
                <w:szCs w:val="21"/>
                <w:shd w:val="clear" w:color="auto" w:fill="FFFFFF"/>
              </w:rPr>
              <w:t>饱和蒸气压6.21kpa，且储罐容积≤14m</w:t>
            </w:r>
            <w:r>
              <w:rPr>
                <w:color w:val="auto"/>
                <w:szCs w:val="21"/>
                <w:shd w:val="clear" w:color="auto" w:fill="FFFFFF"/>
                <w:vertAlign w:val="superscript"/>
              </w:rPr>
              <w:t>3</w:t>
            </w:r>
            <w:r>
              <w:rPr>
                <w:color w:val="auto"/>
                <w:szCs w:val="21"/>
                <w:shd w:val="clear" w:color="auto" w:fill="FFFFFF"/>
              </w:rPr>
              <w:t>，物质挥发性较小，储罐为立式椭圆封头固定顶储罐</w:t>
            </w:r>
            <w:r>
              <w:rPr>
                <w:color w:val="auto"/>
                <w:sz w:val="28"/>
                <w:szCs w:val="28"/>
                <w:shd w:val="clear" w:color="auto" w:fill="FFFFFF"/>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pStyle w:val="36"/>
              <w:spacing w:line="240" w:lineRule="auto"/>
              <w:jc w:val="left"/>
              <w:rPr>
                <w:color w:val="auto"/>
                <w:kern w:val="0"/>
                <w:szCs w:val="21"/>
              </w:rPr>
            </w:pPr>
            <w:r>
              <w:rPr>
                <w:color w:val="auto"/>
                <w:kern w:val="0"/>
                <w:szCs w:val="21"/>
              </w:rPr>
              <w:t>物料转移和输送无组织排放控制要求</w:t>
            </w:r>
          </w:p>
        </w:tc>
        <w:tc>
          <w:tcPr>
            <w:tcW w:w="2437" w:type="pct"/>
            <w:gridSpan w:val="2"/>
            <w:shd w:val="clear" w:color="auto" w:fill="auto"/>
            <w:noWrap w:val="0"/>
            <w:vAlign w:val="center"/>
          </w:tcPr>
          <w:p>
            <w:pPr>
              <w:autoSpaceDE w:val="0"/>
              <w:autoSpaceDN w:val="0"/>
              <w:adjustRightInd w:val="0"/>
              <w:jc w:val="left"/>
              <w:rPr>
                <w:rFonts w:hint="eastAsia" w:ascii="Times New Roman" w:hAnsi="Times New Roman"/>
                <w:kern w:val="0"/>
                <w:szCs w:val="21"/>
              </w:rPr>
            </w:pPr>
            <w:r>
              <w:rPr>
                <w:rFonts w:ascii="Times New Roman" w:hAnsi="Times New Roman"/>
                <w:kern w:val="0"/>
                <w:szCs w:val="21"/>
              </w:rPr>
              <w:t>液态VOCs物料应采用密闭管道输送。采用非管道输送方式转移液态VOCs物料时，应采用密闭容器、罐车。</w:t>
            </w:r>
          </w:p>
        </w:tc>
        <w:tc>
          <w:tcPr>
            <w:tcW w:w="1649" w:type="pct"/>
            <w:shd w:val="clear" w:color="auto" w:fill="auto"/>
            <w:noWrap w:val="0"/>
            <w:vAlign w:val="center"/>
          </w:tcPr>
          <w:p>
            <w:pPr>
              <w:pStyle w:val="36"/>
              <w:spacing w:line="240" w:lineRule="auto"/>
              <w:jc w:val="left"/>
              <w:rPr>
                <w:color w:val="auto"/>
                <w:szCs w:val="21"/>
              </w:rPr>
            </w:pPr>
            <w:r>
              <w:rPr>
                <w:rFonts w:hint="eastAsia"/>
                <w:color w:val="auto"/>
                <w:szCs w:val="21"/>
              </w:rPr>
              <w:t>项目</w:t>
            </w:r>
            <w:r>
              <w:rPr>
                <w:color w:val="auto"/>
                <w:kern w:val="0"/>
                <w:szCs w:val="21"/>
              </w:rPr>
              <w:t>液态VOCs物料</w:t>
            </w:r>
            <w:r>
              <w:rPr>
                <w:rFonts w:hint="eastAsia"/>
                <w:color w:val="auto"/>
                <w:kern w:val="0"/>
                <w:szCs w:val="21"/>
              </w:rPr>
              <w:t>均通过密闭管道输送。</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autoSpaceDE w:val="0"/>
              <w:autoSpaceDN w:val="0"/>
              <w:adjustRightInd w:val="0"/>
              <w:jc w:val="left"/>
              <w:rPr>
                <w:rFonts w:hint="eastAsia" w:ascii="Times New Roman" w:hAnsi="Times New Roman"/>
                <w:kern w:val="0"/>
                <w:szCs w:val="21"/>
              </w:rPr>
            </w:pPr>
            <w:r>
              <w:rPr>
                <w:rFonts w:ascii="Times New Roman" w:hAnsi="Times New Roman"/>
                <w:kern w:val="0"/>
                <w:szCs w:val="21"/>
              </w:rPr>
              <w:t>装载方式</w:t>
            </w:r>
          </w:p>
        </w:tc>
        <w:tc>
          <w:tcPr>
            <w:tcW w:w="2437" w:type="pct"/>
            <w:gridSpan w:val="2"/>
            <w:shd w:val="clear" w:color="auto" w:fill="auto"/>
            <w:noWrap w:val="0"/>
            <w:vAlign w:val="center"/>
          </w:tcPr>
          <w:p>
            <w:pPr>
              <w:autoSpaceDE w:val="0"/>
              <w:autoSpaceDN w:val="0"/>
              <w:adjustRightInd w:val="0"/>
              <w:jc w:val="left"/>
              <w:rPr>
                <w:rFonts w:hint="eastAsia" w:ascii="Times New Roman" w:hAnsi="Times New Roman"/>
                <w:kern w:val="0"/>
                <w:szCs w:val="21"/>
              </w:rPr>
            </w:pPr>
            <w:r>
              <w:rPr>
                <w:rFonts w:ascii="Times New Roman" w:hAnsi="Times New Roman"/>
                <w:kern w:val="0"/>
                <w:szCs w:val="21"/>
              </w:rPr>
              <w:t>挥发性有机液体应采用底部装载方式；若采用顶部浸没式装载，出料管口距离槽（罐）底部高度应小于200mm。</w:t>
            </w:r>
          </w:p>
          <w:p>
            <w:pPr>
              <w:autoSpaceDE w:val="0"/>
              <w:autoSpaceDN w:val="0"/>
              <w:adjustRightInd w:val="0"/>
              <w:jc w:val="left"/>
              <w:rPr>
                <w:rFonts w:ascii="Times New Roman" w:hAnsi="Times New Roman"/>
                <w:kern w:val="0"/>
                <w:szCs w:val="21"/>
              </w:rPr>
            </w:pPr>
            <w:r>
              <w:rPr>
                <w:rFonts w:ascii="Times New Roman" w:hAnsi="Times New Roman"/>
                <w:kern w:val="0"/>
                <w:szCs w:val="21"/>
              </w:rPr>
              <w:t>装载物料真实蒸气压≥27.6kPa且单一装载设施的年装载量≥500m</w:t>
            </w:r>
            <w:r>
              <w:rPr>
                <w:rFonts w:ascii="Times New Roman" w:hAnsi="Times New Roman"/>
                <w:kern w:val="0"/>
                <w:szCs w:val="21"/>
                <w:vertAlign w:val="superscript"/>
              </w:rPr>
              <w:t>3</w:t>
            </w:r>
            <w:r>
              <w:rPr>
                <w:rFonts w:ascii="Times New Roman" w:hAnsi="Times New Roman"/>
                <w:kern w:val="0"/>
                <w:szCs w:val="21"/>
              </w:rPr>
              <w:t>的，装载过程应符合下列规定之一：</w:t>
            </w:r>
          </w:p>
          <w:p>
            <w:pPr>
              <w:autoSpaceDE w:val="0"/>
              <w:autoSpaceDN w:val="0"/>
              <w:adjustRightInd w:val="0"/>
              <w:jc w:val="left"/>
              <w:rPr>
                <w:rFonts w:ascii="Times New Roman" w:hAnsi="Times New Roman"/>
                <w:kern w:val="0"/>
                <w:szCs w:val="21"/>
              </w:rPr>
            </w:pPr>
            <w:r>
              <w:rPr>
                <w:rFonts w:ascii="Times New Roman" w:hAnsi="Times New Roman"/>
                <w:kern w:val="0"/>
                <w:szCs w:val="21"/>
              </w:rPr>
              <w:t>a）排放的废气应收集处理并满足相关行业排放标准的要求（无行业排放标准的应满足GB16297</w:t>
            </w:r>
          </w:p>
          <w:p>
            <w:pPr>
              <w:autoSpaceDE w:val="0"/>
              <w:autoSpaceDN w:val="0"/>
              <w:adjustRightInd w:val="0"/>
              <w:jc w:val="left"/>
              <w:rPr>
                <w:rFonts w:ascii="Times New Roman" w:hAnsi="Times New Roman"/>
                <w:kern w:val="0"/>
                <w:szCs w:val="21"/>
              </w:rPr>
            </w:pPr>
            <w:r>
              <w:rPr>
                <w:rFonts w:ascii="Times New Roman" w:hAnsi="Times New Roman"/>
                <w:kern w:val="0"/>
                <w:szCs w:val="21"/>
              </w:rPr>
              <w:t>的要求），或者处理效率不低于80%；</w:t>
            </w:r>
          </w:p>
          <w:p>
            <w:pPr>
              <w:autoSpaceDE w:val="0"/>
              <w:autoSpaceDN w:val="0"/>
              <w:adjustRightInd w:val="0"/>
              <w:jc w:val="left"/>
              <w:rPr>
                <w:rFonts w:ascii="Times New Roman" w:hAnsi="Times New Roman"/>
                <w:kern w:val="0"/>
                <w:szCs w:val="21"/>
              </w:rPr>
            </w:pPr>
            <w:r>
              <w:rPr>
                <w:rFonts w:ascii="Times New Roman" w:hAnsi="Times New Roman"/>
                <w:kern w:val="0"/>
                <w:szCs w:val="21"/>
              </w:rPr>
              <w:t>b）排放的废气连接至气相平衡系统。</w:t>
            </w:r>
          </w:p>
          <w:p>
            <w:pPr>
              <w:autoSpaceDE w:val="0"/>
              <w:autoSpaceDN w:val="0"/>
              <w:adjustRightInd w:val="0"/>
              <w:jc w:val="left"/>
              <w:rPr>
                <w:rFonts w:ascii="Times New Roman" w:hAnsi="Times New Roman"/>
                <w:kern w:val="0"/>
                <w:szCs w:val="21"/>
              </w:rPr>
            </w:pPr>
            <w:r>
              <w:rPr>
                <w:rFonts w:ascii="Times New Roman" w:hAnsi="Times New Roman"/>
                <w:kern w:val="0"/>
                <w:szCs w:val="21"/>
              </w:rPr>
              <w:t>装载物料真实蒸气压≥27.6kPa且单一装载设施的年装载量≥500m</w:t>
            </w:r>
            <w:r>
              <w:rPr>
                <w:rFonts w:ascii="Times New Roman" w:hAnsi="Times New Roman"/>
                <w:kern w:val="0"/>
                <w:szCs w:val="21"/>
                <w:vertAlign w:val="superscript"/>
              </w:rPr>
              <w:t>3</w:t>
            </w:r>
            <w:r>
              <w:rPr>
                <w:rFonts w:ascii="Times New Roman" w:hAnsi="Times New Roman"/>
                <w:kern w:val="0"/>
                <w:szCs w:val="21"/>
              </w:rPr>
              <w:t>，以及装载物料真实蒸气压≥</w:t>
            </w:r>
          </w:p>
          <w:p>
            <w:pPr>
              <w:autoSpaceDE w:val="0"/>
              <w:autoSpaceDN w:val="0"/>
              <w:adjustRightInd w:val="0"/>
              <w:jc w:val="left"/>
              <w:rPr>
                <w:rFonts w:ascii="Times New Roman" w:hAnsi="Times New Roman"/>
                <w:kern w:val="0"/>
                <w:szCs w:val="21"/>
              </w:rPr>
            </w:pPr>
            <w:r>
              <w:rPr>
                <w:rFonts w:ascii="Times New Roman" w:hAnsi="Times New Roman"/>
                <w:kern w:val="0"/>
                <w:szCs w:val="21"/>
              </w:rPr>
              <w:t>5.2kPa但＜27.6kPa 且单一装载设施的年装载量≥2500m</w:t>
            </w:r>
            <w:r>
              <w:rPr>
                <w:rFonts w:ascii="Times New Roman" w:hAnsi="Times New Roman"/>
                <w:kern w:val="0"/>
                <w:szCs w:val="21"/>
                <w:vertAlign w:val="superscript"/>
              </w:rPr>
              <w:t>3</w:t>
            </w:r>
            <w:r>
              <w:rPr>
                <w:rFonts w:ascii="Times New Roman" w:hAnsi="Times New Roman"/>
                <w:kern w:val="0"/>
                <w:szCs w:val="21"/>
              </w:rPr>
              <w:t>的，装载过程应符合下列规定之一：</w:t>
            </w:r>
          </w:p>
          <w:p>
            <w:pPr>
              <w:autoSpaceDE w:val="0"/>
              <w:autoSpaceDN w:val="0"/>
              <w:adjustRightInd w:val="0"/>
              <w:jc w:val="left"/>
              <w:rPr>
                <w:rFonts w:ascii="Times New Roman" w:hAnsi="Times New Roman"/>
                <w:kern w:val="0"/>
                <w:szCs w:val="21"/>
              </w:rPr>
            </w:pPr>
            <w:r>
              <w:rPr>
                <w:rFonts w:ascii="Times New Roman" w:hAnsi="Times New Roman"/>
                <w:kern w:val="0"/>
                <w:szCs w:val="21"/>
              </w:rPr>
              <w:t>a）排放的废气应收集处理并满足相关行业排放标准的要求（无行业排放标准的应满足GB 16297</w:t>
            </w:r>
          </w:p>
          <w:p>
            <w:pPr>
              <w:autoSpaceDE w:val="0"/>
              <w:autoSpaceDN w:val="0"/>
              <w:adjustRightInd w:val="0"/>
              <w:jc w:val="left"/>
              <w:rPr>
                <w:rFonts w:ascii="Times New Roman" w:hAnsi="Times New Roman"/>
                <w:kern w:val="0"/>
                <w:szCs w:val="21"/>
              </w:rPr>
            </w:pPr>
            <w:r>
              <w:rPr>
                <w:rFonts w:ascii="Times New Roman" w:hAnsi="Times New Roman"/>
                <w:kern w:val="0"/>
                <w:szCs w:val="21"/>
              </w:rPr>
              <w:t>的要求），或者处理效率不低于90%；</w:t>
            </w:r>
          </w:p>
          <w:p>
            <w:pPr>
              <w:autoSpaceDE w:val="0"/>
              <w:autoSpaceDN w:val="0"/>
              <w:adjustRightInd w:val="0"/>
              <w:jc w:val="left"/>
              <w:rPr>
                <w:rFonts w:ascii="Times New Roman" w:hAnsi="Times New Roman"/>
                <w:kern w:val="0"/>
                <w:szCs w:val="21"/>
              </w:rPr>
            </w:pPr>
            <w:r>
              <w:rPr>
                <w:rFonts w:ascii="Times New Roman" w:hAnsi="Times New Roman"/>
                <w:kern w:val="0"/>
                <w:szCs w:val="21"/>
              </w:rPr>
              <w:t>b）排放的废气连接至气相平衡系统。</w:t>
            </w:r>
          </w:p>
        </w:tc>
        <w:tc>
          <w:tcPr>
            <w:tcW w:w="1649" w:type="pct"/>
            <w:shd w:val="clear" w:color="auto" w:fill="auto"/>
            <w:noWrap w:val="0"/>
            <w:vAlign w:val="center"/>
          </w:tcPr>
          <w:p>
            <w:pPr>
              <w:rPr>
                <w:rFonts w:hint="eastAsia" w:ascii="Times New Roman" w:hAnsi="Times New Roman"/>
                <w:kern w:val="0"/>
                <w:szCs w:val="21"/>
              </w:rPr>
            </w:pPr>
            <w:r>
              <w:rPr>
                <w:rFonts w:hint="eastAsia" w:ascii="Times New Roman" w:hAnsi="Times New Roman"/>
                <w:kern w:val="0"/>
                <w:szCs w:val="21"/>
              </w:rPr>
              <w:t>项目物料周转量较小，不设置单独装卸区，</w:t>
            </w:r>
            <w:r>
              <w:rPr>
                <w:rFonts w:ascii="Times New Roman" w:hAnsi="Times New Roman"/>
                <w:kern w:val="0"/>
                <w:szCs w:val="21"/>
              </w:rPr>
              <w:t>挥发性有机液体应采用底部装载方式</w:t>
            </w:r>
            <w:r>
              <w:rPr>
                <w:rFonts w:hint="eastAsia" w:ascii="Times New Roman" w:hAnsi="Times New Roman"/>
                <w:kern w:val="0"/>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restart"/>
            <w:shd w:val="clear" w:color="auto" w:fill="auto"/>
            <w:noWrap w:val="0"/>
            <w:vAlign w:val="center"/>
          </w:tcPr>
          <w:p>
            <w:pPr>
              <w:autoSpaceDE w:val="0"/>
              <w:autoSpaceDN w:val="0"/>
              <w:adjustRightInd w:val="0"/>
              <w:jc w:val="left"/>
              <w:rPr>
                <w:rFonts w:hint="eastAsia" w:ascii="Times New Roman" w:hAnsi="Times New Roman"/>
                <w:kern w:val="0"/>
                <w:szCs w:val="21"/>
              </w:rPr>
            </w:pPr>
            <w:r>
              <w:rPr>
                <w:rFonts w:ascii="Times New Roman" w:hAnsi="Times New Roman"/>
                <w:kern w:val="0"/>
                <w:szCs w:val="21"/>
              </w:rPr>
              <w:t>工艺过程VOCs 无组织排放控制要求</w:t>
            </w:r>
          </w:p>
        </w:tc>
        <w:tc>
          <w:tcPr>
            <w:tcW w:w="471" w:type="pct"/>
            <w:shd w:val="clear" w:color="auto" w:fill="auto"/>
            <w:noWrap w:val="0"/>
            <w:vAlign w:val="center"/>
          </w:tcPr>
          <w:p>
            <w:pPr>
              <w:autoSpaceDE w:val="0"/>
              <w:autoSpaceDN w:val="0"/>
              <w:adjustRightInd w:val="0"/>
              <w:jc w:val="left"/>
              <w:rPr>
                <w:rFonts w:ascii="Times New Roman" w:hAnsi="Times New Roman"/>
                <w:kern w:val="0"/>
                <w:szCs w:val="21"/>
              </w:rPr>
            </w:pPr>
            <w:r>
              <w:rPr>
                <w:rFonts w:hint="eastAsia" w:ascii="Times New Roman" w:hAnsi="Times New Roman"/>
                <w:kern w:val="0"/>
                <w:szCs w:val="21"/>
              </w:rPr>
              <w:t>化工生产过程</w:t>
            </w:r>
          </w:p>
        </w:tc>
        <w:tc>
          <w:tcPr>
            <w:tcW w:w="196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液态VOCs物料应采用密闭管道输送方式或采用高位槽（罐）、桶泵等给料方式密闭投加。</w:t>
            </w:r>
            <w:r>
              <w:rPr>
                <w:rFonts w:hint="eastAsia" w:ascii="Times New Roman" w:hAnsi="Times New Roman"/>
                <w:kern w:val="0"/>
                <w:szCs w:val="21"/>
              </w:rPr>
              <w:t>无法</w:t>
            </w:r>
            <w:r>
              <w:rPr>
                <w:rFonts w:hint="eastAsia" w:ascii="宋体" w:cs="宋体"/>
                <w:kern w:val="0"/>
                <w:szCs w:val="21"/>
              </w:rPr>
              <w:t>密闭投加的，应在密闭空间内操作，或进行局部气体收集，废气应排至</w:t>
            </w:r>
            <w:r>
              <w:rPr>
                <w:rFonts w:ascii="TimesNewRoman" w:hAnsi="TimesNewRoman" w:cs="TimesNewRoman"/>
                <w:kern w:val="0"/>
                <w:szCs w:val="21"/>
              </w:rPr>
              <w:t xml:space="preserve">VOCs </w:t>
            </w:r>
            <w:r>
              <w:rPr>
                <w:rFonts w:hint="eastAsia" w:ascii="宋体" w:cs="宋体"/>
                <w:kern w:val="0"/>
                <w:szCs w:val="21"/>
              </w:rPr>
              <w:t>废气收集处理系统。</w:t>
            </w:r>
          </w:p>
          <w:p>
            <w:pPr>
              <w:autoSpaceDE w:val="0"/>
              <w:autoSpaceDN w:val="0"/>
              <w:adjustRightInd w:val="0"/>
              <w:jc w:val="left"/>
              <w:rPr>
                <w:rFonts w:ascii="Times New Roman" w:hAnsi="Times New Roman"/>
                <w:szCs w:val="21"/>
                <w:shd w:val="clear" w:color="auto" w:fill="FFFFFF"/>
              </w:rPr>
            </w:pPr>
            <w:r>
              <w:rPr>
                <w:rFonts w:ascii="TimesNewRoman" w:hAnsi="TimesNewRoman" w:cs="TimesNewRoman"/>
                <w:kern w:val="0"/>
                <w:szCs w:val="21"/>
              </w:rPr>
              <w:t>VOCs</w:t>
            </w:r>
            <w:r>
              <w:rPr>
                <w:rFonts w:hint="eastAsia" w:ascii="宋体" w:hAnsi="TimesNewRoman" w:cs="宋体"/>
                <w:kern w:val="0"/>
                <w:szCs w:val="21"/>
              </w:rPr>
              <w:t>物料卸（出、放）料过程应密闭，卸料废气应排至</w:t>
            </w:r>
            <w:r>
              <w:rPr>
                <w:rFonts w:ascii="TimesNewRoman" w:hAnsi="TimesNewRoman" w:cs="TimesNewRoman"/>
                <w:kern w:val="0"/>
                <w:szCs w:val="21"/>
              </w:rPr>
              <w:t>VOCs</w:t>
            </w:r>
            <w:r>
              <w:rPr>
                <w:rFonts w:hint="eastAsia" w:ascii="宋体" w:hAnsi="TimesNewRoman" w:cs="宋体"/>
                <w:kern w:val="0"/>
                <w:szCs w:val="21"/>
              </w:rPr>
              <w:t>废气收集处理系统；无法密闭的，应采取局部气体收集措施，废气应排至</w:t>
            </w:r>
            <w:r>
              <w:rPr>
                <w:rFonts w:ascii="TimesNewRoman" w:hAnsi="TimesNewRoman" w:cs="TimesNewRoman"/>
                <w:kern w:val="0"/>
                <w:szCs w:val="21"/>
              </w:rPr>
              <w:t xml:space="preserve">VOCs </w:t>
            </w:r>
            <w:r>
              <w:rPr>
                <w:rFonts w:hint="eastAsia" w:ascii="宋体" w:hAnsi="TimesNewRoman" w:cs="宋体"/>
                <w:kern w:val="0"/>
                <w:szCs w:val="21"/>
              </w:rPr>
              <w:t>废气收集处理系统。</w:t>
            </w:r>
          </w:p>
        </w:tc>
        <w:tc>
          <w:tcPr>
            <w:tcW w:w="1649" w:type="pct"/>
            <w:shd w:val="clear" w:color="auto" w:fill="auto"/>
            <w:noWrap w:val="0"/>
            <w:vAlign w:val="center"/>
          </w:tcPr>
          <w:p>
            <w:pPr>
              <w:rPr>
                <w:rFonts w:hint="eastAsia" w:ascii="Times New Roman" w:hAnsi="Times New Roman"/>
                <w:kern w:val="0"/>
                <w:szCs w:val="21"/>
              </w:rPr>
            </w:pPr>
            <w:r>
              <w:rPr>
                <w:rFonts w:hint="eastAsia" w:ascii="Times New Roman" w:hAnsi="Times New Roman"/>
                <w:kern w:val="0"/>
                <w:szCs w:val="21"/>
              </w:rPr>
              <w:t>项目设备均处于密闭状态，</w:t>
            </w:r>
            <w:r>
              <w:rPr>
                <w:rFonts w:ascii="Times New Roman" w:hAnsi="Times New Roman"/>
                <w:kern w:val="0"/>
                <w:szCs w:val="21"/>
              </w:rPr>
              <w:t>液态VOCs物料</w:t>
            </w:r>
            <w:r>
              <w:rPr>
                <w:rFonts w:hint="eastAsia" w:ascii="Times New Roman" w:hAnsi="Times New Roman"/>
                <w:kern w:val="0"/>
                <w:szCs w:val="21"/>
              </w:rPr>
              <w:t>均</w:t>
            </w:r>
            <w:r>
              <w:rPr>
                <w:rFonts w:ascii="Times New Roman" w:hAnsi="Times New Roman"/>
                <w:kern w:val="0"/>
                <w:szCs w:val="21"/>
              </w:rPr>
              <w:t>采用密闭管道输送方式投加</w:t>
            </w:r>
            <w:r>
              <w:rPr>
                <w:rFonts w:hint="eastAsia" w:ascii="Times New Roman" w:hAnsi="Times New Roman"/>
                <w:kern w:val="0"/>
                <w:szCs w:val="21"/>
              </w:rPr>
              <w:t>，</w:t>
            </w:r>
            <w:r>
              <w:rPr>
                <w:rFonts w:ascii="Times New Roman" w:hAnsi="Times New Roman"/>
                <w:kern w:val="0"/>
                <w:szCs w:val="21"/>
              </w:rPr>
              <w:t>VOCs</w:t>
            </w:r>
            <w:r>
              <w:rPr>
                <w:rFonts w:hint="eastAsia" w:ascii="宋体" w:hAnsi="TimesNewRoman" w:cs="宋体"/>
                <w:kern w:val="0"/>
                <w:szCs w:val="21"/>
              </w:rPr>
              <w:t>物料卸（出、放）料过程密闭。</w:t>
            </w:r>
            <w:r>
              <w:rPr>
                <w:rFonts w:hint="eastAsia" w:ascii="Times New Roman" w:hAnsi="Times New Roman"/>
                <w:szCs w:val="21"/>
              </w:rPr>
              <w:t xml:space="preserve"> </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autoSpaceDE w:val="0"/>
              <w:autoSpaceDN w:val="0"/>
              <w:adjustRightInd w:val="0"/>
              <w:jc w:val="left"/>
              <w:rPr>
                <w:rFonts w:hint="eastAsia" w:ascii="Times New Roman" w:hAnsi="Times New Roman"/>
                <w:kern w:val="0"/>
                <w:szCs w:val="21"/>
              </w:rPr>
            </w:pPr>
          </w:p>
        </w:tc>
        <w:tc>
          <w:tcPr>
            <w:tcW w:w="471"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化学反应</w:t>
            </w:r>
          </w:p>
        </w:tc>
        <w:tc>
          <w:tcPr>
            <w:tcW w:w="196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反应设备进料置换废气、挥发排气、反应尾气等应排至VOCs废气收集处理系统。</w:t>
            </w:r>
          </w:p>
          <w:p>
            <w:pPr>
              <w:autoSpaceDE w:val="0"/>
              <w:autoSpaceDN w:val="0"/>
              <w:adjustRightInd w:val="0"/>
              <w:jc w:val="left"/>
              <w:rPr>
                <w:rFonts w:ascii="Times New Roman" w:hAnsi="Times New Roman"/>
                <w:kern w:val="0"/>
                <w:szCs w:val="21"/>
              </w:rPr>
            </w:pPr>
            <w:r>
              <w:rPr>
                <w:rFonts w:ascii="Times New Roman" w:hAnsi="Times New Roman"/>
                <w:kern w:val="0"/>
                <w:szCs w:val="21"/>
              </w:rPr>
              <w:t>在反应期间，反应设备的进料口、出料口、检修口、搅拌口、观察孔等开口（孔）在不操作时应保持密闭。</w:t>
            </w:r>
          </w:p>
        </w:tc>
        <w:tc>
          <w:tcPr>
            <w:tcW w:w="1649" w:type="pct"/>
            <w:shd w:val="clear" w:color="auto" w:fill="auto"/>
            <w:noWrap w:val="0"/>
            <w:vAlign w:val="center"/>
          </w:tcPr>
          <w:p>
            <w:pPr>
              <w:rPr>
                <w:rFonts w:hint="eastAsia" w:ascii="Times New Roman" w:hAnsi="Times New Roman"/>
                <w:szCs w:val="21"/>
              </w:rPr>
            </w:pPr>
            <w:r>
              <w:rPr>
                <w:rFonts w:ascii="Times New Roman" w:hAnsi="Times New Roman"/>
                <w:szCs w:val="21"/>
              </w:rPr>
              <w:t>项目</w:t>
            </w:r>
            <w:r>
              <w:rPr>
                <w:rFonts w:hint="eastAsia" w:ascii="Times New Roman" w:hAnsi="Times New Roman"/>
                <w:szCs w:val="21"/>
              </w:rPr>
              <w:t>反应主要是乙二醇合成反应，涉及的设备为合成釜，合成反应</w:t>
            </w:r>
            <w:r>
              <w:rPr>
                <w:rFonts w:ascii="Times New Roman" w:hAnsi="Times New Roman"/>
                <w:szCs w:val="21"/>
              </w:rPr>
              <w:t>氢气驰放气通过厂区现有火炬焚烧。</w:t>
            </w:r>
            <w:r>
              <w:rPr>
                <w:rFonts w:hint="eastAsia" w:ascii="Times New Roman" w:hAnsi="Times New Roman"/>
                <w:kern w:val="0"/>
                <w:szCs w:val="21"/>
              </w:rPr>
              <w:t>除进行必要的进出料操作时，其他时段设备开口均保持密闭。</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autoSpaceDE w:val="0"/>
              <w:autoSpaceDN w:val="0"/>
              <w:adjustRightInd w:val="0"/>
              <w:jc w:val="left"/>
              <w:rPr>
                <w:rFonts w:hint="eastAsia" w:ascii="Times New Roman" w:hAnsi="Times New Roman"/>
                <w:kern w:val="0"/>
                <w:szCs w:val="21"/>
              </w:rPr>
            </w:pPr>
          </w:p>
        </w:tc>
        <w:tc>
          <w:tcPr>
            <w:tcW w:w="471"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分离精制</w:t>
            </w:r>
          </w:p>
        </w:tc>
        <w:tc>
          <w:tcPr>
            <w:tcW w:w="1966" w:type="pct"/>
            <w:shd w:val="clear" w:color="auto" w:fill="auto"/>
            <w:noWrap w:val="0"/>
            <w:vAlign w:val="center"/>
          </w:tcPr>
          <w:p>
            <w:pPr>
              <w:autoSpaceDE w:val="0"/>
              <w:autoSpaceDN w:val="0"/>
              <w:adjustRightInd w:val="0"/>
              <w:jc w:val="left"/>
              <w:rPr>
                <w:rFonts w:hint="eastAsia" w:ascii="Times New Roman" w:hAnsi="Times New Roman"/>
                <w:kern w:val="0"/>
                <w:szCs w:val="21"/>
              </w:rPr>
            </w:pPr>
            <w:r>
              <w:rPr>
                <w:rFonts w:ascii="Times New Roman" w:hAnsi="Times New Roman"/>
                <w:kern w:val="0"/>
                <w:szCs w:val="21"/>
              </w:rPr>
              <w:t>吸收、洗涤、蒸馏/精馏、萃取、结晶等单元操作排放的废气，冷凝单元操作排放的不凝尾气，吸附单元操作的脱附尾气等应排至VOCs 废气收集处理系统。</w:t>
            </w:r>
          </w:p>
        </w:tc>
        <w:tc>
          <w:tcPr>
            <w:tcW w:w="1649" w:type="pct"/>
            <w:shd w:val="clear" w:color="auto" w:fill="auto"/>
            <w:noWrap w:val="0"/>
            <w:vAlign w:val="center"/>
          </w:tcPr>
          <w:p>
            <w:pPr>
              <w:autoSpaceDE w:val="0"/>
              <w:autoSpaceDN w:val="0"/>
              <w:adjustRightInd w:val="0"/>
              <w:jc w:val="left"/>
              <w:rPr>
                <w:rFonts w:hint="eastAsia" w:ascii="Times New Roman" w:hAnsi="Times New Roman"/>
                <w:szCs w:val="21"/>
              </w:rPr>
            </w:pPr>
            <w:r>
              <w:rPr>
                <w:rFonts w:ascii="Times New Roman" w:hAnsi="Times New Roman"/>
                <w:szCs w:val="21"/>
              </w:rPr>
              <w:t>项目</w:t>
            </w:r>
            <w:r>
              <w:rPr>
                <w:rFonts w:hint="eastAsia" w:ascii="Times New Roman" w:hAnsi="Times New Roman"/>
                <w:szCs w:val="21"/>
              </w:rPr>
              <w:t>分离精制过程产生的废气是</w:t>
            </w:r>
            <w:r>
              <w:rPr>
                <w:rFonts w:ascii="Times New Roman" w:hAnsi="Times New Roman"/>
                <w:szCs w:val="21"/>
              </w:rPr>
              <w:t>闪蒸不凝气</w:t>
            </w:r>
            <w:r>
              <w:rPr>
                <w:rFonts w:hint="eastAsia" w:ascii="Times New Roman" w:hAnsi="Times New Roman"/>
                <w:szCs w:val="21"/>
              </w:rPr>
              <w:t>和</w:t>
            </w:r>
            <w:r>
              <w:rPr>
                <w:rFonts w:ascii="Times New Roman" w:hAnsi="Times New Roman"/>
                <w:szCs w:val="21"/>
              </w:rPr>
              <w:t>真空泵尾气</w:t>
            </w:r>
            <w:r>
              <w:rPr>
                <w:rFonts w:hint="eastAsia" w:ascii="Times New Roman" w:hAnsi="Times New Roman"/>
                <w:szCs w:val="21"/>
              </w:rPr>
              <w:t>（精馏不凝气），</w:t>
            </w:r>
            <w:r>
              <w:rPr>
                <w:rFonts w:ascii="Times New Roman" w:hAnsi="Times New Roman"/>
                <w:szCs w:val="21"/>
              </w:rPr>
              <w:t>闪蒸不凝气通过厂区现有火炬焚烧，真空泵尾气通过尾气洗涤塔</w:t>
            </w:r>
            <w:r>
              <w:rPr>
                <w:rFonts w:hint="eastAsia" w:ascii="Times New Roman" w:hAnsi="Times New Roman"/>
                <w:szCs w:val="21"/>
              </w:rPr>
              <w:t>+活性炭吸附罐</w:t>
            </w:r>
            <w:r>
              <w:rPr>
                <w:rFonts w:ascii="Times New Roman" w:hAnsi="Times New Roman"/>
                <w:szCs w:val="21"/>
              </w:rPr>
              <w:t>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autoSpaceDE w:val="0"/>
              <w:autoSpaceDN w:val="0"/>
              <w:adjustRightInd w:val="0"/>
              <w:jc w:val="left"/>
              <w:rPr>
                <w:rFonts w:ascii="Times New Roman" w:hAnsi="Times New Roman"/>
                <w:kern w:val="0"/>
                <w:szCs w:val="21"/>
              </w:rPr>
            </w:pPr>
          </w:p>
        </w:tc>
        <w:tc>
          <w:tcPr>
            <w:tcW w:w="471"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真空系统</w:t>
            </w:r>
          </w:p>
        </w:tc>
        <w:tc>
          <w:tcPr>
            <w:tcW w:w="1966" w:type="pct"/>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真空系统应采用干式真空泵，真空排气应排至VOCs 废气收集处理系统。若使用液环（水环）真空泵、水（水蒸气）喷射真空泵等，工作介质的循环槽（罐）应密闭，真空排气、循环槽（罐）排气应排至VOCs废气收集处理系统。</w:t>
            </w:r>
          </w:p>
        </w:tc>
        <w:tc>
          <w:tcPr>
            <w:tcW w:w="1649" w:type="pct"/>
            <w:shd w:val="clear" w:color="auto" w:fill="auto"/>
            <w:noWrap w:val="0"/>
            <w:vAlign w:val="center"/>
          </w:tcPr>
          <w:p>
            <w:pPr>
              <w:autoSpaceDE w:val="0"/>
              <w:autoSpaceDN w:val="0"/>
              <w:adjustRightInd w:val="0"/>
              <w:jc w:val="left"/>
              <w:rPr>
                <w:rFonts w:hint="eastAsia" w:ascii="Times New Roman" w:hAnsi="Times New Roman"/>
                <w:szCs w:val="21"/>
              </w:rPr>
            </w:pPr>
            <w:r>
              <w:rPr>
                <w:rFonts w:hint="eastAsia" w:ascii="Times New Roman" w:hAnsi="Times New Roman"/>
                <w:kern w:val="0"/>
                <w:szCs w:val="21"/>
              </w:rPr>
              <w:t>项目使用水环真空泵</w:t>
            </w:r>
            <w:r>
              <w:rPr>
                <w:rFonts w:ascii="Times New Roman" w:hAnsi="Times New Roman"/>
                <w:kern w:val="0"/>
                <w:szCs w:val="21"/>
              </w:rPr>
              <w:t>，工作介质的循环槽密闭，</w:t>
            </w:r>
            <w:r>
              <w:rPr>
                <w:rFonts w:ascii="Times New Roman" w:hAnsi="Times New Roman"/>
                <w:szCs w:val="21"/>
              </w:rPr>
              <w:t>真空泵尾气通过尾气洗涤塔</w:t>
            </w:r>
            <w:r>
              <w:rPr>
                <w:rFonts w:hint="eastAsia" w:ascii="Times New Roman" w:hAnsi="Times New Roman"/>
                <w:szCs w:val="21"/>
              </w:rPr>
              <w:t>+活性炭吸附罐</w:t>
            </w:r>
            <w:r>
              <w:rPr>
                <w:rFonts w:ascii="Times New Roman" w:hAnsi="Times New Roman"/>
                <w:szCs w:val="21"/>
              </w:rPr>
              <w:t>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shd w:val="clear" w:color="auto" w:fill="auto"/>
            <w:noWrap w:val="0"/>
            <w:vAlign w:val="center"/>
          </w:tcPr>
          <w:p>
            <w:pPr>
              <w:autoSpaceDE w:val="0"/>
              <w:autoSpaceDN w:val="0"/>
              <w:adjustRightInd w:val="0"/>
              <w:jc w:val="left"/>
              <w:rPr>
                <w:rFonts w:ascii="Times New Roman" w:hAnsi="Times New Roman"/>
                <w:kern w:val="0"/>
                <w:szCs w:val="21"/>
              </w:rPr>
            </w:pPr>
            <w:r>
              <w:rPr>
                <w:rFonts w:hint="eastAsia" w:ascii="Times New Roman" w:hAnsi="Times New Roman"/>
                <w:kern w:val="0"/>
                <w:szCs w:val="21"/>
              </w:rPr>
              <w:t>设备与管线组件</w:t>
            </w:r>
            <w:r>
              <w:rPr>
                <w:rFonts w:ascii="Times New Roman" w:hAnsi="Times New Roman"/>
                <w:kern w:val="0"/>
                <w:szCs w:val="21"/>
              </w:rPr>
              <w:t xml:space="preserve">VOCs </w:t>
            </w:r>
            <w:r>
              <w:rPr>
                <w:rFonts w:hint="eastAsia" w:ascii="Times New Roman" w:hAnsi="Times New Roman"/>
                <w:kern w:val="0"/>
                <w:szCs w:val="21"/>
              </w:rPr>
              <w:t>泄漏控制要求</w:t>
            </w:r>
          </w:p>
        </w:tc>
        <w:tc>
          <w:tcPr>
            <w:tcW w:w="2437" w:type="pct"/>
            <w:gridSpan w:val="2"/>
            <w:shd w:val="clear" w:color="auto" w:fill="auto"/>
            <w:noWrap w:val="0"/>
            <w:vAlign w:val="center"/>
          </w:tcPr>
          <w:p>
            <w:pPr>
              <w:autoSpaceDE w:val="0"/>
              <w:autoSpaceDN w:val="0"/>
              <w:adjustRightInd w:val="0"/>
              <w:jc w:val="left"/>
              <w:rPr>
                <w:rFonts w:ascii="宋体" w:cs="宋体"/>
                <w:kern w:val="0"/>
                <w:szCs w:val="21"/>
              </w:rPr>
            </w:pPr>
            <w:r>
              <w:rPr>
                <w:rFonts w:hint="eastAsia" w:ascii="宋体" w:cs="宋体"/>
                <w:kern w:val="0"/>
                <w:szCs w:val="21"/>
              </w:rPr>
              <w:t>企业中载有气态</w:t>
            </w:r>
            <w:r>
              <w:rPr>
                <w:rFonts w:ascii="TimesNewRoman" w:hAnsi="TimesNewRoman" w:cs="TimesNewRoman"/>
                <w:kern w:val="0"/>
                <w:szCs w:val="21"/>
              </w:rPr>
              <w:t>VOCs</w:t>
            </w:r>
            <w:r>
              <w:rPr>
                <w:rFonts w:hint="eastAsia" w:ascii="宋体" w:cs="宋体"/>
                <w:kern w:val="0"/>
                <w:szCs w:val="21"/>
              </w:rPr>
              <w:t>物料、液态</w:t>
            </w:r>
            <w:r>
              <w:rPr>
                <w:rFonts w:ascii="TimesNewRoman" w:hAnsi="TimesNewRoman" w:cs="TimesNewRoman"/>
                <w:kern w:val="0"/>
                <w:szCs w:val="21"/>
              </w:rPr>
              <w:t>VOCs</w:t>
            </w:r>
            <w:r>
              <w:rPr>
                <w:rFonts w:hint="eastAsia" w:ascii="宋体" w:cs="宋体"/>
                <w:kern w:val="0"/>
                <w:szCs w:val="21"/>
              </w:rPr>
              <w:t>物料的设备与管线组件的密封点≥</w:t>
            </w:r>
            <w:r>
              <w:rPr>
                <w:rFonts w:ascii="TimesNewRoman" w:hAnsi="TimesNewRoman" w:cs="TimesNewRoman"/>
                <w:kern w:val="0"/>
                <w:szCs w:val="21"/>
              </w:rPr>
              <w:t>2000</w:t>
            </w:r>
            <w:r>
              <w:rPr>
                <w:rFonts w:hint="eastAsia" w:ascii="宋体" w:cs="宋体"/>
                <w:kern w:val="0"/>
                <w:szCs w:val="21"/>
              </w:rPr>
              <w:t>个，应开展泄漏检测与修复工作</w:t>
            </w:r>
          </w:p>
        </w:tc>
        <w:tc>
          <w:tcPr>
            <w:tcW w:w="1649" w:type="pct"/>
            <w:shd w:val="clear" w:color="auto" w:fill="auto"/>
            <w:noWrap w:val="0"/>
            <w:vAlign w:val="center"/>
          </w:tcPr>
          <w:p>
            <w:pPr>
              <w:rPr>
                <w:rFonts w:hint="eastAsia" w:ascii="Times New Roman" w:hAnsi="Times New Roman"/>
                <w:kern w:val="0"/>
                <w:szCs w:val="21"/>
              </w:rPr>
            </w:pPr>
            <w:r>
              <w:rPr>
                <w:rFonts w:hint="eastAsia" w:ascii="宋体" w:cs="宋体"/>
                <w:kern w:val="0"/>
                <w:szCs w:val="21"/>
              </w:rPr>
              <w:t>企业按要求对设备与管线组件的密封点进行</w:t>
            </w:r>
            <w:r>
              <w:rPr>
                <w:rFonts w:ascii="TimesNewRoman" w:hAnsi="TimesNewRoman" w:cs="TimesNewRoman"/>
                <w:kern w:val="0"/>
                <w:szCs w:val="21"/>
              </w:rPr>
              <w:t>VOCs</w:t>
            </w:r>
            <w:r>
              <w:rPr>
                <w:rFonts w:hint="eastAsia" w:ascii="宋体" w:cs="宋体"/>
                <w:kern w:val="0"/>
                <w:szCs w:val="21"/>
              </w:rPr>
              <w:t>泄漏检测。</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restart"/>
            <w:shd w:val="clear" w:color="auto" w:fill="auto"/>
            <w:noWrap w:val="0"/>
            <w:vAlign w:val="center"/>
          </w:tcPr>
          <w:p>
            <w:pPr>
              <w:pStyle w:val="36"/>
              <w:spacing w:line="240" w:lineRule="auto"/>
              <w:rPr>
                <w:color w:val="auto"/>
                <w:kern w:val="0"/>
                <w:szCs w:val="21"/>
              </w:rPr>
            </w:pPr>
            <w:r>
              <w:rPr>
                <w:color w:val="auto"/>
                <w:kern w:val="0"/>
                <w:szCs w:val="21"/>
              </w:rPr>
              <w:t>VOCs无组织排放废气收集处理系统要求</w:t>
            </w:r>
          </w:p>
        </w:tc>
        <w:tc>
          <w:tcPr>
            <w:tcW w:w="2437" w:type="pct"/>
            <w:gridSpan w:val="2"/>
            <w:shd w:val="clear" w:color="auto" w:fill="auto"/>
            <w:noWrap w:val="0"/>
            <w:vAlign w:val="center"/>
          </w:tcPr>
          <w:p>
            <w:pPr>
              <w:autoSpaceDE w:val="0"/>
              <w:autoSpaceDN w:val="0"/>
              <w:adjustRightInd w:val="0"/>
              <w:jc w:val="left"/>
              <w:rPr>
                <w:rFonts w:ascii="Times New Roman" w:hAnsi="Times New Roman"/>
                <w:kern w:val="0"/>
                <w:szCs w:val="21"/>
              </w:rPr>
            </w:pPr>
            <w:r>
              <w:rPr>
                <w:rFonts w:ascii="Times New Roman" w:hAnsi="Times New Roman"/>
                <w:kern w:val="0"/>
                <w:szCs w:val="21"/>
              </w:rPr>
              <w:t>VOCs废气收集处理系统应与生产工艺设备同步运行。</w:t>
            </w:r>
          </w:p>
        </w:tc>
        <w:tc>
          <w:tcPr>
            <w:tcW w:w="1649" w:type="pct"/>
            <w:shd w:val="clear" w:color="auto" w:fill="auto"/>
            <w:noWrap w:val="0"/>
            <w:vAlign w:val="center"/>
          </w:tcPr>
          <w:p>
            <w:pPr>
              <w:rPr>
                <w:rFonts w:hint="eastAsia" w:ascii="Times New Roman" w:hAnsi="Times New Roman"/>
                <w:szCs w:val="21"/>
              </w:rPr>
            </w:pPr>
            <w:r>
              <w:rPr>
                <w:rFonts w:hint="eastAsia" w:ascii="Times New Roman" w:hAnsi="Times New Roman"/>
                <w:szCs w:val="21"/>
              </w:rPr>
              <w:t>项目严格执行三同时制度，环保治理设施与主体生产工艺设备同时运行。</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pStyle w:val="36"/>
              <w:spacing w:line="240" w:lineRule="auto"/>
              <w:rPr>
                <w:color w:val="auto"/>
                <w:kern w:val="0"/>
                <w:szCs w:val="21"/>
              </w:rPr>
            </w:pPr>
          </w:p>
        </w:tc>
        <w:tc>
          <w:tcPr>
            <w:tcW w:w="2437" w:type="pct"/>
            <w:gridSpan w:val="2"/>
            <w:shd w:val="clear" w:color="auto" w:fill="auto"/>
            <w:noWrap w:val="0"/>
            <w:vAlign w:val="center"/>
          </w:tcPr>
          <w:p>
            <w:pPr>
              <w:autoSpaceDE w:val="0"/>
              <w:autoSpaceDN w:val="0"/>
              <w:adjustRightInd w:val="0"/>
              <w:jc w:val="left"/>
              <w:rPr>
                <w:rFonts w:ascii="Times New Roman" w:hAnsi="Times New Roman"/>
                <w:kern w:val="0"/>
                <w:szCs w:val="21"/>
              </w:rPr>
            </w:pPr>
            <w:r>
              <w:rPr>
                <w:rFonts w:hint="eastAsia" w:ascii="宋体" w:cs="宋体"/>
                <w:kern w:val="0"/>
                <w:szCs w:val="21"/>
              </w:rPr>
              <w:t>企业应考虑生产工艺、操作方式、废气性质、处理方法等因素，对</w:t>
            </w:r>
            <w:r>
              <w:rPr>
                <w:rFonts w:ascii="TimesNewRoman" w:hAnsi="TimesNewRoman" w:cs="TimesNewRoman"/>
                <w:kern w:val="0"/>
                <w:szCs w:val="21"/>
              </w:rPr>
              <w:t>VOCs</w:t>
            </w:r>
            <w:r>
              <w:rPr>
                <w:rFonts w:hint="eastAsia" w:ascii="宋体" w:cs="宋体"/>
                <w:kern w:val="0"/>
                <w:szCs w:val="21"/>
              </w:rPr>
              <w:t>废气进行分类收集。</w:t>
            </w:r>
          </w:p>
        </w:tc>
        <w:tc>
          <w:tcPr>
            <w:tcW w:w="1649" w:type="pct"/>
            <w:shd w:val="clear" w:color="auto" w:fill="auto"/>
            <w:noWrap w:val="0"/>
            <w:vAlign w:val="center"/>
          </w:tcPr>
          <w:p>
            <w:pPr>
              <w:rPr>
                <w:rFonts w:ascii="Times New Roman" w:hAnsi="Times New Roman"/>
                <w:szCs w:val="21"/>
              </w:rPr>
            </w:pPr>
            <w:r>
              <w:rPr>
                <w:rFonts w:hint="eastAsia" w:ascii="Times New Roman" w:hAnsi="Times New Roman"/>
                <w:szCs w:val="21"/>
              </w:rPr>
              <w:t>根据废气性质、</w:t>
            </w:r>
            <w:r>
              <w:rPr>
                <w:rFonts w:hint="eastAsia" w:ascii="宋体" w:cs="宋体"/>
                <w:kern w:val="0"/>
                <w:szCs w:val="21"/>
              </w:rPr>
              <w:t>处理方法等因素，项目废气主要</w:t>
            </w:r>
            <w:r>
              <w:rPr>
                <w:rFonts w:hint="eastAsia"/>
                <w:szCs w:val="21"/>
              </w:rPr>
              <w:t>采用火炬焚烧和吸收方式进行分类收集处理。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pStyle w:val="36"/>
              <w:spacing w:line="240" w:lineRule="auto"/>
              <w:rPr>
                <w:color w:val="auto"/>
                <w:kern w:val="0"/>
                <w:szCs w:val="21"/>
              </w:rPr>
            </w:pPr>
          </w:p>
        </w:tc>
        <w:tc>
          <w:tcPr>
            <w:tcW w:w="2437" w:type="pct"/>
            <w:gridSpan w:val="2"/>
            <w:shd w:val="clear" w:color="auto" w:fill="auto"/>
            <w:noWrap w:val="0"/>
            <w:vAlign w:val="center"/>
          </w:tcPr>
          <w:p>
            <w:pPr>
              <w:autoSpaceDE w:val="0"/>
              <w:autoSpaceDN w:val="0"/>
              <w:adjustRightInd w:val="0"/>
              <w:jc w:val="left"/>
              <w:rPr>
                <w:rFonts w:ascii="宋体" w:cs="宋体"/>
                <w:kern w:val="0"/>
                <w:szCs w:val="21"/>
              </w:rPr>
            </w:pPr>
            <w:r>
              <w:rPr>
                <w:rFonts w:hint="eastAsia" w:ascii="宋体" w:cs="宋体"/>
                <w:kern w:val="0"/>
                <w:szCs w:val="21"/>
              </w:rPr>
              <w:t>废气收集系统的输送管道应密闭。废气收集系统应在负压下运行，若处于正压状态，应对输送</w:t>
            </w:r>
          </w:p>
          <w:p>
            <w:pPr>
              <w:autoSpaceDE w:val="0"/>
              <w:autoSpaceDN w:val="0"/>
              <w:adjustRightInd w:val="0"/>
              <w:jc w:val="left"/>
              <w:rPr>
                <w:rFonts w:ascii="Times New Roman" w:hAnsi="Times New Roman"/>
                <w:kern w:val="0"/>
                <w:szCs w:val="21"/>
              </w:rPr>
            </w:pPr>
            <w:r>
              <w:rPr>
                <w:rFonts w:hint="eastAsia" w:ascii="宋体" w:cs="宋体"/>
                <w:kern w:val="0"/>
                <w:szCs w:val="21"/>
              </w:rPr>
              <w:t>管道组件的密封点进行泄漏检测。</w:t>
            </w:r>
          </w:p>
        </w:tc>
        <w:tc>
          <w:tcPr>
            <w:tcW w:w="1649" w:type="pct"/>
            <w:shd w:val="clear" w:color="auto" w:fill="auto"/>
            <w:noWrap w:val="0"/>
            <w:vAlign w:val="center"/>
          </w:tcPr>
          <w:p>
            <w:pPr>
              <w:rPr>
                <w:rFonts w:ascii="Times New Roman" w:hAnsi="Times New Roman"/>
                <w:szCs w:val="21"/>
              </w:rPr>
            </w:pPr>
            <w:r>
              <w:rPr>
                <w:rFonts w:hint="eastAsia" w:ascii="宋体" w:cs="宋体"/>
                <w:kern w:val="0"/>
                <w:szCs w:val="21"/>
              </w:rPr>
              <w:t>废气收集系统的输送管道均为密闭。</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488" w:type="pct"/>
            <w:vMerge w:val="continue"/>
            <w:shd w:val="clear" w:color="auto" w:fill="auto"/>
            <w:noWrap w:val="0"/>
            <w:vAlign w:val="center"/>
          </w:tcPr>
          <w:p>
            <w:pPr>
              <w:pStyle w:val="36"/>
              <w:spacing w:line="240" w:lineRule="auto"/>
              <w:rPr>
                <w:color w:val="auto"/>
                <w:kern w:val="0"/>
                <w:szCs w:val="21"/>
              </w:rPr>
            </w:pPr>
          </w:p>
        </w:tc>
        <w:tc>
          <w:tcPr>
            <w:tcW w:w="2437" w:type="pct"/>
            <w:gridSpan w:val="2"/>
            <w:shd w:val="clear" w:color="auto" w:fill="auto"/>
            <w:noWrap w:val="0"/>
            <w:vAlign w:val="center"/>
          </w:tcPr>
          <w:p>
            <w:pPr>
              <w:autoSpaceDE w:val="0"/>
              <w:autoSpaceDN w:val="0"/>
              <w:adjustRightInd w:val="0"/>
              <w:jc w:val="left"/>
              <w:rPr>
                <w:rFonts w:hint="eastAsia" w:ascii="宋体" w:cs="宋体"/>
                <w:kern w:val="0"/>
                <w:szCs w:val="21"/>
              </w:rPr>
            </w:pPr>
            <w:r>
              <w:rPr>
                <w:rFonts w:ascii="TimesNewRoman" w:hAnsi="TimesNewRoman" w:cs="TimesNewRoman"/>
                <w:kern w:val="0"/>
                <w:szCs w:val="21"/>
              </w:rPr>
              <w:t>VOCs</w:t>
            </w:r>
            <w:r>
              <w:rPr>
                <w:rFonts w:hint="eastAsia" w:ascii="宋体" w:hAnsi="TimesNewRoman" w:cs="宋体"/>
                <w:kern w:val="0"/>
                <w:szCs w:val="21"/>
              </w:rPr>
              <w:t>废气收集处理系统污染物排放应符合</w:t>
            </w:r>
            <w:r>
              <w:rPr>
                <w:rFonts w:ascii="TimesNewRoman" w:hAnsi="TimesNewRoman" w:cs="TimesNewRoman"/>
                <w:kern w:val="0"/>
                <w:szCs w:val="21"/>
              </w:rPr>
              <w:t>GB 16297</w:t>
            </w:r>
            <w:r>
              <w:rPr>
                <w:rFonts w:hint="eastAsia" w:ascii="宋体" w:hAnsi="TimesNewRoman" w:cs="宋体"/>
                <w:kern w:val="0"/>
                <w:szCs w:val="21"/>
              </w:rPr>
              <w:t>或相关行业排放标准的规定。</w:t>
            </w:r>
          </w:p>
        </w:tc>
        <w:tc>
          <w:tcPr>
            <w:tcW w:w="1649" w:type="pct"/>
            <w:shd w:val="clear" w:color="auto" w:fill="auto"/>
            <w:noWrap w:val="0"/>
            <w:vAlign w:val="center"/>
          </w:tcPr>
          <w:p>
            <w:pPr>
              <w:rPr>
                <w:rFonts w:ascii="Times New Roman" w:hAnsi="Times New Roman"/>
                <w:szCs w:val="21"/>
              </w:rPr>
            </w:pPr>
            <w:r>
              <w:rPr>
                <w:rFonts w:hint="eastAsia" w:ascii="TimesNewRoman" w:hAnsi="TimesNewRoman" w:cs="TimesNewRoman"/>
                <w:kern w:val="0"/>
                <w:szCs w:val="21"/>
              </w:rPr>
              <w:t>项目</w:t>
            </w:r>
            <w:r>
              <w:rPr>
                <w:rFonts w:ascii="TimesNewRoman" w:hAnsi="TimesNewRoman" w:cs="TimesNewRoman"/>
                <w:kern w:val="0"/>
                <w:szCs w:val="21"/>
              </w:rPr>
              <w:t>VOCs</w:t>
            </w:r>
            <w:r>
              <w:rPr>
                <w:rFonts w:hint="eastAsia" w:ascii="宋体" w:hAnsi="TimesNewRoman" w:cs="宋体"/>
                <w:kern w:val="0"/>
                <w:szCs w:val="21"/>
              </w:rPr>
              <w:t>废气排放满足相关污染物排放标准要求。</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8.1.11  《2020年挥发性有机物治理攻坚方案》</w:t>
      </w:r>
    </w:p>
    <w:p>
      <w:pPr>
        <w:spacing w:line="520" w:lineRule="exact"/>
        <w:ind w:firstLine="560" w:firstLineChars="200"/>
        <w:rPr>
          <w:rFonts w:ascii="Times New Roman" w:hAnsi="Times New Roman"/>
          <w:sz w:val="28"/>
          <w:szCs w:val="28"/>
        </w:rPr>
      </w:pPr>
      <w:r>
        <w:rPr>
          <w:rFonts w:ascii="Times New Roman" w:hAnsi="Times New Roman"/>
          <w:sz w:val="28"/>
          <w:szCs w:val="28"/>
        </w:rPr>
        <w:t>本项目符合《2020年挥发性有机物治理攻坚方案》的相关要求，具体相符性分析见表8.1-10。</w:t>
      </w:r>
    </w:p>
    <w:p>
      <w:pPr>
        <w:pStyle w:val="32"/>
      </w:pPr>
    </w:p>
    <w:p>
      <w:pPr>
        <w:pStyle w:val="32"/>
      </w:pPr>
      <w:r>
        <w:t>表8.1-10   本项目与《2020年挥发性有机物治理攻坚方案》相符性分析</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446"/>
        <w:gridCol w:w="3827"/>
        <w:gridCol w:w="2973"/>
        <w:gridCol w:w="76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blHeader/>
        </w:trPr>
        <w:tc>
          <w:tcPr>
            <w:tcW w:w="802" w:type="pct"/>
            <w:shd w:val="clear" w:color="auto" w:fill="auto"/>
            <w:noWrap w:val="0"/>
            <w:vAlign w:val="center"/>
          </w:tcPr>
          <w:p>
            <w:pPr>
              <w:pStyle w:val="36"/>
              <w:spacing w:line="240" w:lineRule="auto"/>
              <w:rPr>
                <w:b/>
                <w:color w:val="auto"/>
                <w:szCs w:val="21"/>
              </w:rPr>
            </w:pPr>
            <w:r>
              <w:rPr>
                <w:b/>
                <w:color w:val="auto"/>
                <w:szCs w:val="21"/>
              </w:rPr>
              <w:t>类别</w:t>
            </w:r>
          </w:p>
        </w:tc>
        <w:tc>
          <w:tcPr>
            <w:tcW w:w="2123" w:type="pct"/>
            <w:shd w:val="clear" w:color="auto" w:fill="auto"/>
            <w:noWrap w:val="0"/>
            <w:vAlign w:val="center"/>
          </w:tcPr>
          <w:p>
            <w:pPr>
              <w:pStyle w:val="36"/>
              <w:spacing w:line="240" w:lineRule="auto"/>
              <w:rPr>
                <w:b/>
                <w:color w:val="auto"/>
                <w:szCs w:val="21"/>
              </w:rPr>
            </w:pPr>
            <w:r>
              <w:rPr>
                <w:b/>
                <w:color w:val="auto"/>
                <w:szCs w:val="21"/>
              </w:rPr>
              <w:t>实施意见要求</w:t>
            </w:r>
          </w:p>
        </w:tc>
        <w:tc>
          <w:tcPr>
            <w:tcW w:w="1649" w:type="pct"/>
            <w:shd w:val="clear" w:color="auto" w:fill="auto"/>
            <w:noWrap w:val="0"/>
            <w:vAlign w:val="center"/>
          </w:tcPr>
          <w:p>
            <w:pPr>
              <w:pStyle w:val="36"/>
              <w:spacing w:line="240" w:lineRule="auto"/>
              <w:rPr>
                <w:b/>
                <w:color w:val="auto"/>
                <w:szCs w:val="21"/>
              </w:rPr>
            </w:pPr>
            <w:r>
              <w:rPr>
                <w:b/>
                <w:color w:val="auto"/>
                <w:szCs w:val="21"/>
              </w:rPr>
              <w:t>项目情况</w:t>
            </w:r>
          </w:p>
        </w:tc>
        <w:tc>
          <w:tcPr>
            <w:tcW w:w="426" w:type="pct"/>
            <w:shd w:val="clear" w:color="auto" w:fill="auto"/>
            <w:noWrap w:val="0"/>
            <w:vAlign w:val="center"/>
          </w:tcPr>
          <w:p>
            <w:pPr>
              <w:pStyle w:val="36"/>
              <w:spacing w:line="240" w:lineRule="auto"/>
              <w:rPr>
                <w:b/>
                <w:color w:val="auto"/>
                <w:szCs w:val="21"/>
              </w:rPr>
            </w:pPr>
            <w:r>
              <w:rPr>
                <w:b/>
                <w:color w:val="auto"/>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802" w:type="pct"/>
            <w:shd w:val="clear" w:color="auto" w:fill="auto"/>
            <w:noWrap w:val="0"/>
            <w:vAlign w:val="center"/>
          </w:tcPr>
          <w:p>
            <w:pPr>
              <w:pStyle w:val="36"/>
              <w:spacing w:line="240" w:lineRule="auto"/>
              <w:jc w:val="both"/>
              <w:rPr>
                <w:color w:val="auto"/>
                <w:kern w:val="0"/>
                <w:szCs w:val="21"/>
              </w:rPr>
            </w:pPr>
            <w:r>
              <w:rPr>
                <w:rStyle w:val="70"/>
                <w:color w:val="auto"/>
                <w:szCs w:val="21"/>
              </w:rPr>
              <w:t>全面落实标准要求，强化无组织排放控制</w:t>
            </w:r>
          </w:p>
        </w:tc>
        <w:tc>
          <w:tcPr>
            <w:tcW w:w="2123" w:type="pct"/>
            <w:shd w:val="clear" w:color="auto" w:fill="auto"/>
            <w:noWrap w:val="0"/>
            <w:vAlign w:val="center"/>
          </w:tcPr>
          <w:p>
            <w:pPr>
              <w:autoSpaceDE w:val="0"/>
              <w:autoSpaceDN w:val="0"/>
              <w:adjustRightInd w:val="0"/>
              <w:jc w:val="left"/>
              <w:rPr>
                <w:rFonts w:ascii="Times New Roman" w:hAnsi="Times New Roman"/>
                <w:kern w:val="0"/>
                <w:szCs w:val="21"/>
              </w:rPr>
            </w:pPr>
            <w:r>
              <w:rPr>
                <w:rStyle w:val="71"/>
                <w:rFonts w:ascii="Times New Roman" w:hAnsi="Times New Roman"/>
                <w:szCs w:val="21"/>
              </w:rPr>
              <w:t>生产和使用环节应采用密闭设备，或在密闭空间中操作并有效收集废气，或进行局部气体收集；非取用状态时容器应密闭。</w:t>
            </w:r>
          </w:p>
        </w:tc>
        <w:tc>
          <w:tcPr>
            <w:tcW w:w="1649" w:type="pct"/>
            <w:shd w:val="clear" w:color="auto" w:fill="auto"/>
            <w:noWrap w:val="0"/>
            <w:vAlign w:val="center"/>
          </w:tcPr>
          <w:p>
            <w:pPr>
              <w:pStyle w:val="36"/>
              <w:spacing w:line="240" w:lineRule="auto"/>
              <w:jc w:val="left"/>
              <w:rPr>
                <w:color w:val="auto"/>
                <w:szCs w:val="21"/>
              </w:rPr>
            </w:pPr>
            <w:r>
              <w:rPr>
                <w:color w:val="auto"/>
                <w:szCs w:val="21"/>
              </w:rPr>
              <w:t>项目生产所用设备均为密闭生产，以尽可能减少设备生产过程中的无组织排放量</w:t>
            </w:r>
            <w:r>
              <w:rPr>
                <w:color w:val="auto"/>
                <w:kern w:val="0"/>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802" w:type="pct"/>
            <w:shd w:val="clear" w:color="auto" w:fill="auto"/>
            <w:noWrap w:val="0"/>
            <w:vAlign w:val="center"/>
          </w:tcPr>
          <w:p>
            <w:pPr>
              <w:pStyle w:val="19"/>
              <w:shd w:val="clear" w:color="auto" w:fill="FFFFFF"/>
              <w:spacing w:before="0" w:beforeAutospacing="0" w:after="0" w:afterAutospacing="0"/>
              <w:jc w:val="both"/>
              <w:rPr>
                <w:rFonts w:hint="eastAsia" w:ascii="Times New Roman" w:hAnsi="Times New Roman" w:cs="Times New Roman"/>
                <w:sz w:val="21"/>
                <w:szCs w:val="21"/>
              </w:rPr>
            </w:pPr>
            <w:r>
              <w:rPr>
                <w:rStyle w:val="70"/>
                <w:rFonts w:ascii="Times New Roman" w:hAnsi="Times New Roman" w:cs="Times New Roman"/>
                <w:sz w:val="21"/>
                <w:szCs w:val="21"/>
              </w:rPr>
              <w:t>聚焦治污设施“三率”，提升综合治理效率</w:t>
            </w:r>
          </w:p>
        </w:tc>
        <w:tc>
          <w:tcPr>
            <w:tcW w:w="2123" w:type="pct"/>
            <w:shd w:val="clear" w:color="auto" w:fill="auto"/>
            <w:noWrap w:val="0"/>
            <w:vAlign w:val="center"/>
          </w:tcPr>
          <w:p>
            <w:pPr>
              <w:autoSpaceDE w:val="0"/>
              <w:autoSpaceDN w:val="0"/>
              <w:adjustRightInd w:val="0"/>
              <w:jc w:val="left"/>
              <w:rPr>
                <w:rStyle w:val="71"/>
                <w:rFonts w:ascii="Times New Roman" w:hAnsi="Times New Roman"/>
                <w:szCs w:val="21"/>
              </w:rPr>
            </w:pPr>
            <w:r>
              <w:rPr>
                <w:rStyle w:val="71"/>
                <w:rFonts w:ascii="Times New Roman" w:hAnsi="Times New Roman"/>
                <w:szCs w:val="21"/>
              </w:rPr>
              <w:t>按照“应收尽收”的原则提升废气收集率。</w:t>
            </w:r>
          </w:p>
          <w:p>
            <w:pPr>
              <w:autoSpaceDE w:val="0"/>
              <w:autoSpaceDN w:val="0"/>
              <w:adjustRightInd w:val="0"/>
              <w:jc w:val="left"/>
              <w:rPr>
                <w:rStyle w:val="71"/>
                <w:rFonts w:ascii="Times New Roman" w:hAnsi="Times New Roman"/>
                <w:szCs w:val="21"/>
              </w:rPr>
            </w:pPr>
            <w:r>
              <w:rPr>
                <w:rStyle w:val="71"/>
                <w:rFonts w:ascii="Times New Roman" w:hAnsi="Times New Roman"/>
                <w:szCs w:val="21"/>
              </w:rPr>
              <w:t>根据处理工艺要求，在处理设施达到正常运行条件后方可启动生产设备，在生产设备停止、残留VOCs废气收集处理完毕后，方可停运处理设施。</w:t>
            </w:r>
          </w:p>
          <w:p>
            <w:pPr>
              <w:autoSpaceDE w:val="0"/>
              <w:autoSpaceDN w:val="0"/>
              <w:adjustRightInd w:val="0"/>
              <w:jc w:val="left"/>
              <w:rPr>
                <w:rStyle w:val="71"/>
                <w:rFonts w:ascii="Times New Roman" w:hAnsi="Times New Roman"/>
                <w:szCs w:val="21"/>
              </w:rPr>
            </w:pPr>
            <w:r>
              <w:rPr>
                <w:rStyle w:val="71"/>
                <w:rFonts w:ascii="Times New Roman" w:hAnsi="Times New Roman"/>
                <w:szCs w:val="21"/>
              </w:rPr>
              <w:t>因安全等因素生产工艺设备不能停止或不能及时停止运行的，应设置废气应急处理设施或采取其他替代措施。</w:t>
            </w:r>
          </w:p>
          <w:p>
            <w:pPr>
              <w:autoSpaceDE w:val="0"/>
              <w:autoSpaceDN w:val="0"/>
              <w:adjustRightInd w:val="0"/>
              <w:jc w:val="left"/>
              <w:rPr>
                <w:rFonts w:ascii="Times New Roman" w:hAnsi="Times New Roman"/>
                <w:kern w:val="0"/>
                <w:szCs w:val="21"/>
              </w:rPr>
            </w:pPr>
            <w:r>
              <w:rPr>
                <w:rStyle w:val="71"/>
                <w:rFonts w:ascii="Times New Roman" w:hAnsi="Times New Roman"/>
                <w:szCs w:val="21"/>
              </w:rPr>
              <w:t>企业新建治污设施或对现有治污设施实施改造，应依据排放废气特征、VOCs组分及浓度、生产工况等，合理选择治理技术，对治理难度大、单一治理工艺难以稳定达标的，要采用多种技术的组合工艺。</w:t>
            </w:r>
          </w:p>
        </w:tc>
        <w:tc>
          <w:tcPr>
            <w:tcW w:w="1649" w:type="pct"/>
            <w:shd w:val="clear" w:color="auto" w:fill="auto"/>
            <w:noWrap w:val="0"/>
            <w:vAlign w:val="center"/>
          </w:tcPr>
          <w:p>
            <w:pPr>
              <w:pStyle w:val="36"/>
              <w:spacing w:line="240" w:lineRule="auto"/>
              <w:jc w:val="left"/>
              <w:rPr>
                <w:rFonts w:hint="eastAsia"/>
                <w:color w:val="auto"/>
                <w:szCs w:val="21"/>
              </w:rPr>
            </w:pPr>
            <w:r>
              <w:rPr>
                <w:color w:val="auto"/>
                <w:szCs w:val="21"/>
              </w:rPr>
              <w:t>项目氢气驰放气、闪蒸不凝气通过厂区现有火炬焚烧，真空泵尾气主要是醇类物质，通过尾气洗涤塔</w:t>
            </w:r>
            <w:r>
              <w:rPr>
                <w:rFonts w:hint="eastAsia"/>
                <w:color w:val="auto"/>
                <w:szCs w:val="21"/>
              </w:rPr>
              <w:t>+活性炭吸附罐</w:t>
            </w:r>
            <w:r>
              <w:rPr>
                <w:color w:val="auto"/>
                <w:szCs w:val="21"/>
              </w:rPr>
              <w:t>处理</w:t>
            </w:r>
            <w:r>
              <w:rPr>
                <w:rFonts w:hint="eastAsia"/>
                <w:color w:val="auto"/>
                <w:szCs w:val="21"/>
              </w:rPr>
              <w:t>，处理效率达到8</w:t>
            </w:r>
            <w:r>
              <w:rPr>
                <w:color w:val="auto"/>
                <w:szCs w:val="21"/>
              </w:rPr>
              <w:t>0</w:t>
            </w:r>
            <w:r>
              <w:rPr>
                <w:rFonts w:hint="eastAsia"/>
                <w:color w:val="auto"/>
                <w:szCs w:val="21"/>
              </w:rPr>
              <w:t>%以上</w:t>
            </w:r>
            <w:r>
              <w:rPr>
                <w:color w:val="auto"/>
                <w:szCs w:val="21"/>
              </w:rPr>
              <w:t>。</w:t>
            </w:r>
          </w:p>
          <w:p>
            <w:pPr>
              <w:pStyle w:val="36"/>
              <w:spacing w:line="240" w:lineRule="auto"/>
              <w:jc w:val="left"/>
              <w:rPr>
                <w:rFonts w:hint="eastAsia"/>
                <w:color w:val="auto"/>
                <w:szCs w:val="21"/>
              </w:rPr>
            </w:pPr>
            <w:r>
              <w:rPr>
                <w:color w:val="auto"/>
                <w:szCs w:val="21"/>
              </w:rPr>
              <w:t>项目非正常工况及事故状态下的废气</w:t>
            </w:r>
            <w:r>
              <w:rPr>
                <w:rFonts w:hint="eastAsia"/>
                <w:color w:val="auto"/>
                <w:szCs w:val="21"/>
              </w:rPr>
              <w:t>均</w:t>
            </w:r>
            <w:r>
              <w:rPr>
                <w:color w:val="auto"/>
                <w:szCs w:val="21"/>
              </w:rPr>
              <w:t>送入</w:t>
            </w:r>
            <w:r>
              <w:rPr>
                <w:rFonts w:hint="eastAsia"/>
                <w:color w:val="auto"/>
                <w:szCs w:val="21"/>
              </w:rPr>
              <w:t>厂区现有</w:t>
            </w:r>
            <w:r>
              <w:rPr>
                <w:color w:val="auto"/>
                <w:szCs w:val="21"/>
              </w:rPr>
              <w:t>火炬焚烧处理。</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802" w:type="pct"/>
            <w:shd w:val="clear" w:color="auto" w:fill="auto"/>
            <w:noWrap w:val="0"/>
            <w:vAlign w:val="center"/>
          </w:tcPr>
          <w:p>
            <w:pPr>
              <w:pStyle w:val="36"/>
              <w:spacing w:line="240" w:lineRule="auto"/>
              <w:jc w:val="both"/>
              <w:rPr>
                <w:color w:val="auto"/>
                <w:kern w:val="0"/>
                <w:szCs w:val="21"/>
              </w:rPr>
            </w:pPr>
            <w:r>
              <w:rPr>
                <w:rStyle w:val="70"/>
                <w:color w:val="auto"/>
                <w:szCs w:val="21"/>
              </w:rPr>
              <w:t>完善监测监控体系，提高精准治理水平</w:t>
            </w:r>
          </w:p>
        </w:tc>
        <w:tc>
          <w:tcPr>
            <w:tcW w:w="2123" w:type="pct"/>
            <w:shd w:val="clear" w:color="auto" w:fill="auto"/>
            <w:noWrap w:val="0"/>
            <w:vAlign w:val="center"/>
          </w:tcPr>
          <w:p>
            <w:pPr>
              <w:autoSpaceDE w:val="0"/>
              <w:autoSpaceDN w:val="0"/>
              <w:adjustRightInd w:val="0"/>
              <w:jc w:val="left"/>
              <w:rPr>
                <w:rStyle w:val="71"/>
                <w:rFonts w:ascii="Times New Roman" w:hAnsi="Times New Roman"/>
                <w:szCs w:val="21"/>
              </w:rPr>
            </w:pPr>
            <w:r>
              <w:rPr>
                <w:rStyle w:val="71"/>
                <w:rFonts w:ascii="Times New Roman" w:hAnsi="Times New Roman"/>
                <w:szCs w:val="21"/>
              </w:rPr>
              <w:t>加强污染源VOCs监测监控。</w:t>
            </w:r>
          </w:p>
          <w:p>
            <w:pPr>
              <w:autoSpaceDE w:val="0"/>
              <w:autoSpaceDN w:val="0"/>
              <w:adjustRightInd w:val="0"/>
              <w:jc w:val="left"/>
              <w:rPr>
                <w:rFonts w:ascii="Times New Roman" w:hAnsi="Times New Roman"/>
                <w:kern w:val="0"/>
                <w:szCs w:val="21"/>
              </w:rPr>
            </w:pPr>
            <w:r>
              <w:rPr>
                <w:rStyle w:val="71"/>
                <w:rFonts w:ascii="Times New Roman" w:hAnsi="Times New Roman"/>
                <w:szCs w:val="21"/>
              </w:rPr>
              <w:t>开展重点管控企业厂区内无组织排放监测，监控企业综合控制效果。</w:t>
            </w:r>
          </w:p>
        </w:tc>
        <w:tc>
          <w:tcPr>
            <w:tcW w:w="1649" w:type="pct"/>
            <w:shd w:val="clear" w:color="auto" w:fill="auto"/>
            <w:noWrap w:val="0"/>
            <w:vAlign w:val="center"/>
          </w:tcPr>
          <w:p>
            <w:pPr>
              <w:rPr>
                <w:rFonts w:ascii="Times New Roman" w:hAnsi="Times New Roman"/>
                <w:szCs w:val="21"/>
              </w:rPr>
            </w:pPr>
            <w:r>
              <w:rPr>
                <w:rFonts w:hint="eastAsia"/>
                <w:szCs w:val="21"/>
              </w:rPr>
              <w:t>项目为千吨级中试项目，位于中原大化现有煤化工厂区内；</w:t>
            </w:r>
            <w:r>
              <w:rPr>
                <w:rFonts w:ascii="Times New Roman" w:hAnsi="Times New Roman"/>
                <w:szCs w:val="21"/>
              </w:rPr>
              <w:t>目前</w:t>
            </w:r>
            <w:r>
              <w:rPr>
                <w:rFonts w:hint="eastAsia"/>
                <w:szCs w:val="21"/>
              </w:rPr>
              <w:t>厂界已</w:t>
            </w:r>
            <w:r>
              <w:rPr>
                <w:rFonts w:ascii="Times New Roman" w:hAnsi="Times New Roman"/>
                <w:szCs w:val="28"/>
              </w:rPr>
              <w:t>设置</w:t>
            </w:r>
            <w:r>
              <w:rPr>
                <w:szCs w:val="28"/>
              </w:rPr>
              <w:t>2</w:t>
            </w:r>
            <w:r>
              <w:rPr>
                <w:rFonts w:ascii="Times New Roman" w:hAnsi="Times New Roman"/>
                <w:szCs w:val="28"/>
              </w:rPr>
              <w:t>套非甲烷总烃在线监控设施，</w:t>
            </w:r>
            <w:r>
              <w:rPr>
                <w:bCs/>
                <w:szCs w:val="21"/>
              </w:rPr>
              <w:t>并与环保部门联网</w:t>
            </w:r>
            <w:r>
              <w:rPr>
                <w:rFonts w:hint="eastAsia"/>
                <w:bCs/>
                <w:szCs w:val="21"/>
              </w:rPr>
              <w:t>。</w:t>
            </w:r>
          </w:p>
        </w:tc>
        <w:tc>
          <w:tcPr>
            <w:tcW w:w="426" w:type="pct"/>
            <w:shd w:val="clear" w:color="auto" w:fill="auto"/>
            <w:noWrap w:val="0"/>
            <w:vAlign w:val="center"/>
          </w:tcPr>
          <w:p>
            <w:pPr>
              <w:pStyle w:val="36"/>
              <w:spacing w:line="240" w:lineRule="auto"/>
              <w:rPr>
                <w:color w:val="auto"/>
                <w:szCs w:val="21"/>
              </w:rPr>
            </w:pPr>
            <w:r>
              <w:rPr>
                <w:color w:val="auto"/>
                <w:szCs w:val="21"/>
              </w:rPr>
              <w:t>相符</w:t>
            </w:r>
          </w:p>
        </w:tc>
      </w:tr>
    </w:tbl>
    <w:p>
      <w:pPr>
        <w:pStyle w:val="4"/>
        <w:spacing w:before="0" w:after="0" w:line="520" w:lineRule="exact"/>
        <w:rPr>
          <w:rFonts w:ascii="Times New Roman" w:hAnsi="Times New Roman" w:eastAsia="黑体"/>
          <w:sz w:val="28"/>
          <w:szCs w:val="28"/>
          <w:lang w:val="en-US" w:eastAsia="zh-CN"/>
        </w:rPr>
      </w:pPr>
      <w:r>
        <w:rPr>
          <w:rFonts w:ascii="Times New Roman" w:hAnsi="Times New Roman" w:eastAsia="黑体"/>
          <w:sz w:val="28"/>
          <w:szCs w:val="28"/>
          <w:lang w:val="en-US" w:eastAsia="zh-CN"/>
        </w:rPr>
        <w:t>8.2  相关规划相符性分析</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8.2.1  《河南省主体功能区规划》（2014）</w:t>
      </w:r>
    </w:p>
    <w:p>
      <w:pPr>
        <w:pStyle w:val="69"/>
        <w:ind w:firstLine="560"/>
        <w:rPr>
          <w:rFonts w:cs="Times New Roman"/>
          <w:szCs w:val="28"/>
        </w:rPr>
      </w:pPr>
      <w:r>
        <w:rPr>
          <w:rFonts w:cs="Times New Roman"/>
          <w:szCs w:val="28"/>
        </w:rPr>
        <w:t>项目所在的</w:t>
      </w:r>
      <w:r>
        <w:rPr>
          <w:rFonts w:cs="Times New Roman"/>
          <w:szCs w:val="21"/>
        </w:rPr>
        <w:t>濮阳经济技术产业集聚区（含濮阳经济开发区）</w:t>
      </w:r>
      <w:r>
        <w:rPr>
          <w:rFonts w:cs="Times New Roman"/>
          <w:szCs w:val="28"/>
        </w:rPr>
        <w:t>为我省的省级重点开发区域之一，该区域的主题功能定位是：地区性中心城市发展区，人口和经济的重要集聚区，全省城市体系的重要支撑点。</w:t>
      </w:r>
    </w:p>
    <w:p>
      <w:pPr>
        <w:pStyle w:val="69"/>
        <w:ind w:firstLine="560"/>
        <w:rPr>
          <w:rFonts w:cs="Times New Roman"/>
          <w:szCs w:val="28"/>
        </w:rPr>
      </w:pPr>
      <w:r>
        <w:rPr>
          <w:rFonts w:cs="Times New Roman"/>
          <w:szCs w:val="28"/>
        </w:rPr>
        <w:t>（1）加快推进城镇化。发挥中心城市依城促产、以城带乡的主导作用，调整优化产业结构和城市空间布局结构，推进城市组团、城乡一体化示范区、中心城区协同发展，重点提升产业集聚区、商务中心区和特色商业区建设水平，进一步提升对周边区域的辐射带动能力。壮大县城规模，提升发展水平，增强承接产业转移、参与分工协作、吸纳就业能力，加快产业和人口向县城集聚。因地制宜发展各具特色的小城镇支持已经形成一定产业和人口规模、基础条件好的中心镇发展成为小城市。加快推进户籍制度改革，全部放开县城以下中小城市户籍限制，加快中等以上城市户籍放开步伐，推动农村人口向城镇转移。</w:t>
      </w:r>
    </w:p>
    <w:p>
      <w:pPr>
        <w:pStyle w:val="69"/>
        <w:ind w:firstLine="560"/>
        <w:rPr>
          <w:rFonts w:cs="Times New Roman"/>
          <w:szCs w:val="28"/>
        </w:rPr>
      </w:pPr>
      <w:r>
        <w:rPr>
          <w:rFonts w:cs="Times New Roman"/>
          <w:szCs w:val="28"/>
        </w:rPr>
        <w:t>（2）加快推进工业化。以产业集聚区为载体，加快企业集中布局、产业集群发展、资源集约利用。大力培育有一定基础优势的战略性新兴产业做优做强先进装备制造、精品原材料、中高端消费品等特色产业。</w:t>
      </w:r>
    </w:p>
    <w:p>
      <w:pPr>
        <w:pStyle w:val="69"/>
        <w:ind w:firstLine="560"/>
        <w:rPr>
          <w:rFonts w:cs="Times New Roman"/>
          <w:szCs w:val="28"/>
        </w:rPr>
      </w:pPr>
      <w:r>
        <w:rPr>
          <w:rFonts w:cs="Times New Roman"/>
          <w:szCs w:val="28"/>
        </w:rPr>
        <w:t>（3）统筹城乡协调发展。推动城市基础设施、公共服务和现代文明向农村延伸，推进新农村建设。统筹城乡社会事业发展，逐步实现城乡基本公共服务均等化。统筹城乡劳动就业，加快建立城乡统一的人力资源市场和公平竞争的就业制度。深入推进城乡一体化，逐步实现城乡规划、产业、基础设施、公共服务、劳动就业、社会保障一体化发展。</w:t>
      </w:r>
    </w:p>
    <w:p>
      <w:pPr>
        <w:pStyle w:val="69"/>
        <w:ind w:firstLine="560"/>
        <w:rPr>
          <w:rFonts w:cs="Times New Roman"/>
          <w:szCs w:val="28"/>
        </w:rPr>
      </w:pPr>
      <w:r>
        <w:rPr>
          <w:rFonts w:cs="Times New Roman"/>
          <w:szCs w:val="28"/>
        </w:rPr>
        <w:t>（4）加快推进农业现代化。稳定提高粮食生产能力，促进农业发展方式向机械化、信息化、规模化、集约化、标准化、生态化和产业化转变。接近中心城市的县（市）大力发展城市景观农业、会展农业、设施精准农业、休闲农业等都市农业，其他县（市）大力发展规模高效农业，保障基本农产品生产。</w:t>
      </w:r>
    </w:p>
    <w:p>
      <w:pPr>
        <w:pStyle w:val="69"/>
        <w:ind w:firstLine="560"/>
        <w:rPr>
          <w:rFonts w:cs="Times New Roman"/>
          <w:szCs w:val="28"/>
        </w:rPr>
      </w:pPr>
      <w:r>
        <w:rPr>
          <w:rFonts w:cs="Times New Roman"/>
          <w:szCs w:val="28"/>
        </w:rPr>
        <w:t>（5）加强生态建设和环境保护。加强工业污染防治和城市生态环境保护，强化农村环境综合整治和农业面源污染防治，大力发展循环经济、绿色经济、低碳经济，促进人口、资源、环境与经济发展相协调。</w:t>
      </w:r>
    </w:p>
    <w:p>
      <w:pPr>
        <w:pStyle w:val="69"/>
        <w:ind w:firstLine="560"/>
        <w:rPr>
          <w:rFonts w:cs="Times New Roman"/>
          <w:szCs w:val="28"/>
        </w:rPr>
      </w:pPr>
      <w:r>
        <w:rPr>
          <w:rFonts w:cs="Times New Roman"/>
          <w:szCs w:val="28"/>
        </w:rPr>
        <w:t>本项目位于濮阳经济技术产业集聚区，属于省级重点开发区域，项目建设有助于推进该区域的工业化进程，符合《河南省主体功能区划》（2014）对省级重点开发区域的规划要求。</w:t>
      </w:r>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8.2.2  濮阳市城市总体规划（2015~2030年）</w:t>
      </w:r>
    </w:p>
    <w:p>
      <w:pPr>
        <w:spacing w:line="520" w:lineRule="exact"/>
        <w:ind w:firstLine="560" w:firstLineChars="200"/>
        <w:rPr>
          <w:rFonts w:ascii="Times New Roman" w:hAnsi="Times New Roman"/>
          <w:sz w:val="28"/>
          <w:szCs w:val="28"/>
        </w:rPr>
      </w:pPr>
      <w:r>
        <w:rPr>
          <w:rFonts w:ascii="Times New Roman" w:hAnsi="Times New Roman"/>
          <w:sz w:val="28"/>
          <w:szCs w:val="28"/>
        </w:rPr>
        <w:t>《濮阳市城乡总体规划(2015~2030)》（纲要）于2016年12月16日通过省住建厅组织的评审。</w:t>
      </w:r>
    </w:p>
    <w:p>
      <w:pPr>
        <w:spacing w:line="520" w:lineRule="exact"/>
        <w:ind w:firstLine="560" w:firstLineChars="200"/>
        <w:rPr>
          <w:rFonts w:ascii="Times New Roman" w:hAnsi="Times New Roman"/>
          <w:sz w:val="28"/>
          <w:szCs w:val="28"/>
        </w:rPr>
      </w:pPr>
      <w:r>
        <w:rPr>
          <w:rFonts w:ascii="Times New Roman" w:hAnsi="Times New Roman"/>
          <w:sz w:val="28"/>
          <w:szCs w:val="28"/>
        </w:rPr>
        <w:t>（1）规划范围</w:t>
      </w:r>
    </w:p>
    <w:p>
      <w:pPr>
        <w:spacing w:line="520" w:lineRule="exact"/>
        <w:ind w:firstLine="560" w:firstLineChars="200"/>
        <w:rPr>
          <w:rFonts w:ascii="Times New Roman" w:hAnsi="Times New Roman"/>
          <w:sz w:val="28"/>
          <w:szCs w:val="28"/>
        </w:rPr>
      </w:pPr>
      <w:r>
        <w:rPr>
          <w:rFonts w:ascii="Times New Roman" w:hAnsi="Times New Roman"/>
          <w:sz w:val="28"/>
          <w:szCs w:val="28"/>
        </w:rPr>
        <w:t>规划范围包括市域、规划区、中心城区三个层次，其中市域为濮阳市行政辖区，总面积4271平方公里；规划区包括华龙区，清丰县马庄桥镇柳格镇、固城乡、双庙乡，濮阳县城关镇、柳屯镇、清河头乡的行政管辖范围，总面积708.3平方公里；中心城区包括主城区和濮阳县城。</w:t>
      </w:r>
    </w:p>
    <w:p>
      <w:pPr>
        <w:spacing w:line="520" w:lineRule="exact"/>
        <w:ind w:firstLine="560" w:firstLineChars="200"/>
        <w:rPr>
          <w:rFonts w:ascii="Times New Roman" w:hAnsi="Times New Roman"/>
          <w:sz w:val="28"/>
          <w:szCs w:val="28"/>
        </w:rPr>
      </w:pPr>
      <w:r>
        <w:rPr>
          <w:rFonts w:ascii="Times New Roman" w:hAnsi="Times New Roman"/>
          <w:sz w:val="28"/>
          <w:szCs w:val="28"/>
        </w:rPr>
        <w:t>（2）规划期限</w:t>
      </w:r>
    </w:p>
    <w:p>
      <w:pPr>
        <w:spacing w:line="520" w:lineRule="exact"/>
        <w:ind w:firstLine="560" w:firstLineChars="200"/>
        <w:rPr>
          <w:rFonts w:ascii="Times New Roman" w:hAnsi="Times New Roman"/>
          <w:sz w:val="28"/>
          <w:szCs w:val="28"/>
        </w:rPr>
      </w:pPr>
      <w:r>
        <w:rPr>
          <w:rFonts w:ascii="Times New Roman" w:hAnsi="Times New Roman"/>
          <w:sz w:val="28"/>
          <w:szCs w:val="28"/>
        </w:rPr>
        <w:t>本规划期限为2015~2030年。其中，近期为2015~2020年；远期为2020~2030年；2030年后为远景展望。</w:t>
      </w:r>
    </w:p>
    <w:p>
      <w:pPr>
        <w:spacing w:line="520" w:lineRule="exact"/>
        <w:ind w:firstLine="560" w:firstLineChars="200"/>
        <w:rPr>
          <w:rFonts w:ascii="Times New Roman" w:hAnsi="Times New Roman"/>
          <w:sz w:val="28"/>
          <w:szCs w:val="28"/>
        </w:rPr>
      </w:pPr>
      <w:r>
        <w:rPr>
          <w:rFonts w:ascii="Times New Roman" w:hAnsi="Times New Roman"/>
          <w:sz w:val="28"/>
          <w:szCs w:val="28"/>
        </w:rPr>
        <w:t>（3）城市性质</w:t>
      </w:r>
    </w:p>
    <w:p>
      <w:pPr>
        <w:spacing w:line="520" w:lineRule="exact"/>
        <w:ind w:firstLine="560" w:firstLineChars="200"/>
        <w:rPr>
          <w:rFonts w:ascii="Times New Roman" w:hAnsi="Times New Roman"/>
          <w:sz w:val="28"/>
          <w:szCs w:val="28"/>
        </w:rPr>
      </w:pPr>
      <w:r>
        <w:rPr>
          <w:rFonts w:ascii="Times New Roman" w:hAnsi="Times New Roman"/>
          <w:sz w:val="28"/>
          <w:szCs w:val="28"/>
        </w:rPr>
        <w:t>豫鲁冀三省交汇处的中心城市；以绿色精细化工为导向的资源转型创新示范区；生态园林特色突出的国家级历史文化名城。</w:t>
      </w:r>
    </w:p>
    <w:p>
      <w:pPr>
        <w:spacing w:line="520" w:lineRule="exact"/>
        <w:ind w:firstLine="560" w:firstLineChars="200"/>
        <w:rPr>
          <w:rFonts w:ascii="Times New Roman" w:hAnsi="Times New Roman"/>
          <w:sz w:val="28"/>
          <w:szCs w:val="28"/>
        </w:rPr>
      </w:pPr>
      <w:r>
        <w:rPr>
          <w:rFonts w:ascii="Times New Roman" w:hAnsi="Times New Roman"/>
          <w:sz w:val="28"/>
          <w:szCs w:val="28"/>
        </w:rPr>
        <w:t>（4）城市职能</w:t>
      </w:r>
    </w:p>
    <w:p>
      <w:pPr>
        <w:spacing w:line="520" w:lineRule="exact"/>
        <w:ind w:firstLine="560" w:firstLineChars="200"/>
        <w:rPr>
          <w:rFonts w:ascii="Times New Roman" w:hAnsi="Times New Roman"/>
          <w:sz w:val="28"/>
          <w:szCs w:val="28"/>
        </w:rPr>
      </w:pPr>
      <w:r>
        <w:rPr>
          <w:rFonts w:ascii="Times New Roman" w:hAnsi="Times New Roman"/>
          <w:sz w:val="28"/>
          <w:szCs w:val="28"/>
        </w:rPr>
        <w:t>区域层面：国家级现代农业示范区，区域性油气资源储配中心及中原油田技术外输基地，以优势工业产品和农副产品商贸为特色的区域性物流枢纽，河南省绿色精细化工创新基地。</w:t>
      </w:r>
    </w:p>
    <w:p>
      <w:pPr>
        <w:spacing w:line="520" w:lineRule="exact"/>
        <w:ind w:firstLine="560" w:firstLineChars="200"/>
        <w:rPr>
          <w:rFonts w:ascii="Times New Roman" w:hAnsi="Times New Roman"/>
          <w:sz w:val="28"/>
          <w:szCs w:val="28"/>
        </w:rPr>
      </w:pPr>
      <w:r>
        <w:rPr>
          <w:rFonts w:ascii="Times New Roman" w:hAnsi="Times New Roman"/>
          <w:sz w:val="28"/>
          <w:szCs w:val="28"/>
        </w:rPr>
        <w:t>（5）城市发展目标与战略</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城市发展总目标</w:t>
      </w:r>
    </w:p>
    <w:p>
      <w:pPr>
        <w:spacing w:line="520" w:lineRule="exact"/>
        <w:ind w:firstLine="560" w:firstLineChars="200"/>
        <w:rPr>
          <w:rFonts w:ascii="Times New Roman" w:hAnsi="Times New Roman"/>
          <w:sz w:val="28"/>
          <w:szCs w:val="28"/>
        </w:rPr>
      </w:pPr>
      <w:r>
        <w:rPr>
          <w:rFonts w:ascii="Times New Roman" w:hAnsi="Times New Roman"/>
          <w:sz w:val="28"/>
          <w:szCs w:val="28"/>
        </w:rPr>
        <w:t>以“保增长，调结构，惠民生”为出发点，以新型城镇化为导向，实现国民经济和社会转型发展，将濮阳市建设成为“中原绿都”。</w:t>
      </w:r>
    </w:p>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城市发展战略</w:t>
      </w:r>
    </w:p>
    <w:p>
      <w:pPr>
        <w:spacing w:line="520" w:lineRule="exact"/>
        <w:ind w:firstLine="560" w:firstLineChars="200"/>
        <w:rPr>
          <w:rFonts w:ascii="Times New Roman" w:hAnsi="Times New Roman"/>
          <w:sz w:val="28"/>
          <w:szCs w:val="28"/>
        </w:rPr>
      </w:pPr>
      <w:r>
        <w:rPr>
          <w:rFonts w:ascii="Times New Roman" w:hAnsi="Times New Roman"/>
          <w:sz w:val="28"/>
          <w:szCs w:val="28"/>
        </w:rPr>
        <w:t>区域协同战略：两轴外联、极核内聚。着力推进跨区域重大交通基础设施建设，强化对外交通联系；强化两条城市综合发展轴，引导城镇和产业发展要素向轴线聚集；构建“1+2”统筹重点区，组织中心城区与清丰县城、新型化工功能区协同发展。</w:t>
      </w:r>
    </w:p>
    <w:p>
      <w:pPr>
        <w:spacing w:line="520" w:lineRule="exact"/>
        <w:ind w:firstLine="560" w:firstLineChars="200"/>
        <w:rPr>
          <w:rFonts w:ascii="Times New Roman" w:hAnsi="Times New Roman"/>
          <w:sz w:val="28"/>
          <w:szCs w:val="28"/>
        </w:rPr>
      </w:pPr>
      <w:r>
        <w:rPr>
          <w:rFonts w:ascii="Times New Roman" w:hAnsi="Times New Roman"/>
          <w:sz w:val="28"/>
          <w:szCs w:val="28"/>
        </w:rPr>
        <w:t>经济转型战略：轻重并举、产城互动。确立化工产业的龙头地位，延伸产业链条；积极培育轻工业和战略性新兴产业，形成多元支柱产业体系；集中发展中心城区和县城的产业平台，控制镇级园区的规模；引导产业板块差异化发展，解决重工业围城的问题；分类发展小城镇，突出产业特色，建设新市镇、特色小镇和一般城镇。</w:t>
      </w:r>
    </w:p>
    <w:p>
      <w:pPr>
        <w:spacing w:line="520" w:lineRule="exact"/>
        <w:ind w:firstLine="560" w:firstLineChars="200"/>
        <w:rPr>
          <w:rFonts w:ascii="Times New Roman" w:hAnsi="Times New Roman"/>
          <w:sz w:val="28"/>
          <w:szCs w:val="28"/>
        </w:rPr>
      </w:pPr>
      <w:r>
        <w:rPr>
          <w:rFonts w:ascii="Times New Roman" w:hAnsi="Times New Roman"/>
          <w:sz w:val="28"/>
          <w:szCs w:val="28"/>
        </w:rPr>
        <w:t>生态保护战略：城田相融、城水相依。建构以农业生态为主导的平原生态体系，筑牢城市生态安全屏障；建构沿渠、沿黄两条特色城乡发展带，凸显城乡水绿生态、风貌特色；以水为脉，建构城市开放空间体系，形成平原水城的城市特色风貌；因地制宜，差异化引导中心城区绿地系统建设，强化园林城市特色。</w:t>
      </w:r>
    </w:p>
    <w:p>
      <w:pPr>
        <w:spacing w:line="520" w:lineRule="exact"/>
        <w:ind w:firstLine="560" w:firstLineChars="200"/>
        <w:rPr>
          <w:rFonts w:ascii="Times New Roman" w:hAnsi="Times New Roman"/>
          <w:sz w:val="28"/>
          <w:szCs w:val="28"/>
        </w:rPr>
      </w:pPr>
      <w:r>
        <w:rPr>
          <w:rFonts w:ascii="Times New Roman" w:hAnsi="Times New Roman"/>
          <w:sz w:val="28"/>
          <w:szCs w:val="28"/>
        </w:rPr>
        <w:t>空间统筹战略：多规协同、板块整合。调整规划区范围，划定重点统筹区范围，纳入重要生态空间，与生态保护红线衔接；调整中心城区空间增长边界，合理确定建设用地规模，与土地利用总体规划衔接；调整产业空间布局，保障重点项目用地，与国民经济和社会发展规划衔接；中心城区分版块整合优化空间布局，促进空间集约紧凑发展，形成“一心三城”的空间结构；结合行政管理事权，建立分区规划建设指引， 强化规划的有效传递。</w:t>
      </w:r>
    </w:p>
    <w:p>
      <w:pPr>
        <w:spacing w:line="520" w:lineRule="exact"/>
        <w:ind w:firstLine="560" w:firstLineChars="200"/>
        <w:rPr>
          <w:rFonts w:ascii="Times New Roman" w:hAnsi="Times New Roman"/>
          <w:sz w:val="28"/>
          <w:szCs w:val="28"/>
        </w:rPr>
      </w:pPr>
      <w:r>
        <w:rPr>
          <w:rFonts w:ascii="Times New Roman" w:hAnsi="Times New Roman"/>
          <w:sz w:val="28"/>
          <w:szCs w:val="28"/>
        </w:rPr>
        <w:t>社会融合战略：城乡均衡、油地共享。优化市域城乡体系，强调中心城区和县城作为吸纳农业人口转移的核心平台作用；有序推进村庄迁并和村庄整治，推进黄河滩区的村庄并存入城；提升建制镇、集镇、中心村的公共服务能力和水平，建设乡村服务圈；整合市级公共服务中心，结合行政管辖等级分级、分类配置公共服务设施；加强历史文化遗产保护，强调中原油田的历史文化传承。</w:t>
      </w:r>
    </w:p>
    <w:p>
      <w:pPr>
        <w:spacing w:line="520" w:lineRule="exact"/>
        <w:ind w:firstLine="560" w:firstLineChars="200"/>
        <w:rPr>
          <w:rFonts w:ascii="Times New Roman" w:hAnsi="Times New Roman"/>
          <w:sz w:val="28"/>
          <w:szCs w:val="28"/>
        </w:rPr>
      </w:pPr>
      <w:r>
        <w:rPr>
          <w:rFonts w:ascii="Times New Roman" w:hAnsi="Times New Roman"/>
          <w:sz w:val="28"/>
          <w:szCs w:val="28"/>
        </w:rPr>
        <w:t>（6）城乡规模等级体系</w:t>
      </w:r>
    </w:p>
    <w:p>
      <w:pPr>
        <w:spacing w:line="520" w:lineRule="exact"/>
        <w:ind w:firstLine="560" w:firstLineChars="200"/>
        <w:rPr>
          <w:rFonts w:ascii="Times New Roman" w:hAnsi="Times New Roman"/>
          <w:sz w:val="28"/>
          <w:szCs w:val="28"/>
        </w:rPr>
      </w:pPr>
      <w:r>
        <w:rPr>
          <w:rFonts w:ascii="Times New Roman" w:hAnsi="Times New Roman"/>
          <w:sz w:val="28"/>
          <w:szCs w:val="28"/>
        </w:rPr>
        <w:t>市域形成“1-6-67-N”的城乡规模等级体系。</w:t>
      </w:r>
    </w:p>
    <w:p>
      <w:pPr>
        <w:spacing w:line="520" w:lineRule="exact"/>
        <w:ind w:firstLine="560" w:firstLineChars="200"/>
        <w:rPr>
          <w:rFonts w:ascii="Times New Roman" w:hAnsi="Times New Roman"/>
          <w:sz w:val="28"/>
          <w:szCs w:val="28"/>
        </w:rPr>
      </w:pPr>
      <w:r>
        <w:rPr>
          <w:rFonts w:ascii="Times New Roman" w:hAnsi="Times New Roman"/>
          <w:sz w:val="28"/>
          <w:szCs w:val="28"/>
        </w:rPr>
        <w:t>“1”是一个吸纳人口的主要平台，为中心城区，包括主城区和濮阳县城。</w:t>
      </w:r>
    </w:p>
    <w:p>
      <w:pPr>
        <w:spacing w:line="520" w:lineRule="exact"/>
        <w:ind w:firstLine="560" w:firstLineChars="200"/>
        <w:rPr>
          <w:rFonts w:ascii="Times New Roman" w:hAnsi="Times New Roman"/>
          <w:sz w:val="28"/>
          <w:szCs w:val="28"/>
        </w:rPr>
      </w:pPr>
      <w:r>
        <w:rPr>
          <w:rFonts w:ascii="Times New Roman" w:hAnsi="Times New Roman"/>
          <w:sz w:val="28"/>
          <w:szCs w:val="28"/>
        </w:rPr>
        <w:t>“6”是六个吸纳人口的次要平台，包括清丰县城、南乐县城、范县县城、台前县城、新型化工功能区和庆祖镇。</w:t>
      </w:r>
    </w:p>
    <w:p>
      <w:pPr>
        <w:spacing w:line="520" w:lineRule="exact"/>
        <w:ind w:firstLine="560" w:firstLineChars="200"/>
        <w:rPr>
          <w:rFonts w:ascii="Times New Roman" w:hAnsi="Times New Roman"/>
          <w:sz w:val="28"/>
          <w:szCs w:val="28"/>
        </w:rPr>
      </w:pPr>
      <w:r>
        <w:rPr>
          <w:rFonts w:ascii="Times New Roman" w:hAnsi="Times New Roman"/>
          <w:sz w:val="28"/>
          <w:szCs w:val="28"/>
        </w:rPr>
        <w:t>“67”是镇和集镇。</w:t>
      </w:r>
    </w:p>
    <w:p>
      <w:pPr>
        <w:spacing w:line="520" w:lineRule="exact"/>
        <w:ind w:firstLine="560" w:firstLineChars="200"/>
        <w:rPr>
          <w:rFonts w:ascii="Times New Roman" w:hAnsi="Times New Roman"/>
          <w:sz w:val="28"/>
          <w:szCs w:val="28"/>
        </w:rPr>
      </w:pPr>
      <w:r>
        <w:rPr>
          <w:rFonts w:ascii="Times New Roman" w:hAnsi="Times New Roman"/>
          <w:sz w:val="28"/>
          <w:szCs w:val="28"/>
        </w:rPr>
        <w:t>“N”是多个村庄居民点。</w:t>
      </w:r>
    </w:p>
    <w:p>
      <w:pPr>
        <w:spacing w:line="520" w:lineRule="exact"/>
        <w:ind w:firstLine="560" w:firstLineChars="200"/>
        <w:rPr>
          <w:rFonts w:ascii="Times New Roman" w:hAnsi="Times New Roman"/>
          <w:sz w:val="28"/>
          <w:szCs w:val="28"/>
        </w:rPr>
      </w:pPr>
      <w:r>
        <w:rPr>
          <w:rFonts w:ascii="Times New Roman" w:hAnsi="Times New Roman"/>
          <w:sz w:val="28"/>
          <w:szCs w:val="28"/>
        </w:rPr>
        <w:t>（7）城乡空间结构</w:t>
      </w:r>
    </w:p>
    <w:p>
      <w:pPr>
        <w:spacing w:line="520" w:lineRule="exact"/>
        <w:ind w:firstLine="560" w:firstLineChars="200"/>
        <w:rPr>
          <w:rFonts w:ascii="Times New Roman" w:hAnsi="Times New Roman"/>
          <w:sz w:val="28"/>
          <w:szCs w:val="28"/>
        </w:rPr>
      </w:pPr>
      <w:r>
        <w:rPr>
          <w:rFonts w:ascii="Times New Roman" w:hAnsi="Times New Roman"/>
          <w:sz w:val="28"/>
          <w:szCs w:val="28"/>
        </w:rPr>
        <w:t>市域形成“一主两副，两轴两带”的城乡空间结构。</w:t>
      </w:r>
    </w:p>
    <w:p>
      <w:pPr>
        <w:spacing w:line="520" w:lineRule="exact"/>
        <w:ind w:firstLine="560" w:firstLineChars="200"/>
        <w:rPr>
          <w:rFonts w:ascii="Times New Roman" w:hAnsi="Times New Roman"/>
          <w:sz w:val="28"/>
          <w:szCs w:val="28"/>
        </w:rPr>
      </w:pPr>
      <w:r>
        <w:rPr>
          <w:rFonts w:ascii="Times New Roman" w:hAnsi="Times New Roman"/>
          <w:sz w:val="28"/>
          <w:szCs w:val="28"/>
        </w:rPr>
        <w:t>“一主”指市域主中心，为中心城区，包括主城区和濮阳县城。“两副”是指市域副中心，包括清丰县城和新型化工功能区。</w:t>
      </w:r>
    </w:p>
    <w:p>
      <w:pPr>
        <w:spacing w:line="520" w:lineRule="exact"/>
        <w:ind w:firstLine="560" w:firstLineChars="200"/>
        <w:rPr>
          <w:rFonts w:ascii="Times New Roman" w:hAnsi="Times New Roman"/>
          <w:sz w:val="28"/>
          <w:szCs w:val="28"/>
        </w:rPr>
      </w:pPr>
      <w:r>
        <w:rPr>
          <w:rFonts w:ascii="Times New Roman" w:hAnsi="Times New Roman"/>
          <w:sz w:val="28"/>
          <w:szCs w:val="28"/>
        </w:rPr>
        <w:t>“两轴”是指南北向依托106国道、京开大道的城镇综合发展轴，以及东西向依托范辉高速、324 国道的城镇综合发展轴。</w:t>
      </w:r>
    </w:p>
    <w:p>
      <w:pPr>
        <w:spacing w:line="520" w:lineRule="exact"/>
        <w:ind w:firstLine="560" w:firstLineChars="200"/>
        <w:rPr>
          <w:rFonts w:ascii="Times New Roman" w:hAnsi="Times New Roman"/>
          <w:sz w:val="28"/>
          <w:szCs w:val="28"/>
        </w:rPr>
      </w:pPr>
      <w:r>
        <w:rPr>
          <w:rFonts w:ascii="Times New Roman" w:hAnsi="Times New Roman"/>
          <w:sz w:val="28"/>
          <w:szCs w:val="28"/>
        </w:rPr>
        <w:t>“两带”是指沿第三濮清南干渠和沿黄河大堤的两条特色城乡发展带。</w:t>
      </w:r>
    </w:p>
    <w:p>
      <w:pPr>
        <w:spacing w:line="520" w:lineRule="exact"/>
        <w:ind w:firstLine="560" w:firstLineChars="200"/>
        <w:rPr>
          <w:rFonts w:ascii="Times New Roman" w:hAnsi="Times New Roman"/>
          <w:sz w:val="28"/>
          <w:szCs w:val="28"/>
        </w:rPr>
      </w:pPr>
      <w:r>
        <w:rPr>
          <w:rFonts w:ascii="Times New Roman" w:hAnsi="Times New Roman"/>
          <w:sz w:val="28"/>
          <w:szCs w:val="28"/>
        </w:rPr>
        <w:t>本项目位于濮阳经济技术产业集聚区，属于化工项目，本项目的实施符合濮阳市城市总体发展规划的产业发展战略要求。</w:t>
      </w:r>
    </w:p>
    <w:p>
      <w:pPr>
        <w:pStyle w:val="5"/>
        <w:spacing w:before="0" w:after="0" w:line="530" w:lineRule="exact"/>
        <w:rPr>
          <w:rFonts w:ascii="Times New Roman" w:hAnsi="Times New Roman" w:eastAsia="楷体_GB2312"/>
          <w:sz w:val="28"/>
          <w:szCs w:val="28"/>
          <w:lang w:val="en-US" w:eastAsia="zh-CN"/>
        </w:rPr>
      </w:pPr>
      <w:bookmarkStart w:id="270" w:name="3.2.2濮阳经济技术产业集聚区总体规划（2012～2020年）"/>
      <w:bookmarkEnd w:id="270"/>
      <w:r>
        <w:rPr>
          <w:rFonts w:ascii="Times New Roman" w:hAnsi="Times New Roman" w:eastAsia="楷体_GB2312"/>
          <w:sz w:val="28"/>
          <w:szCs w:val="28"/>
          <w:lang w:val="en-US" w:eastAsia="zh-CN"/>
        </w:rPr>
        <w:t>8.2.3  濮阳经济技术产业集聚区总体规划（2012～2020年）</w:t>
      </w:r>
    </w:p>
    <w:p>
      <w:pPr>
        <w:autoSpaceDE w:val="0"/>
        <w:autoSpaceDN w:val="0"/>
        <w:adjustRightInd w:val="0"/>
        <w:spacing w:line="520" w:lineRule="exact"/>
        <w:ind w:firstLine="560" w:firstLineChars="200"/>
        <w:jc w:val="left"/>
        <w:rPr>
          <w:rFonts w:ascii="Times New Roman" w:hAnsi="Times New Roman"/>
          <w:sz w:val="28"/>
          <w:szCs w:val="28"/>
        </w:rPr>
      </w:pPr>
      <w:r>
        <w:rPr>
          <w:rFonts w:hint="eastAsia" w:ascii="Times New Roman" w:hAnsi="Times New Roman"/>
          <w:sz w:val="28"/>
          <w:szCs w:val="28"/>
        </w:rPr>
        <w:t>濮阳经济技术产业集聚区位于河南省濮阳市西北部，其发展经历了四个阶段，分别为濮阳经济技术开发区（</w:t>
      </w:r>
      <w:r>
        <w:rPr>
          <w:rFonts w:ascii="Times New Roman" w:hAnsi="Times New Roman"/>
          <w:sz w:val="28"/>
          <w:szCs w:val="28"/>
        </w:rPr>
        <w:t>1992</w:t>
      </w:r>
      <w:r>
        <w:rPr>
          <w:rFonts w:hint="eastAsia" w:ascii="Times New Roman" w:hAnsi="Times New Roman"/>
          <w:sz w:val="28"/>
          <w:szCs w:val="28"/>
        </w:rPr>
        <w:t>年</w:t>
      </w:r>
      <w:r>
        <w:rPr>
          <w:rFonts w:ascii="Times New Roman" w:hAnsi="Times New Roman"/>
          <w:sz w:val="28"/>
          <w:szCs w:val="28"/>
        </w:rPr>
        <w:t>9</w:t>
      </w:r>
      <w:r>
        <w:rPr>
          <w:rFonts w:hint="eastAsia" w:ascii="Times New Roman" w:hAnsi="Times New Roman"/>
          <w:sz w:val="28"/>
          <w:szCs w:val="28"/>
        </w:rPr>
        <w:t>月）、濮阳高新区工业园区（</w:t>
      </w:r>
      <w:r>
        <w:rPr>
          <w:rFonts w:ascii="Times New Roman" w:hAnsi="Times New Roman"/>
          <w:sz w:val="28"/>
          <w:szCs w:val="28"/>
        </w:rPr>
        <w:t>1994</w:t>
      </w:r>
      <w:r>
        <w:rPr>
          <w:rFonts w:hint="eastAsia" w:ascii="Times New Roman" w:hAnsi="Times New Roman"/>
          <w:sz w:val="28"/>
          <w:szCs w:val="28"/>
        </w:rPr>
        <w:t>年</w:t>
      </w:r>
      <w:r>
        <w:rPr>
          <w:rFonts w:ascii="Times New Roman" w:hAnsi="Times New Roman"/>
          <w:sz w:val="28"/>
          <w:szCs w:val="28"/>
        </w:rPr>
        <w:t>3</w:t>
      </w:r>
      <w:r>
        <w:rPr>
          <w:rFonts w:hint="eastAsia" w:ascii="Times New Roman" w:hAnsi="Times New Roman"/>
          <w:sz w:val="28"/>
          <w:szCs w:val="28"/>
        </w:rPr>
        <w:t>月）、濮阳经济技术产业集聚区（</w:t>
      </w:r>
      <w:r>
        <w:rPr>
          <w:rFonts w:ascii="Times New Roman" w:hAnsi="Times New Roman"/>
          <w:sz w:val="28"/>
          <w:szCs w:val="28"/>
        </w:rPr>
        <w:t>2008</w:t>
      </w:r>
      <w:r>
        <w:rPr>
          <w:rFonts w:hint="eastAsia" w:ascii="Times New Roman" w:hAnsi="Times New Roman"/>
          <w:sz w:val="28"/>
          <w:szCs w:val="28"/>
        </w:rPr>
        <w:t>年</w:t>
      </w:r>
      <w:r>
        <w:rPr>
          <w:rFonts w:ascii="Times New Roman" w:hAnsi="Times New Roman"/>
          <w:sz w:val="28"/>
          <w:szCs w:val="28"/>
        </w:rPr>
        <w:t>12</w:t>
      </w:r>
      <w:r>
        <w:rPr>
          <w:rFonts w:hint="eastAsia" w:ascii="Times New Roman" w:hAnsi="Times New Roman"/>
          <w:sz w:val="28"/>
          <w:szCs w:val="28"/>
        </w:rPr>
        <w:t>月）及濮阳经济技术产业集聚区发展规划调整（</w:t>
      </w:r>
      <w:r>
        <w:rPr>
          <w:rFonts w:ascii="Times New Roman" w:hAnsi="Times New Roman"/>
          <w:sz w:val="28"/>
          <w:szCs w:val="28"/>
        </w:rPr>
        <w:t>2012</w:t>
      </w:r>
      <w:r>
        <w:rPr>
          <w:rFonts w:hint="eastAsia" w:ascii="Times New Roman" w:hAnsi="Times New Roman"/>
          <w:sz w:val="28"/>
          <w:szCs w:val="28"/>
        </w:rPr>
        <w:t>年</w:t>
      </w:r>
      <w:r>
        <w:rPr>
          <w:rFonts w:ascii="Times New Roman" w:hAnsi="Times New Roman"/>
          <w:sz w:val="28"/>
          <w:szCs w:val="28"/>
        </w:rPr>
        <w:t>5</w:t>
      </w:r>
      <w:r>
        <w:rPr>
          <w:rFonts w:hint="eastAsia" w:ascii="Times New Roman" w:hAnsi="Times New Roman"/>
          <w:sz w:val="28"/>
          <w:szCs w:val="28"/>
        </w:rPr>
        <w:t>月）。</w:t>
      </w:r>
      <w:r>
        <w:rPr>
          <w:rFonts w:ascii="Times New Roman" w:hAnsi="Times New Roman"/>
          <w:sz w:val="28"/>
          <w:szCs w:val="28"/>
        </w:rPr>
        <w:t>2013</w:t>
      </w:r>
      <w:r>
        <w:rPr>
          <w:rFonts w:hint="eastAsia" w:ascii="Times New Roman" w:hAnsi="Times New Roman"/>
          <w:sz w:val="28"/>
          <w:szCs w:val="28"/>
        </w:rPr>
        <w:t>年</w:t>
      </w:r>
      <w:r>
        <w:rPr>
          <w:rFonts w:ascii="Times New Roman" w:hAnsi="Times New Roman"/>
          <w:sz w:val="28"/>
          <w:szCs w:val="28"/>
        </w:rPr>
        <w:t>5</w:t>
      </w:r>
      <w:r>
        <w:rPr>
          <w:rFonts w:hint="eastAsia" w:ascii="Times New Roman" w:hAnsi="Times New Roman"/>
          <w:sz w:val="28"/>
          <w:szCs w:val="28"/>
        </w:rPr>
        <w:t>月</w:t>
      </w:r>
      <w:r>
        <w:rPr>
          <w:rFonts w:ascii="Times New Roman" w:hAnsi="Times New Roman"/>
          <w:sz w:val="28"/>
          <w:szCs w:val="28"/>
        </w:rPr>
        <w:t>15</w:t>
      </w:r>
      <w:r>
        <w:rPr>
          <w:rFonts w:hint="eastAsia" w:ascii="Times New Roman" w:hAnsi="Times New Roman"/>
          <w:sz w:val="28"/>
          <w:szCs w:val="28"/>
        </w:rPr>
        <w:t>日，河南省住房和城乡建设厅组织召开了《濮阳经济技术产业集聚区发展规划（</w:t>
      </w:r>
      <w:r>
        <w:rPr>
          <w:rFonts w:ascii="Times New Roman" w:hAnsi="Times New Roman"/>
          <w:sz w:val="28"/>
          <w:szCs w:val="28"/>
        </w:rPr>
        <w:t>2012~2020</w:t>
      </w:r>
      <w:r>
        <w:rPr>
          <w:rFonts w:hint="eastAsia" w:ascii="Times New Roman" w:hAnsi="Times New Roman"/>
          <w:sz w:val="28"/>
          <w:szCs w:val="28"/>
        </w:rPr>
        <w:t>）调整方案》技术审查会，原则通过了该规划方案。</w:t>
      </w:r>
    </w:p>
    <w:p>
      <w:pPr>
        <w:spacing w:line="520" w:lineRule="exact"/>
        <w:ind w:firstLine="560" w:firstLineChars="200"/>
        <w:rPr>
          <w:rFonts w:ascii="Times New Roman" w:hAnsi="Times New Roman"/>
          <w:sz w:val="28"/>
          <w:szCs w:val="28"/>
        </w:rPr>
      </w:pPr>
      <w:r>
        <w:rPr>
          <w:rFonts w:ascii="Times New Roman" w:hAnsi="Times New Roman"/>
          <w:sz w:val="28"/>
          <w:szCs w:val="28"/>
        </w:rPr>
        <w:t>（1）规划年限</w:t>
      </w:r>
    </w:p>
    <w:p>
      <w:pPr>
        <w:spacing w:line="520" w:lineRule="exact"/>
        <w:ind w:firstLine="560" w:firstLineChars="200"/>
        <w:rPr>
          <w:rFonts w:ascii="Times New Roman" w:hAnsi="Times New Roman"/>
          <w:sz w:val="28"/>
          <w:szCs w:val="28"/>
        </w:rPr>
      </w:pPr>
      <w:r>
        <w:rPr>
          <w:rFonts w:ascii="Times New Roman" w:hAnsi="Times New Roman"/>
          <w:sz w:val="28"/>
          <w:szCs w:val="28"/>
        </w:rPr>
        <w:t>规划期限为2012-2020年。</w:t>
      </w:r>
    </w:p>
    <w:p>
      <w:pPr>
        <w:spacing w:line="520" w:lineRule="exact"/>
        <w:ind w:firstLine="560" w:firstLineChars="200"/>
        <w:rPr>
          <w:rFonts w:ascii="Times New Roman" w:hAnsi="Times New Roman"/>
          <w:sz w:val="28"/>
          <w:szCs w:val="28"/>
        </w:rPr>
      </w:pPr>
      <w:r>
        <w:rPr>
          <w:rFonts w:ascii="Times New Roman" w:hAnsi="Times New Roman"/>
          <w:sz w:val="28"/>
          <w:szCs w:val="28"/>
        </w:rPr>
        <w:t>（2）规划范围</w:t>
      </w:r>
    </w:p>
    <w:p>
      <w:pPr>
        <w:spacing w:line="520" w:lineRule="exact"/>
        <w:ind w:firstLine="560" w:firstLineChars="200"/>
        <w:rPr>
          <w:rFonts w:ascii="Times New Roman" w:hAnsi="Times New Roman"/>
          <w:sz w:val="28"/>
          <w:szCs w:val="28"/>
        </w:rPr>
      </w:pPr>
      <w:r>
        <w:rPr>
          <w:rFonts w:hint="eastAsia" w:ascii="Times New Roman" w:hAnsi="Times New Roman"/>
          <w:sz w:val="28"/>
          <w:szCs w:val="28"/>
        </w:rPr>
        <w:t>规划范围：东至濮旺路、西至幸福路、南至铁丘路南、北至中原路。总用地面积</w:t>
      </w:r>
      <w:r>
        <w:rPr>
          <w:rFonts w:ascii="Times New Roman" w:hAnsi="Times New Roman"/>
          <w:sz w:val="28"/>
          <w:szCs w:val="28"/>
        </w:rPr>
        <w:t>19.5</w:t>
      </w:r>
      <w:r>
        <w:rPr>
          <w:rFonts w:hint="eastAsia" w:ascii="Times New Roman" w:hAnsi="Times New Roman"/>
          <w:sz w:val="28"/>
          <w:szCs w:val="28"/>
        </w:rPr>
        <w:t>平方公里（不包括大广高速、晋豫鲁铁路和第三濮清南干渠两侧防护林带）</w:t>
      </w:r>
      <w:r>
        <w:rPr>
          <w:rFonts w:hint="eastAsia" w:ascii="宋体" w:cs="宋体"/>
          <w:kern w:val="0"/>
          <w:sz w:val="24"/>
          <w:szCs w:val="24"/>
        </w:rPr>
        <w:t>。</w:t>
      </w:r>
    </w:p>
    <w:p>
      <w:pPr>
        <w:spacing w:line="520" w:lineRule="exact"/>
        <w:ind w:firstLine="560" w:firstLineChars="200"/>
        <w:rPr>
          <w:rFonts w:ascii="Times New Roman" w:hAnsi="Times New Roman"/>
          <w:sz w:val="28"/>
          <w:szCs w:val="28"/>
        </w:rPr>
      </w:pPr>
      <w:r>
        <w:rPr>
          <w:rFonts w:ascii="Times New Roman" w:hAnsi="Times New Roman"/>
          <w:sz w:val="28"/>
          <w:szCs w:val="28"/>
        </w:rPr>
        <w:t>本项目位于濮阳市濮阳经济技术产业集聚区（含濮阳经济开发区）石化路以南、濮水路以西，在濮阳经济技术产业集聚区规划范围内。</w:t>
      </w:r>
    </w:p>
    <w:p>
      <w:pPr>
        <w:spacing w:line="520" w:lineRule="exact"/>
        <w:ind w:firstLine="560" w:firstLineChars="200"/>
        <w:rPr>
          <w:rFonts w:ascii="Times New Roman" w:hAnsi="Times New Roman"/>
          <w:sz w:val="28"/>
          <w:szCs w:val="28"/>
        </w:rPr>
      </w:pPr>
      <w:r>
        <w:rPr>
          <w:rFonts w:ascii="Times New Roman" w:hAnsi="Times New Roman"/>
          <w:sz w:val="28"/>
          <w:szCs w:val="28"/>
        </w:rPr>
        <w:t>（3）主导产业</w:t>
      </w:r>
    </w:p>
    <w:p>
      <w:pPr>
        <w:spacing w:line="520" w:lineRule="exact"/>
        <w:ind w:firstLine="560" w:firstLineChars="200"/>
        <w:rPr>
          <w:rFonts w:ascii="Times New Roman" w:hAnsi="Times New Roman"/>
          <w:sz w:val="28"/>
          <w:szCs w:val="28"/>
        </w:rPr>
      </w:pPr>
      <w:r>
        <w:rPr>
          <w:rFonts w:ascii="Times New Roman" w:hAnsi="Times New Roman"/>
          <w:sz w:val="28"/>
          <w:szCs w:val="28"/>
        </w:rPr>
        <w:t>以化工和装备制造业为主导产业，积极鼓励发展新兴产业和物流仓储产业。依托中原乙烯、中原大化等龙头企业，延伸产品结构，拉长产业链条，发展相关产业，打造全市“石油化工、盐化工、煤化工”融合链接发展示范区。</w:t>
      </w:r>
    </w:p>
    <w:p>
      <w:pPr>
        <w:spacing w:line="520" w:lineRule="exact"/>
        <w:ind w:firstLine="560" w:firstLineChars="200"/>
        <w:rPr>
          <w:rFonts w:ascii="Times New Roman" w:hAnsi="Times New Roman"/>
          <w:sz w:val="28"/>
          <w:szCs w:val="28"/>
        </w:rPr>
      </w:pPr>
      <w:r>
        <w:rPr>
          <w:rFonts w:ascii="Times New Roman" w:hAnsi="Times New Roman"/>
          <w:sz w:val="28"/>
          <w:szCs w:val="28"/>
        </w:rPr>
        <w:t>本项目为</w:t>
      </w:r>
      <w:r>
        <w:rPr>
          <w:rFonts w:hint="eastAsia" w:ascii="Times New Roman" w:hAnsi="Times New Roman"/>
          <w:sz w:val="28"/>
          <w:szCs w:val="28"/>
        </w:rPr>
        <w:t>千吨级乙二醇中试项目</w:t>
      </w:r>
      <w:r>
        <w:rPr>
          <w:rFonts w:ascii="Times New Roman" w:hAnsi="Times New Roman"/>
          <w:sz w:val="28"/>
          <w:szCs w:val="28"/>
        </w:rPr>
        <w:t>，以</w:t>
      </w:r>
      <w:r>
        <w:rPr>
          <w:rFonts w:hint="eastAsia" w:ascii="Times New Roman" w:hAnsi="Times New Roman"/>
          <w:sz w:val="28"/>
          <w:szCs w:val="28"/>
        </w:rPr>
        <w:t>秸秆糖溶液、氢气</w:t>
      </w:r>
      <w:r>
        <w:rPr>
          <w:rFonts w:ascii="Times New Roman" w:hAnsi="Times New Roman"/>
          <w:sz w:val="28"/>
          <w:szCs w:val="28"/>
        </w:rPr>
        <w:t>为原料，</w:t>
      </w:r>
      <w:r>
        <w:rPr>
          <w:rFonts w:ascii="Times New Roman" w:hAnsi="Times New Roman"/>
          <w:kern w:val="0"/>
          <w:sz w:val="28"/>
          <w:szCs w:val="28"/>
        </w:rPr>
        <w:t>进行生物质制乙二醇新路线中试放大设计</w:t>
      </w:r>
      <w:r>
        <w:rPr>
          <w:rFonts w:hint="eastAsia" w:ascii="Times New Roman" w:hAnsi="Times New Roman"/>
          <w:kern w:val="0"/>
          <w:sz w:val="28"/>
          <w:szCs w:val="28"/>
        </w:rPr>
        <w:t>，为大化公司</w:t>
      </w:r>
      <w:r>
        <w:rPr>
          <w:rFonts w:ascii="Times New Roman" w:hAnsi="Times New Roman"/>
          <w:kern w:val="0"/>
          <w:sz w:val="28"/>
          <w:szCs w:val="28"/>
        </w:rPr>
        <w:t>全面掌握生物质乙二醇工艺技术积累工程化经验，</w:t>
      </w:r>
      <w:r>
        <w:rPr>
          <w:rFonts w:hint="eastAsia" w:ascii="Times New Roman" w:hAnsi="Times New Roman"/>
          <w:kern w:val="0"/>
          <w:sz w:val="28"/>
          <w:szCs w:val="28"/>
        </w:rPr>
        <w:t>有利于</w:t>
      </w:r>
      <w:r>
        <w:rPr>
          <w:rFonts w:ascii="Times New Roman" w:hAnsi="Times New Roman"/>
          <w:sz w:val="28"/>
          <w:szCs w:val="28"/>
        </w:rPr>
        <w:t>延伸中原大化产品结构，拉长产业链条，符合主导产业要求。</w:t>
      </w:r>
    </w:p>
    <w:p>
      <w:pPr>
        <w:spacing w:line="520" w:lineRule="exact"/>
        <w:ind w:firstLine="560" w:firstLineChars="200"/>
        <w:rPr>
          <w:rFonts w:ascii="Times New Roman" w:hAnsi="Times New Roman"/>
          <w:sz w:val="28"/>
          <w:szCs w:val="28"/>
        </w:rPr>
      </w:pPr>
      <w:r>
        <w:rPr>
          <w:rFonts w:ascii="Times New Roman" w:hAnsi="Times New Roman"/>
          <w:sz w:val="28"/>
          <w:szCs w:val="28"/>
        </w:rPr>
        <w:t>（4）规划布局</w:t>
      </w:r>
    </w:p>
    <w:p>
      <w:pPr>
        <w:spacing w:line="520" w:lineRule="exact"/>
        <w:ind w:firstLine="560" w:firstLineChars="200"/>
        <w:rPr>
          <w:rFonts w:ascii="Times New Roman" w:hAnsi="Times New Roman"/>
          <w:sz w:val="28"/>
          <w:szCs w:val="28"/>
        </w:rPr>
      </w:pPr>
      <w:r>
        <w:rPr>
          <w:rFonts w:ascii="Times New Roman" w:hAnsi="Times New Roman"/>
          <w:sz w:val="28"/>
          <w:szCs w:val="28"/>
        </w:rPr>
        <w:t>规划形成“一心、两轴、六区、多节点”的用地布局结构。</w:t>
      </w:r>
    </w:p>
    <w:p>
      <w:pPr>
        <w:spacing w:line="520" w:lineRule="exact"/>
        <w:ind w:firstLine="560" w:firstLineChars="200"/>
        <w:rPr>
          <w:rFonts w:ascii="Times New Roman" w:hAnsi="Times New Roman"/>
          <w:sz w:val="28"/>
          <w:szCs w:val="28"/>
        </w:rPr>
      </w:pPr>
      <w:r>
        <w:rPr>
          <w:rFonts w:ascii="Times New Roman" w:hAnsi="Times New Roman"/>
          <w:sz w:val="28"/>
          <w:szCs w:val="28"/>
        </w:rPr>
        <w:t>一心：沿胜利路、创新大道集中布局商业服务、行政办公、文化娱乐等配套设施和公园绿地，形成产业集聚区的产业服务中心。</w:t>
      </w:r>
    </w:p>
    <w:p>
      <w:pPr>
        <w:spacing w:line="520" w:lineRule="exact"/>
        <w:ind w:firstLine="560" w:firstLineChars="200"/>
        <w:rPr>
          <w:rFonts w:ascii="Times New Roman" w:hAnsi="Times New Roman"/>
          <w:sz w:val="28"/>
          <w:szCs w:val="28"/>
        </w:rPr>
      </w:pPr>
      <w:r>
        <w:rPr>
          <w:rFonts w:ascii="Times New Roman" w:hAnsi="Times New Roman"/>
          <w:sz w:val="28"/>
          <w:szCs w:val="28"/>
        </w:rPr>
        <w:t>两轴：沿胜利路的城市服务轴和沿濮瑞路的产业发展轴。</w:t>
      </w:r>
    </w:p>
    <w:p>
      <w:pPr>
        <w:spacing w:line="520" w:lineRule="exact"/>
        <w:ind w:firstLine="560" w:firstLineChars="200"/>
        <w:rPr>
          <w:rFonts w:ascii="Times New Roman" w:hAnsi="Times New Roman"/>
          <w:sz w:val="28"/>
          <w:szCs w:val="28"/>
        </w:rPr>
      </w:pPr>
      <w:r>
        <w:rPr>
          <w:rFonts w:ascii="Times New Roman" w:hAnsi="Times New Roman"/>
          <w:sz w:val="28"/>
          <w:szCs w:val="28"/>
        </w:rPr>
        <w:t>六区：包括北部工业转型引导区、中部工业优化区、南部工业拓展区、产业综合服务区、物流仓储产业优化区和物流仓储产业拓展区。</w:t>
      </w:r>
    </w:p>
    <w:p>
      <w:pPr>
        <w:spacing w:line="520" w:lineRule="exact"/>
        <w:ind w:firstLine="560" w:firstLineChars="200"/>
        <w:rPr>
          <w:rFonts w:ascii="Times New Roman" w:hAnsi="Times New Roman"/>
          <w:sz w:val="28"/>
          <w:szCs w:val="28"/>
        </w:rPr>
      </w:pPr>
      <w:r>
        <w:rPr>
          <w:rFonts w:ascii="Times New Roman" w:hAnsi="Times New Roman"/>
          <w:sz w:val="28"/>
          <w:szCs w:val="28"/>
        </w:rPr>
        <w:t>北部工业转型引导区：位于黄河路以北、濮瑞路以东。重点引导现状产业的转型和升级，最大化的发挥土地的效益。</w:t>
      </w:r>
    </w:p>
    <w:p>
      <w:pPr>
        <w:spacing w:line="520" w:lineRule="exact"/>
        <w:ind w:firstLine="560" w:firstLineChars="200"/>
        <w:rPr>
          <w:rFonts w:ascii="Times New Roman" w:hAnsi="Times New Roman"/>
          <w:sz w:val="28"/>
          <w:szCs w:val="28"/>
        </w:rPr>
      </w:pPr>
      <w:r>
        <w:rPr>
          <w:rFonts w:ascii="Times New Roman" w:hAnsi="Times New Roman"/>
          <w:sz w:val="28"/>
          <w:szCs w:val="28"/>
        </w:rPr>
        <w:t>中部工业优化区：位于黄河路以南、铁路以北、濮瑞路以东和濮水路以西。重点引导产业转型升级和整合产业空间布局。</w:t>
      </w:r>
    </w:p>
    <w:p>
      <w:pPr>
        <w:spacing w:line="520" w:lineRule="exact"/>
        <w:ind w:firstLine="560" w:firstLineChars="200"/>
        <w:rPr>
          <w:rFonts w:ascii="Times New Roman" w:hAnsi="Times New Roman"/>
          <w:sz w:val="28"/>
          <w:szCs w:val="28"/>
        </w:rPr>
      </w:pPr>
      <w:r>
        <w:rPr>
          <w:rFonts w:ascii="Times New Roman" w:hAnsi="Times New Roman"/>
          <w:sz w:val="28"/>
          <w:szCs w:val="28"/>
        </w:rPr>
        <w:t>南部工业拓展区：位于铁路以南、大广高速以东和濮水路以西，重点发展机械制造 、精细化工和石油化工等产业。</w:t>
      </w:r>
    </w:p>
    <w:p>
      <w:pPr>
        <w:spacing w:line="520" w:lineRule="exact"/>
        <w:ind w:firstLine="560" w:firstLineChars="200"/>
        <w:rPr>
          <w:rFonts w:ascii="Times New Roman" w:hAnsi="Times New Roman"/>
          <w:sz w:val="28"/>
          <w:szCs w:val="28"/>
        </w:rPr>
      </w:pPr>
      <w:r>
        <w:rPr>
          <w:rFonts w:ascii="Times New Roman" w:hAnsi="Times New Roman"/>
          <w:sz w:val="28"/>
          <w:szCs w:val="28"/>
        </w:rPr>
        <w:t>产业综合服务区：位于黄河路以南、铁路以北、大广高速以东和濮瑞路（原西环路）以西，是规划区内环境资源条件最优越的地区。重点以完善产业培育平台为先导，发展新材料、新能源和生物医药产业，建设产业服务设施和配套居住功能。</w:t>
      </w:r>
    </w:p>
    <w:p>
      <w:pPr>
        <w:spacing w:line="520" w:lineRule="exact"/>
        <w:ind w:firstLine="560" w:firstLineChars="200"/>
        <w:rPr>
          <w:rFonts w:ascii="Times New Roman" w:hAnsi="Times New Roman"/>
          <w:sz w:val="28"/>
          <w:szCs w:val="28"/>
        </w:rPr>
      </w:pPr>
      <w:r>
        <w:rPr>
          <w:rFonts w:ascii="Times New Roman" w:hAnsi="Times New Roman"/>
          <w:sz w:val="28"/>
          <w:szCs w:val="28"/>
        </w:rPr>
        <w:t>物流仓储产业优化区：位于铁路以北、大广高速以西。依托国家级粮食储备基地和豫粮集团仓储基地发展粮食仓储、加工产业。</w:t>
      </w:r>
    </w:p>
    <w:p>
      <w:pPr>
        <w:spacing w:line="520" w:lineRule="exact"/>
        <w:ind w:firstLine="560" w:firstLineChars="200"/>
        <w:rPr>
          <w:rFonts w:ascii="Times New Roman" w:hAnsi="Times New Roman"/>
          <w:sz w:val="28"/>
          <w:szCs w:val="28"/>
        </w:rPr>
      </w:pPr>
      <w:r>
        <w:rPr>
          <w:rFonts w:ascii="Times New Roman" w:hAnsi="Times New Roman"/>
          <w:sz w:val="28"/>
          <w:szCs w:val="28"/>
        </w:rPr>
        <w:t>物流仓储产业拓展区：位于铁路以南、大广高速以西。依托濮阳西站，重点发展以 化工产品为主，建材家具、造纸原料为辅的专业物流。</w:t>
      </w:r>
    </w:p>
    <w:p>
      <w:pPr>
        <w:spacing w:line="520" w:lineRule="exact"/>
        <w:ind w:firstLine="560" w:firstLineChars="200"/>
        <w:rPr>
          <w:rFonts w:ascii="Times New Roman" w:hAnsi="Times New Roman"/>
          <w:sz w:val="28"/>
          <w:szCs w:val="28"/>
        </w:rPr>
      </w:pPr>
      <w:r>
        <w:rPr>
          <w:rFonts w:ascii="Times New Roman" w:hAnsi="Times New Roman"/>
          <w:sz w:val="28"/>
          <w:szCs w:val="28"/>
        </w:rPr>
        <w:t>多节点：结合片区的发展形成多个服务节点。</w:t>
      </w:r>
    </w:p>
    <w:p>
      <w:pPr>
        <w:spacing w:line="520" w:lineRule="exact"/>
        <w:ind w:firstLine="560" w:firstLineChars="200"/>
        <w:rPr>
          <w:rFonts w:ascii="Times New Roman" w:hAnsi="Times New Roman"/>
          <w:sz w:val="28"/>
          <w:szCs w:val="28"/>
        </w:rPr>
      </w:pPr>
      <w:r>
        <w:rPr>
          <w:rFonts w:ascii="Times New Roman" w:hAnsi="Times New Roman"/>
          <w:sz w:val="28"/>
          <w:szCs w:val="28"/>
        </w:rPr>
        <w:t>本项目位于濮阳市濮阳经济技术产业集聚区（含濮阳经济开发区）石化路与濮水路交叉口西南角</w:t>
      </w:r>
      <w:r>
        <w:rPr>
          <w:rFonts w:hint="eastAsia" w:ascii="Times New Roman" w:hAnsi="Times New Roman"/>
          <w:sz w:val="28"/>
          <w:szCs w:val="28"/>
        </w:rPr>
        <w:t>，中原大化公司煤化工现有厂区内</w:t>
      </w:r>
      <w:r>
        <w:rPr>
          <w:rFonts w:ascii="Times New Roman" w:hAnsi="Times New Roman"/>
          <w:sz w:val="28"/>
          <w:szCs w:val="28"/>
        </w:rPr>
        <w:t>，属于南部工业拓展区。南部工业拓展区重点发展机械制造、精细化工和石油化工等产业。项目以生物质秸秆糖水溶液和氢气为原料，经过乙二醇合成、乙二醇精馏工序生产乙二醇</w:t>
      </w:r>
      <w:r>
        <w:rPr>
          <w:rFonts w:hint="eastAsia" w:ascii="Times New Roman" w:hAnsi="Times New Roman"/>
          <w:sz w:val="28"/>
          <w:szCs w:val="28"/>
        </w:rPr>
        <w:t>，</w:t>
      </w:r>
      <w:r>
        <w:rPr>
          <w:rFonts w:ascii="Times New Roman" w:hAnsi="Times New Roman"/>
          <w:sz w:val="28"/>
          <w:szCs w:val="28"/>
        </w:rPr>
        <w:t>属于工程技术研究和试验发展中试</w:t>
      </w:r>
      <w:r>
        <w:rPr>
          <w:rFonts w:hint="eastAsia" w:ascii="Times New Roman" w:hAnsi="Times New Roman"/>
          <w:sz w:val="28"/>
          <w:szCs w:val="28"/>
        </w:rPr>
        <w:t>实验</w:t>
      </w:r>
      <w:r>
        <w:rPr>
          <w:rFonts w:ascii="Times New Roman" w:hAnsi="Times New Roman"/>
          <w:sz w:val="28"/>
          <w:szCs w:val="28"/>
        </w:rPr>
        <w:t>装置</w:t>
      </w:r>
      <w:r>
        <w:rPr>
          <w:rFonts w:hint="eastAsia" w:ascii="Times New Roman" w:hAnsi="Times New Roman"/>
          <w:sz w:val="28"/>
          <w:szCs w:val="28"/>
        </w:rPr>
        <w:t>，为工业化生产提供技术数据</w:t>
      </w:r>
      <w:r>
        <w:rPr>
          <w:rFonts w:ascii="Times New Roman" w:hAnsi="Times New Roman"/>
          <w:sz w:val="28"/>
          <w:szCs w:val="28"/>
        </w:rPr>
        <w:t>，属于化工</w:t>
      </w:r>
      <w:r>
        <w:rPr>
          <w:rFonts w:hint="eastAsia" w:ascii="Times New Roman" w:hAnsi="Times New Roman"/>
          <w:sz w:val="28"/>
          <w:szCs w:val="28"/>
        </w:rPr>
        <w:t>行业有机化学原料制造</w:t>
      </w:r>
      <w:r>
        <w:rPr>
          <w:rFonts w:ascii="Times New Roman" w:hAnsi="Times New Roman"/>
          <w:sz w:val="28"/>
          <w:szCs w:val="28"/>
        </w:rPr>
        <w:t>，本项目建设符合集聚区产业布局。</w:t>
      </w:r>
    </w:p>
    <w:p>
      <w:pPr>
        <w:spacing w:line="520" w:lineRule="exact"/>
        <w:ind w:firstLine="560" w:firstLineChars="200"/>
        <w:rPr>
          <w:rFonts w:ascii="Times New Roman" w:hAnsi="Times New Roman"/>
          <w:sz w:val="28"/>
          <w:szCs w:val="28"/>
        </w:rPr>
      </w:pPr>
      <w:r>
        <w:rPr>
          <w:rFonts w:ascii="Times New Roman" w:hAnsi="Times New Roman"/>
          <w:sz w:val="28"/>
          <w:szCs w:val="28"/>
        </w:rPr>
        <w:t>（5）用地布局</w:t>
      </w:r>
    </w:p>
    <w:p>
      <w:pPr>
        <w:spacing w:line="520" w:lineRule="exact"/>
        <w:ind w:firstLine="560" w:firstLineChars="200"/>
        <w:rPr>
          <w:rFonts w:ascii="Times New Roman" w:hAnsi="Times New Roman"/>
          <w:sz w:val="28"/>
          <w:szCs w:val="28"/>
        </w:rPr>
      </w:pPr>
      <w:r>
        <w:rPr>
          <w:rFonts w:ascii="Times New Roman" w:hAnsi="Times New Roman"/>
          <w:sz w:val="28"/>
          <w:szCs w:val="28"/>
        </w:rPr>
        <w:t>根据功能分区，集聚区内土地以工业用地、绿化用地、仓储用地、市政公用设施用地和公共服务设施用地为主。</w:t>
      </w:r>
    </w:p>
    <w:p>
      <w:pPr>
        <w:spacing w:line="520" w:lineRule="exact"/>
        <w:ind w:firstLine="560" w:firstLineChars="200"/>
        <w:rPr>
          <w:rFonts w:ascii="Times New Roman" w:hAnsi="Times New Roman"/>
          <w:sz w:val="28"/>
          <w:szCs w:val="28"/>
        </w:rPr>
      </w:pPr>
      <w:r>
        <w:rPr>
          <w:rFonts w:ascii="Times New Roman" w:hAnsi="Times New Roman"/>
          <w:sz w:val="28"/>
          <w:szCs w:val="28"/>
        </w:rPr>
        <w:t>项目所在区域规划用地为三类工业用地，符合濮阳经济技术产业集聚区用地规划。</w:t>
      </w:r>
    </w:p>
    <w:p>
      <w:pPr>
        <w:spacing w:line="520" w:lineRule="exact"/>
        <w:ind w:firstLine="560" w:firstLineChars="200"/>
        <w:rPr>
          <w:rFonts w:ascii="Times New Roman" w:hAnsi="Times New Roman"/>
          <w:sz w:val="28"/>
          <w:szCs w:val="28"/>
        </w:rPr>
      </w:pPr>
      <w:r>
        <w:rPr>
          <w:rFonts w:ascii="Times New Roman" w:hAnsi="Times New Roman"/>
          <w:sz w:val="28"/>
          <w:szCs w:val="28"/>
        </w:rPr>
        <w:t>（6）供水</w:t>
      </w:r>
    </w:p>
    <w:p>
      <w:pPr>
        <w:spacing w:line="520" w:lineRule="exact"/>
        <w:ind w:firstLine="560" w:firstLineChars="200"/>
        <w:rPr>
          <w:rFonts w:ascii="Times New Roman" w:hAnsi="Times New Roman"/>
          <w:sz w:val="28"/>
          <w:szCs w:val="28"/>
        </w:rPr>
      </w:pPr>
      <w:r>
        <w:rPr>
          <w:rFonts w:ascii="Times New Roman" w:hAnsi="Times New Roman"/>
          <w:sz w:val="28"/>
          <w:szCs w:val="28"/>
        </w:rPr>
        <w:t>濮阳经济技术产业聚集区规划由濮阳市第三水厂供水。根据调查，目前濮阳经济技术产业聚集区已实现集中供水。</w:t>
      </w:r>
    </w:p>
    <w:p>
      <w:pPr>
        <w:spacing w:line="520" w:lineRule="exact"/>
        <w:ind w:firstLine="560" w:firstLineChars="200"/>
        <w:rPr>
          <w:rFonts w:ascii="Times New Roman" w:hAnsi="Times New Roman"/>
          <w:sz w:val="28"/>
          <w:szCs w:val="28"/>
        </w:rPr>
      </w:pPr>
      <w:r>
        <w:rPr>
          <w:rFonts w:ascii="Times New Roman" w:hAnsi="Times New Roman"/>
          <w:sz w:val="28"/>
          <w:szCs w:val="28"/>
        </w:rPr>
        <w:t>项目生产水源、生活用水由</w:t>
      </w:r>
      <w:r>
        <w:rPr>
          <w:rFonts w:hint="eastAsia" w:ascii="Times New Roman" w:hAnsi="Times New Roman"/>
          <w:sz w:val="28"/>
          <w:szCs w:val="28"/>
        </w:rPr>
        <w:t>大化公司</w:t>
      </w:r>
      <w:r>
        <w:rPr>
          <w:rFonts w:ascii="Times New Roman" w:hAnsi="Times New Roman"/>
          <w:sz w:val="28"/>
          <w:szCs w:val="28"/>
        </w:rPr>
        <w:t>煤化工厂区现有30万吨甲醇项目系统供应。</w:t>
      </w:r>
    </w:p>
    <w:p>
      <w:pPr>
        <w:spacing w:line="520" w:lineRule="exact"/>
        <w:ind w:firstLine="560" w:firstLineChars="200"/>
        <w:rPr>
          <w:rFonts w:ascii="Times New Roman" w:hAnsi="Times New Roman"/>
          <w:sz w:val="28"/>
          <w:szCs w:val="28"/>
        </w:rPr>
      </w:pPr>
      <w:r>
        <w:rPr>
          <w:rFonts w:ascii="Times New Roman" w:hAnsi="Times New Roman"/>
          <w:sz w:val="28"/>
          <w:szCs w:val="28"/>
        </w:rPr>
        <w:t>（7）排水</w:t>
      </w:r>
    </w:p>
    <w:p>
      <w:pPr>
        <w:spacing w:line="520" w:lineRule="exact"/>
        <w:ind w:firstLine="560" w:firstLineChars="200"/>
        <w:rPr>
          <w:rFonts w:ascii="Times New Roman" w:hAnsi="Times New Roman"/>
          <w:sz w:val="28"/>
          <w:szCs w:val="28"/>
        </w:rPr>
      </w:pPr>
      <w:r>
        <w:rPr>
          <w:rFonts w:ascii="Times New Roman" w:hAnsi="Times New Roman"/>
          <w:sz w:val="28"/>
          <w:szCs w:val="28"/>
        </w:rPr>
        <w:t>濮阳经济技术产业聚集区排水体制为雨污分流制，雨水就近排入河道，工业废水经企业污水处理站处理达标后排入濮阳市第二污水处理厂，尾水达标后排入顺河沟，最终排入马颊河。根据调查，濮阳经济技术产业聚集区内的管网已经接入濮阳市第二污水处理厂。</w:t>
      </w:r>
    </w:p>
    <w:p>
      <w:pPr>
        <w:autoSpaceDE w:val="0"/>
        <w:autoSpaceDN w:val="0"/>
        <w:adjustRightInd w:val="0"/>
        <w:spacing w:line="520" w:lineRule="exact"/>
        <w:ind w:firstLine="560" w:firstLineChars="200"/>
        <w:jc w:val="left"/>
        <w:rPr>
          <w:rFonts w:ascii="Times New Roman" w:hAnsi="Times New Roman"/>
          <w:kern w:val="0"/>
          <w:sz w:val="28"/>
          <w:szCs w:val="28"/>
        </w:rPr>
      </w:pPr>
      <w:r>
        <w:rPr>
          <w:rFonts w:ascii="Times New Roman" w:hAnsi="Times New Roman"/>
          <w:kern w:val="0"/>
          <w:sz w:val="28"/>
          <w:szCs w:val="28"/>
        </w:rPr>
        <w:t>本项目</w:t>
      </w:r>
      <w:r>
        <w:rPr>
          <w:rFonts w:hint="eastAsia" w:ascii="Times New Roman" w:hAnsi="Times New Roman"/>
          <w:kern w:val="0"/>
          <w:sz w:val="28"/>
          <w:szCs w:val="28"/>
        </w:rPr>
        <w:t>尾气洗涤塔外排废水、地坪冲洗废水和真空泵废水送煤化工厂区现有污水处理站处理，处理达标后</w:t>
      </w:r>
      <w:r>
        <w:rPr>
          <w:rFonts w:ascii="Times New Roman" w:hAnsi="Times New Roman"/>
          <w:kern w:val="0"/>
          <w:sz w:val="28"/>
          <w:szCs w:val="28"/>
        </w:rPr>
        <w:t>与</w:t>
      </w:r>
      <w:r>
        <w:rPr>
          <w:rFonts w:hint="eastAsia" w:ascii="Times New Roman" w:hAnsi="Times New Roman"/>
          <w:kern w:val="0"/>
          <w:sz w:val="28"/>
          <w:szCs w:val="28"/>
        </w:rPr>
        <w:t>清净下水</w:t>
      </w:r>
      <w:r>
        <w:rPr>
          <w:rFonts w:ascii="Times New Roman" w:hAnsi="Times New Roman"/>
          <w:kern w:val="0"/>
          <w:sz w:val="28"/>
          <w:szCs w:val="28"/>
        </w:rPr>
        <w:t>一起经厂区总排口排入集聚区市政污水管网，然后排入濮阳市第二污水处理厂集中处理达标后排入顺河沟，最终汇入马颊河。</w:t>
      </w:r>
    </w:p>
    <w:p>
      <w:pPr>
        <w:spacing w:line="520" w:lineRule="exact"/>
        <w:ind w:firstLine="560" w:firstLineChars="200"/>
        <w:rPr>
          <w:rFonts w:ascii="Times New Roman" w:hAnsi="Times New Roman"/>
          <w:sz w:val="28"/>
          <w:szCs w:val="28"/>
        </w:rPr>
      </w:pPr>
      <w:r>
        <w:rPr>
          <w:rFonts w:ascii="Times New Roman" w:hAnsi="Times New Roman"/>
          <w:sz w:val="28"/>
          <w:szCs w:val="28"/>
        </w:rPr>
        <w:t>（8）供热</w:t>
      </w:r>
    </w:p>
    <w:p>
      <w:pPr>
        <w:spacing w:line="520" w:lineRule="exact"/>
        <w:ind w:firstLine="560" w:firstLineChars="200"/>
        <w:rPr>
          <w:rFonts w:ascii="Times New Roman" w:hAnsi="Times New Roman"/>
          <w:sz w:val="28"/>
          <w:szCs w:val="28"/>
        </w:rPr>
      </w:pPr>
      <w:r>
        <w:rPr>
          <w:rFonts w:ascii="Times New Roman" w:hAnsi="Times New Roman"/>
          <w:sz w:val="28"/>
          <w:szCs w:val="28"/>
        </w:rPr>
        <w:t>濮阳经济技术产业集聚区现由国电濮阳热电厂提供集中供热，目前装机容量为2×210MW，可以满足集聚区供热需求。</w:t>
      </w:r>
    </w:p>
    <w:p>
      <w:pPr>
        <w:spacing w:line="520" w:lineRule="exact"/>
        <w:ind w:firstLine="560" w:firstLineChars="200"/>
        <w:rPr>
          <w:rFonts w:ascii="Times New Roman" w:hAnsi="Times New Roman"/>
          <w:kern w:val="0"/>
          <w:sz w:val="28"/>
          <w:szCs w:val="28"/>
        </w:rPr>
      </w:pPr>
      <w:r>
        <w:rPr>
          <w:rFonts w:ascii="Times New Roman" w:hAnsi="Times New Roman"/>
          <w:kern w:val="0"/>
          <w:sz w:val="28"/>
          <w:szCs w:val="28"/>
        </w:rPr>
        <w:t>项目</w:t>
      </w:r>
      <w:r>
        <w:rPr>
          <w:rFonts w:hint="eastAsia" w:ascii="Times New Roman" w:hAnsi="Times New Roman"/>
          <w:kern w:val="0"/>
          <w:sz w:val="28"/>
          <w:szCs w:val="28"/>
        </w:rPr>
        <w:t>合成</w:t>
      </w:r>
      <w:r>
        <w:rPr>
          <w:rFonts w:ascii="Times New Roman" w:hAnsi="Times New Roman"/>
          <w:kern w:val="0"/>
          <w:sz w:val="28"/>
          <w:szCs w:val="28"/>
        </w:rPr>
        <w:t>反应釜</w:t>
      </w:r>
      <w:r>
        <w:rPr>
          <w:rFonts w:hint="eastAsia" w:ascii="Times New Roman" w:hAnsi="Times New Roman"/>
          <w:kern w:val="0"/>
          <w:sz w:val="28"/>
          <w:szCs w:val="28"/>
        </w:rPr>
        <w:t>、脱轻塔、丙二醇精制塔、脱重塔、乙二醇精制塔及管道伴热、吹扫等均需蒸汽作为热源，</w:t>
      </w:r>
      <w:r>
        <w:rPr>
          <w:rFonts w:ascii="Times New Roman" w:hAnsi="Times New Roman"/>
          <w:kern w:val="0"/>
          <w:sz w:val="28"/>
          <w:szCs w:val="28"/>
        </w:rPr>
        <w:t>运行时工艺装置用蒸汽由</w:t>
      </w:r>
      <w:r>
        <w:rPr>
          <w:rFonts w:hint="eastAsia" w:ascii="Times New Roman" w:hAnsi="Times New Roman"/>
          <w:kern w:val="0"/>
          <w:sz w:val="28"/>
          <w:szCs w:val="28"/>
        </w:rPr>
        <w:t>煤化工厂区现有蒸汽管网提供。</w:t>
      </w:r>
    </w:p>
    <w:p>
      <w:pPr>
        <w:spacing w:line="520" w:lineRule="exact"/>
        <w:ind w:firstLine="560" w:firstLineChars="200"/>
        <w:rPr>
          <w:rFonts w:ascii="Times New Roman" w:hAnsi="Times New Roman"/>
          <w:sz w:val="28"/>
          <w:szCs w:val="28"/>
        </w:rPr>
      </w:pPr>
      <w:r>
        <w:rPr>
          <w:rFonts w:ascii="Times New Roman" w:hAnsi="Times New Roman"/>
          <w:sz w:val="28"/>
          <w:szCs w:val="28"/>
        </w:rPr>
        <w:t>（9）濮阳经技技术产业集聚区环境准入条件</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项目与濮阳经技技术产业集聚区环境准入条件相符性见表8.2-1。</w:t>
      </w:r>
    </w:p>
    <w:p>
      <w:pPr>
        <w:spacing w:line="520" w:lineRule="exact"/>
        <w:ind w:firstLine="480" w:firstLineChars="200"/>
        <w:rPr>
          <w:rFonts w:ascii="Times New Roman" w:hAnsi="Times New Roman" w:eastAsia="黑体"/>
          <w:sz w:val="24"/>
        </w:rPr>
      </w:pPr>
      <w:r>
        <w:rPr>
          <w:rFonts w:ascii="Times New Roman" w:hAnsi="Times New Roman" w:eastAsia="黑体"/>
          <w:sz w:val="24"/>
        </w:rPr>
        <w:t>表</w:t>
      </w:r>
      <w:r>
        <w:rPr>
          <w:rFonts w:ascii="Times New Roman" w:hAnsi="Times New Roman" w:eastAsia="黑体"/>
          <w:b/>
          <w:sz w:val="24"/>
        </w:rPr>
        <w:t>8.2-1        本项目与产业集聚区环境准入条件相符性分析一览表</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7"/>
        <w:gridCol w:w="494"/>
        <w:gridCol w:w="4751"/>
        <w:gridCol w:w="2268"/>
        <w:gridCol w:w="84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ind w:right="-74"/>
              <w:rPr>
                <w:rFonts w:ascii="Times New Roman" w:hAnsi="Times New Roman"/>
                <w:b/>
                <w:szCs w:val="21"/>
              </w:rPr>
            </w:pPr>
            <w:r>
              <w:rPr>
                <w:rFonts w:ascii="Times New Roman" w:hAnsi="Times New Roman"/>
                <w:b/>
                <w:szCs w:val="21"/>
              </w:rPr>
              <w:t>项目</w:t>
            </w:r>
          </w:p>
          <w:p>
            <w:pPr>
              <w:ind w:right="-74"/>
              <w:rPr>
                <w:rFonts w:ascii="Times New Roman" w:hAnsi="Times New Roman" w:eastAsia="黑体"/>
                <w:b/>
                <w:kern w:val="0"/>
                <w:sz w:val="24"/>
              </w:rPr>
            </w:pPr>
            <w:r>
              <w:rPr>
                <w:rFonts w:ascii="Times New Roman" w:hAnsi="Times New Roman"/>
                <w:b/>
                <w:szCs w:val="21"/>
              </w:rPr>
              <w:t>类别</w:t>
            </w:r>
          </w:p>
        </w:tc>
        <w:tc>
          <w:tcPr>
            <w:tcW w:w="5245" w:type="dxa"/>
            <w:gridSpan w:val="2"/>
            <w:shd w:val="clear" w:color="auto" w:fill="auto"/>
            <w:noWrap w:val="0"/>
            <w:vAlign w:val="center"/>
          </w:tcPr>
          <w:p>
            <w:pPr>
              <w:ind w:right="-74"/>
              <w:jc w:val="center"/>
              <w:rPr>
                <w:rFonts w:ascii="Times New Roman" w:hAnsi="Times New Roman" w:eastAsia="黑体"/>
                <w:b/>
                <w:kern w:val="0"/>
                <w:sz w:val="24"/>
              </w:rPr>
            </w:pPr>
            <w:r>
              <w:rPr>
                <w:rFonts w:ascii="Times New Roman" w:hAnsi="Times New Roman"/>
                <w:b/>
                <w:szCs w:val="21"/>
              </w:rPr>
              <w:t>环境准入条件</w:t>
            </w:r>
          </w:p>
        </w:tc>
        <w:tc>
          <w:tcPr>
            <w:tcW w:w="2268" w:type="dxa"/>
            <w:shd w:val="clear" w:color="auto" w:fill="auto"/>
            <w:noWrap w:val="0"/>
            <w:vAlign w:val="center"/>
          </w:tcPr>
          <w:p>
            <w:pPr>
              <w:ind w:right="-74"/>
              <w:jc w:val="center"/>
              <w:rPr>
                <w:rFonts w:ascii="Times New Roman" w:hAnsi="Times New Roman" w:eastAsia="黑体"/>
                <w:b/>
                <w:kern w:val="0"/>
                <w:sz w:val="24"/>
              </w:rPr>
            </w:pPr>
            <w:r>
              <w:rPr>
                <w:rFonts w:ascii="Times New Roman" w:hAnsi="Times New Roman"/>
                <w:b/>
                <w:szCs w:val="21"/>
              </w:rPr>
              <w:t>本项目情况</w:t>
            </w:r>
          </w:p>
        </w:tc>
        <w:tc>
          <w:tcPr>
            <w:tcW w:w="844" w:type="dxa"/>
            <w:shd w:val="clear" w:color="auto" w:fill="auto"/>
            <w:noWrap w:val="0"/>
            <w:vAlign w:val="center"/>
          </w:tcPr>
          <w:p>
            <w:pPr>
              <w:ind w:right="-74"/>
              <w:jc w:val="center"/>
              <w:rPr>
                <w:rFonts w:ascii="Times New Roman" w:hAnsi="Times New Roman" w:eastAsia="黑体"/>
                <w:b/>
                <w:kern w:val="0"/>
                <w:sz w:val="24"/>
              </w:rPr>
            </w:pPr>
            <w:r>
              <w:rPr>
                <w:rFonts w:ascii="Times New Roman" w:hAnsi="Times New Roman"/>
                <w:b/>
                <w:szCs w:val="21"/>
              </w:rPr>
              <w:t>相符性</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27" w:hRule="atLeast"/>
        </w:trPr>
        <w:tc>
          <w:tcPr>
            <w:tcW w:w="817"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鼓励类</w:t>
            </w:r>
          </w:p>
        </w:tc>
        <w:tc>
          <w:tcPr>
            <w:tcW w:w="5245" w:type="dxa"/>
            <w:gridSpan w:val="2"/>
            <w:shd w:val="clear" w:color="auto" w:fill="auto"/>
            <w:noWrap w:val="0"/>
            <w:vAlign w:val="center"/>
          </w:tcPr>
          <w:p>
            <w:pPr>
              <w:rPr>
                <w:rFonts w:ascii="Times New Roman" w:hAnsi="Times New Roman"/>
                <w:szCs w:val="21"/>
              </w:rPr>
            </w:pPr>
            <w:r>
              <w:rPr>
                <w:rFonts w:ascii="Times New Roman" w:hAnsi="Times New Roman"/>
                <w:szCs w:val="21"/>
              </w:rPr>
              <w:t>符合集聚区主导产业定位，高附加值、低污染的项目；</w:t>
            </w:r>
          </w:p>
          <w:p>
            <w:pPr>
              <w:rPr>
                <w:rFonts w:ascii="Times New Roman" w:hAnsi="Times New Roman"/>
                <w:szCs w:val="21"/>
              </w:rPr>
            </w:pPr>
            <w:r>
              <w:rPr>
                <w:rFonts w:ascii="Times New Roman" w:hAnsi="Times New Roman"/>
                <w:szCs w:val="21"/>
              </w:rPr>
              <w:t>有利于集聚区产业链条延伸的项目、市政基础设施入驻；</w:t>
            </w:r>
          </w:p>
          <w:p>
            <w:pPr>
              <w:rPr>
                <w:rFonts w:ascii="Times New Roman" w:hAnsi="Times New Roman"/>
                <w:szCs w:val="21"/>
              </w:rPr>
            </w:pPr>
            <w:r>
              <w:rPr>
                <w:rFonts w:ascii="Times New Roman" w:hAnsi="Times New Roman"/>
                <w:szCs w:val="21"/>
              </w:rPr>
              <w:t>利用集聚区产生的固废综合利用项目入驻；</w:t>
            </w:r>
          </w:p>
          <w:p>
            <w:pPr>
              <w:rPr>
                <w:rFonts w:ascii="Times New Roman" w:hAnsi="Times New Roman"/>
                <w:szCs w:val="21"/>
              </w:rPr>
            </w:pPr>
            <w:r>
              <w:rPr>
                <w:rFonts w:ascii="Times New Roman" w:hAnsi="Times New Roman"/>
                <w:szCs w:val="21"/>
              </w:rPr>
              <w:t>有利于节能减排的技术改造项目入驻；</w:t>
            </w:r>
          </w:p>
          <w:p>
            <w:pPr>
              <w:rPr>
                <w:rFonts w:ascii="Times New Roman" w:hAnsi="Times New Roman"/>
                <w:szCs w:val="21"/>
              </w:rPr>
            </w:pPr>
            <w:r>
              <w:rPr>
                <w:rFonts w:ascii="Times New Roman" w:hAnsi="Times New Roman"/>
                <w:szCs w:val="21"/>
              </w:rPr>
              <w:t>鼓励集聚区中水利用；</w:t>
            </w:r>
          </w:p>
          <w:p>
            <w:pPr>
              <w:ind w:right="-74"/>
              <w:rPr>
                <w:rFonts w:ascii="Times New Roman" w:hAnsi="Times New Roman" w:eastAsia="黑体"/>
                <w:b/>
                <w:kern w:val="0"/>
                <w:sz w:val="24"/>
              </w:rPr>
            </w:pPr>
            <w:r>
              <w:rPr>
                <w:rFonts w:ascii="Times New Roman" w:hAnsi="Times New Roman"/>
                <w:szCs w:val="21"/>
              </w:rPr>
              <w:t>现有符合产业定位的高能耗、高水耗企业的清洁生产、技术升级改造。</w:t>
            </w:r>
          </w:p>
        </w:tc>
        <w:tc>
          <w:tcPr>
            <w:tcW w:w="2268" w:type="dxa"/>
            <w:shd w:val="clear" w:color="auto" w:fill="auto"/>
            <w:noWrap w:val="0"/>
            <w:vAlign w:val="center"/>
          </w:tcPr>
          <w:p>
            <w:pPr>
              <w:rPr>
                <w:rFonts w:ascii="Times New Roman" w:hAnsi="Times New Roman"/>
                <w:szCs w:val="21"/>
              </w:rPr>
            </w:pPr>
            <w:r>
              <w:rPr>
                <w:rFonts w:ascii="Times New Roman" w:hAnsi="Times New Roman"/>
                <w:szCs w:val="21"/>
              </w:rPr>
              <w:t>项目以</w:t>
            </w:r>
            <w:r>
              <w:rPr>
                <w:rFonts w:hint="eastAsia" w:ascii="Times New Roman" w:hAnsi="Times New Roman"/>
                <w:szCs w:val="21"/>
              </w:rPr>
              <w:t>秸秆糖水溶液、氢气</w:t>
            </w:r>
            <w:r>
              <w:rPr>
                <w:rFonts w:ascii="Times New Roman" w:hAnsi="Times New Roman"/>
                <w:szCs w:val="21"/>
              </w:rPr>
              <w:t>为原料生产</w:t>
            </w:r>
            <w:r>
              <w:rPr>
                <w:rFonts w:hint="eastAsia" w:ascii="Times New Roman" w:hAnsi="Times New Roman"/>
                <w:szCs w:val="21"/>
              </w:rPr>
              <w:t>乙二醇</w:t>
            </w:r>
            <w:r>
              <w:rPr>
                <w:rFonts w:ascii="Times New Roman" w:hAnsi="Times New Roman"/>
                <w:szCs w:val="21"/>
              </w:rPr>
              <w:t>，</w:t>
            </w:r>
            <w:r>
              <w:rPr>
                <w:rFonts w:hint="eastAsia" w:ascii="Times New Roman" w:hAnsi="Times New Roman"/>
                <w:szCs w:val="21"/>
              </w:rPr>
              <w:t>属千吨级中试项目，为后期</w:t>
            </w:r>
            <w:r>
              <w:rPr>
                <w:rFonts w:ascii="Times New Roman" w:hAnsi="Times New Roman"/>
                <w:szCs w:val="21"/>
              </w:rPr>
              <w:t>延伸中原大化产品结构，拉长产业链条</w:t>
            </w:r>
            <w:r>
              <w:rPr>
                <w:rFonts w:hint="eastAsia" w:ascii="Times New Roman" w:hAnsi="Times New Roman"/>
                <w:szCs w:val="21"/>
              </w:rPr>
              <w:t>提供技术支撑</w:t>
            </w:r>
            <w:r>
              <w:rPr>
                <w:rFonts w:ascii="Times New Roman" w:hAnsi="Times New Roman"/>
                <w:szCs w:val="21"/>
              </w:rPr>
              <w:t>，符合主导产业要求。</w:t>
            </w:r>
          </w:p>
        </w:tc>
        <w:tc>
          <w:tcPr>
            <w:tcW w:w="844" w:type="dxa"/>
            <w:shd w:val="clear" w:color="auto" w:fill="auto"/>
            <w:noWrap w:val="0"/>
            <w:vAlign w:val="center"/>
          </w:tcPr>
          <w:p>
            <w:pPr>
              <w:ind w:right="-74"/>
              <w:jc w:val="center"/>
              <w:rPr>
                <w:rFonts w:ascii="Times New Roman" w:hAnsi="Times New Roman"/>
                <w:szCs w:val="21"/>
              </w:rPr>
            </w:pPr>
            <w:r>
              <w:rPr>
                <w:rFonts w:ascii="Times New Roman" w:hAnsi="Times New Roman"/>
                <w:szCs w:val="21"/>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rPr>
                <w:rFonts w:ascii="Times New Roman" w:hAnsi="Times New Roman"/>
                <w:szCs w:val="21"/>
              </w:rPr>
            </w:pPr>
            <w:r>
              <w:rPr>
                <w:rFonts w:ascii="Times New Roman" w:hAnsi="Times New Roman"/>
                <w:szCs w:val="21"/>
              </w:rPr>
              <w:t>限制和禁止类</w:t>
            </w:r>
          </w:p>
        </w:tc>
        <w:tc>
          <w:tcPr>
            <w:tcW w:w="5245" w:type="dxa"/>
            <w:gridSpan w:val="2"/>
            <w:shd w:val="clear" w:color="auto" w:fill="auto"/>
            <w:noWrap w:val="0"/>
            <w:vAlign w:val="center"/>
          </w:tcPr>
          <w:p>
            <w:pPr>
              <w:rPr>
                <w:rFonts w:ascii="Times New Roman" w:hAnsi="Times New Roman"/>
                <w:szCs w:val="21"/>
              </w:rPr>
            </w:pPr>
            <w:r>
              <w:rPr>
                <w:rFonts w:ascii="Times New Roman" w:hAnsi="Times New Roman"/>
                <w:szCs w:val="21"/>
              </w:rPr>
              <w:t>国家产业政策限制类和禁止类项目；</w:t>
            </w:r>
          </w:p>
          <w:p>
            <w:pPr>
              <w:rPr>
                <w:rFonts w:ascii="Times New Roman" w:hAnsi="Times New Roman"/>
                <w:szCs w:val="21"/>
              </w:rPr>
            </w:pPr>
            <w:r>
              <w:rPr>
                <w:rFonts w:ascii="Times New Roman" w:hAnsi="Times New Roman"/>
                <w:szCs w:val="21"/>
              </w:rPr>
              <w:t>禁止原油加工项目；</w:t>
            </w:r>
          </w:p>
          <w:p>
            <w:pPr>
              <w:rPr>
                <w:rFonts w:ascii="Times New Roman" w:hAnsi="Times New Roman"/>
                <w:szCs w:val="21"/>
              </w:rPr>
            </w:pPr>
            <w:r>
              <w:rPr>
                <w:rFonts w:ascii="Times New Roman" w:hAnsi="Times New Roman"/>
                <w:szCs w:val="21"/>
              </w:rPr>
              <w:t>禁止发展氯碱、联合制碱项目；</w:t>
            </w:r>
          </w:p>
          <w:p>
            <w:pPr>
              <w:rPr>
                <w:rFonts w:ascii="Times New Roman" w:hAnsi="Times New Roman"/>
                <w:szCs w:val="21"/>
              </w:rPr>
            </w:pPr>
            <w:r>
              <w:rPr>
                <w:rFonts w:ascii="Times New Roman" w:hAnsi="Times New Roman"/>
                <w:szCs w:val="21"/>
              </w:rPr>
              <w:t>禁止污染严重，破坏自然生态和损害人体健康；</w:t>
            </w:r>
          </w:p>
          <w:p>
            <w:pPr>
              <w:rPr>
                <w:rFonts w:ascii="Times New Roman" w:hAnsi="Times New Roman"/>
                <w:szCs w:val="21"/>
              </w:rPr>
            </w:pPr>
            <w:r>
              <w:rPr>
                <w:rFonts w:ascii="Times New Roman" w:hAnsi="Times New Roman"/>
                <w:szCs w:val="21"/>
              </w:rPr>
              <w:t>禁止引进三废处理技术不成熟、经济不可行的项目</w:t>
            </w:r>
            <w:r>
              <w:rPr>
                <w:rFonts w:hint="eastAsia" w:ascii="Times New Roman" w:hAnsi="Times New Roman"/>
                <w:szCs w:val="21"/>
              </w:rPr>
              <w:t>；</w:t>
            </w:r>
          </w:p>
          <w:p>
            <w:pPr>
              <w:rPr>
                <w:rFonts w:ascii="Times New Roman" w:hAnsi="Times New Roman"/>
                <w:szCs w:val="21"/>
              </w:rPr>
            </w:pPr>
            <w:r>
              <w:rPr>
                <w:rFonts w:ascii="Times New Roman" w:hAnsi="Times New Roman"/>
                <w:szCs w:val="21"/>
              </w:rPr>
              <w:t>限制化学制药项目；</w:t>
            </w:r>
          </w:p>
          <w:p>
            <w:pPr>
              <w:rPr>
                <w:rFonts w:ascii="Times New Roman" w:hAnsi="Times New Roman"/>
                <w:szCs w:val="21"/>
              </w:rPr>
            </w:pPr>
            <w:r>
              <w:rPr>
                <w:rFonts w:ascii="Times New Roman" w:hAnsi="Times New Roman"/>
                <w:szCs w:val="21"/>
              </w:rPr>
              <w:t>限制冶金、印染、皮革等不符合集聚区产业定位， 且高水耗、高能耗，废气、废水、固废等污染排放较大的 行业；</w:t>
            </w:r>
          </w:p>
          <w:p>
            <w:pPr>
              <w:rPr>
                <w:rFonts w:ascii="Times New Roman" w:hAnsi="Times New Roman"/>
                <w:szCs w:val="21"/>
              </w:rPr>
            </w:pPr>
            <w:r>
              <w:rPr>
                <w:rFonts w:ascii="Times New Roman" w:hAnsi="Times New Roman"/>
                <w:szCs w:val="21"/>
              </w:rPr>
              <w:t>限制新建制浆造纸项目，改扩建项目污染物排放总量不得超出现有工程；</w:t>
            </w:r>
          </w:p>
          <w:p>
            <w:pPr>
              <w:rPr>
                <w:rFonts w:ascii="Times New Roman" w:hAnsi="Times New Roman"/>
                <w:szCs w:val="21"/>
              </w:rPr>
            </w:pPr>
            <w:r>
              <w:rPr>
                <w:rFonts w:ascii="Times New Roman" w:hAnsi="Times New Roman"/>
                <w:szCs w:val="21"/>
              </w:rPr>
              <w:t>限制影响范围大，容易引起居民纠纷的项目。</w:t>
            </w:r>
          </w:p>
        </w:tc>
        <w:tc>
          <w:tcPr>
            <w:tcW w:w="2268" w:type="dxa"/>
            <w:shd w:val="clear" w:color="auto" w:fill="auto"/>
            <w:noWrap w:val="0"/>
            <w:vAlign w:val="center"/>
          </w:tcPr>
          <w:p>
            <w:pPr>
              <w:ind w:right="-74"/>
              <w:rPr>
                <w:rFonts w:ascii="Times New Roman" w:hAnsi="Times New Roman"/>
                <w:szCs w:val="21"/>
              </w:rPr>
            </w:pPr>
            <w:r>
              <w:rPr>
                <w:rFonts w:ascii="Times New Roman" w:hAnsi="Times New Roman"/>
                <w:szCs w:val="21"/>
              </w:rPr>
              <w:t>项目不属于限制类和禁止类项目。</w:t>
            </w:r>
          </w:p>
        </w:tc>
        <w:tc>
          <w:tcPr>
            <w:tcW w:w="844"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rPr>
                <w:rFonts w:ascii="Times New Roman" w:hAnsi="Times New Roman"/>
                <w:szCs w:val="21"/>
              </w:rPr>
            </w:pPr>
            <w:r>
              <w:rPr>
                <w:rFonts w:ascii="Times New Roman" w:hAnsi="Times New Roman"/>
                <w:szCs w:val="21"/>
              </w:rPr>
              <w:t>允许类</w:t>
            </w:r>
          </w:p>
        </w:tc>
        <w:tc>
          <w:tcPr>
            <w:tcW w:w="5245" w:type="dxa"/>
            <w:gridSpan w:val="2"/>
            <w:shd w:val="clear" w:color="auto" w:fill="auto"/>
            <w:noWrap w:val="0"/>
            <w:vAlign w:val="center"/>
          </w:tcPr>
          <w:p>
            <w:pPr>
              <w:rPr>
                <w:rFonts w:ascii="Times New Roman" w:hAnsi="Times New Roman"/>
                <w:szCs w:val="21"/>
              </w:rPr>
            </w:pPr>
            <w:r>
              <w:rPr>
                <w:rFonts w:ascii="Times New Roman" w:hAnsi="Times New Roman"/>
                <w:szCs w:val="21"/>
              </w:rPr>
              <w:t>不属于禁止、限制、鼓励行业的其余行业均为允许行业；</w:t>
            </w:r>
          </w:p>
          <w:p>
            <w:pPr>
              <w:rPr>
                <w:rFonts w:ascii="Times New Roman" w:hAnsi="Times New Roman"/>
                <w:szCs w:val="21"/>
              </w:rPr>
            </w:pPr>
            <w:r>
              <w:rPr>
                <w:rFonts w:ascii="Times New Roman" w:hAnsi="Times New Roman"/>
                <w:szCs w:val="21"/>
              </w:rPr>
              <w:t>集聚区化工区允许与集聚区及周边企业相配套的产业链条延伸项目以及污染较小的精细化工项目入驻；</w:t>
            </w:r>
          </w:p>
          <w:p>
            <w:pPr>
              <w:rPr>
                <w:rFonts w:ascii="Times New Roman" w:hAnsi="Times New Roman"/>
                <w:szCs w:val="21"/>
              </w:rPr>
            </w:pPr>
            <w:r>
              <w:rPr>
                <w:rFonts w:ascii="Times New Roman" w:hAnsi="Times New Roman"/>
                <w:szCs w:val="21"/>
              </w:rPr>
              <w:t>允许行业的准入原则：满足以下基本条件和总量控制、投资强度等要求，其中石化行业中，轻污染、低能耗的精细化工行业为允许行业</w:t>
            </w:r>
          </w:p>
        </w:tc>
        <w:tc>
          <w:tcPr>
            <w:tcW w:w="2268" w:type="dxa"/>
            <w:shd w:val="clear" w:color="auto" w:fill="auto"/>
            <w:noWrap w:val="0"/>
            <w:vAlign w:val="center"/>
          </w:tcPr>
          <w:p>
            <w:pPr>
              <w:rPr>
                <w:rFonts w:ascii="Times New Roman" w:hAnsi="Times New Roman"/>
                <w:szCs w:val="21"/>
              </w:rPr>
            </w:pPr>
            <w:r>
              <w:rPr>
                <w:rFonts w:ascii="Times New Roman" w:hAnsi="Times New Roman"/>
                <w:szCs w:val="21"/>
              </w:rPr>
              <w:t>项目为允许行业，</w:t>
            </w:r>
            <w:r>
              <w:rPr>
                <w:rFonts w:hint="eastAsia" w:ascii="Times New Roman" w:hAnsi="Times New Roman"/>
                <w:szCs w:val="21"/>
              </w:rPr>
              <w:t>千吨级中试项目，为后期</w:t>
            </w:r>
            <w:r>
              <w:rPr>
                <w:rFonts w:ascii="Times New Roman" w:hAnsi="Times New Roman"/>
                <w:szCs w:val="21"/>
              </w:rPr>
              <w:t>延伸中原大化产品结构，拉长产业链条</w:t>
            </w:r>
            <w:r>
              <w:rPr>
                <w:rFonts w:hint="eastAsia" w:ascii="Times New Roman" w:hAnsi="Times New Roman"/>
                <w:szCs w:val="21"/>
              </w:rPr>
              <w:t>提供技术支撑</w:t>
            </w:r>
            <w:r>
              <w:rPr>
                <w:rFonts w:ascii="Times New Roman" w:hAnsi="Times New Roman"/>
                <w:szCs w:val="21"/>
              </w:rPr>
              <w:t>，污染较小。</w:t>
            </w:r>
          </w:p>
        </w:tc>
        <w:tc>
          <w:tcPr>
            <w:tcW w:w="844"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rPr>
                <w:rFonts w:ascii="Times New Roman" w:hAnsi="Times New Roman"/>
                <w:szCs w:val="21"/>
              </w:rPr>
            </w:pPr>
            <w:r>
              <w:rPr>
                <w:rFonts w:ascii="Times New Roman" w:hAnsi="Times New Roman"/>
                <w:szCs w:val="21"/>
              </w:rPr>
              <w:t>产业发展</w:t>
            </w:r>
          </w:p>
        </w:tc>
        <w:tc>
          <w:tcPr>
            <w:tcW w:w="494" w:type="dxa"/>
            <w:shd w:val="clear" w:color="auto" w:fill="auto"/>
            <w:noWrap w:val="0"/>
            <w:vAlign w:val="center"/>
          </w:tcPr>
          <w:p>
            <w:pPr>
              <w:pStyle w:val="72"/>
              <w:ind w:left="68"/>
              <w:jc w:val="left"/>
              <w:rPr>
                <w:rFonts w:eastAsia="宋体"/>
                <w:kern w:val="2"/>
                <w:sz w:val="21"/>
                <w:szCs w:val="21"/>
                <w:lang w:val="en-US" w:bidi="ar-SA"/>
              </w:rPr>
            </w:pPr>
            <w:r>
              <w:rPr>
                <w:rFonts w:eastAsia="宋体"/>
                <w:kern w:val="2"/>
                <w:sz w:val="21"/>
                <w:szCs w:val="21"/>
                <w:lang w:val="en-US" w:bidi="ar-SA"/>
              </w:rPr>
              <w:t>化</w:t>
            </w:r>
          </w:p>
          <w:p>
            <w:pPr>
              <w:pStyle w:val="72"/>
              <w:ind w:left="68"/>
              <w:jc w:val="left"/>
              <w:rPr>
                <w:rFonts w:eastAsia="宋体"/>
                <w:kern w:val="2"/>
                <w:sz w:val="21"/>
                <w:szCs w:val="21"/>
                <w:lang w:val="en-US" w:bidi="ar-SA"/>
              </w:rPr>
            </w:pPr>
            <w:r>
              <w:rPr>
                <w:rFonts w:eastAsia="宋体"/>
                <w:kern w:val="2"/>
                <w:sz w:val="21"/>
                <w:szCs w:val="21"/>
                <w:lang w:val="en-US" w:bidi="ar-SA"/>
              </w:rPr>
              <w:t>工</w:t>
            </w:r>
          </w:p>
          <w:p>
            <w:pPr>
              <w:pStyle w:val="72"/>
              <w:ind w:left="68"/>
              <w:jc w:val="left"/>
              <w:rPr>
                <w:rFonts w:eastAsia="宋体"/>
                <w:kern w:val="2"/>
                <w:sz w:val="21"/>
                <w:szCs w:val="21"/>
                <w:lang w:val="en-US" w:bidi="ar-SA"/>
              </w:rPr>
            </w:pPr>
            <w:r>
              <w:rPr>
                <w:rFonts w:eastAsia="宋体"/>
                <w:kern w:val="2"/>
                <w:sz w:val="21"/>
                <w:szCs w:val="21"/>
                <w:lang w:val="en-US" w:bidi="ar-SA"/>
              </w:rPr>
              <w:t>行</w:t>
            </w:r>
          </w:p>
          <w:p>
            <w:pPr>
              <w:pStyle w:val="72"/>
              <w:ind w:left="68"/>
              <w:jc w:val="left"/>
              <w:rPr>
                <w:rFonts w:eastAsia="宋体"/>
                <w:kern w:val="2"/>
                <w:sz w:val="21"/>
                <w:szCs w:val="21"/>
                <w:lang w:val="en-US" w:bidi="ar-SA"/>
              </w:rPr>
            </w:pPr>
            <w:r>
              <w:rPr>
                <w:rFonts w:eastAsia="宋体"/>
                <w:kern w:val="2"/>
                <w:sz w:val="21"/>
                <w:szCs w:val="21"/>
                <w:lang w:val="en-US" w:bidi="ar-SA"/>
              </w:rPr>
              <w:t>业</w:t>
            </w:r>
          </w:p>
        </w:tc>
        <w:tc>
          <w:tcPr>
            <w:tcW w:w="4751" w:type="dxa"/>
            <w:shd w:val="clear" w:color="auto" w:fill="auto"/>
            <w:noWrap w:val="0"/>
            <w:vAlign w:val="center"/>
          </w:tcPr>
          <w:p>
            <w:pPr>
              <w:pStyle w:val="72"/>
              <w:ind w:left="68"/>
              <w:jc w:val="left"/>
              <w:rPr>
                <w:rFonts w:eastAsia="宋体"/>
                <w:kern w:val="2"/>
                <w:sz w:val="21"/>
                <w:szCs w:val="21"/>
                <w:lang w:val="en-US" w:bidi="ar-SA"/>
              </w:rPr>
            </w:pPr>
            <w:r>
              <w:rPr>
                <w:rFonts w:eastAsia="宋体"/>
                <w:kern w:val="2"/>
                <w:sz w:val="21"/>
                <w:szCs w:val="21"/>
                <w:lang w:val="en-US" w:bidi="ar-SA"/>
              </w:rPr>
              <w:t>1、化工产业应符合国家相关政策和环保要求；</w:t>
            </w:r>
          </w:p>
          <w:p>
            <w:pPr>
              <w:pStyle w:val="72"/>
              <w:ind w:left="68"/>
              <w:jc w:val="left"/>
              <w:rPr>
                <w:rFonts w:eastAsia="宋体"/>
                <w:kern w:val="2"/>
                <w:sz w:val="21"/>
                <w:szCs w:val="21"/>
                <w:lang w:val="en-US" w:bidi="ar-SA"/>
              </w:rPr>
            </w:pPr>
            <w:r>
              <w:rPr>
                <w:rFonts w:eastAsia="宋体"/>
                <w:kern w:val="2"/>
                <w:sz w:val="21"/>
                <w:szCs w:val="21"/>
                <w:lang w:val="en-US" w:bidi="ar-SA"/>
              </w:rPr>
              <w:t>2、依托濮阳市石油化工产品及副产品积极开发和延长下游精细化工产业链条；</w:t>
            </w:r>
          </w:p>
          <w:p>
            <w:pPr>
              <w:pStyle w:val="72"/>
              <w:ind w:left="68"/>
              <w:jc w:val="left"/>
              <w:rPr>
                <w:rFonts w:eastAsia="宋体"/>
                <w:kern w:val="2"/>
                <w:sz w:val="21"/>
                <w:szCs w:val="21"/>
                <w:lang w:val="en-US" w:bidi="ar-SA"/>
              </w:rPr>
            </w:pPr>
            <w:r>
              <w:rPr>
                <w:rFonts w:eastAsia="宋体"/>
                <w:kern w:val="2"/>
                <w:sz w:val="21"/>
                <w:szCs w:val="21"/>
                <w:lang w:val="en-US" w:bidi="ar-SA"/>
              </w:rPr>
              <w:t>3、依托濮阳市井盐资源，发展真空制盐；</w:t>
            </w:r>
          </w:p>
          <w:p>
            <w:pPr>
              <w:pStyle w:val="72"/>
              <w:ind w:left="68"/>
              <w:jc w:val="both"/>
              <w:rPr>
                <w:rFonts w:eastAsia="宋体"/>
                <w:kern w:val="2"/>
                <w:sz w:val="21"/>
                <w:szCs w:val="21"/>
                <w:lang w:val="en-US" w:bidi="ar-SA"/>
              </w:rPr>
            </w:pPr>
            <w:r>
              <w:rPr>
                <w:rFonts w:eastAsia="宋体"/>
                <w:kern w:val="2"/>
                <w:sz w:val="21"/>
                <w:szCs w:val="21"/>
                <w:lang w:val="en-US" w:bidi="ar-SA"/>
              </w:rPr>
              <w:t>4、利用区域煤制甲醇资源，发展甲醇制二甲醚、醋酸／醋酐联产产品，并结合相关产业发展下游产品如醋酸乙烯、高纯氯乙酸、醋酸酯、醋酸纤维素等精细化工产品。</w:t>
            </w:r>
          </w:p>
          <w:p>
            <w:pPr>
              <w:pStyle w:val="72"/>
              <w:ind w:left="68"/>
              <w:jc w:val="both"/>
              <w:rPr>
                <w:rFonts w:eastAsia="宋体"/>
                <w:kern w:val="2"/>
                <w:sz w:val="21"/>
                <w:szCs w:val="21"/>
                <w:lang w:val="en-US" w:bidi="ar-SA"/>
              </w:rPr>
            </w:pPr>
            <w:r>
              <w:rPr>
                <w:rFonts w:eastAsia="宋体"/>
                <w:kern w:val="2"/>
                <w:sz w:val="21"/>
                <w:szCs w:val="21"/>
                <w:lang w:val="en-US" w:bidi="ar-SA"/>
              </w:rPr>
              <w:t>5、发展工程塑料、特种合成橡胶等先进结构材料、以氟硅材料、功能性膜材料为代表的非金属功能材料、高性能纤维及其增强复合材料、电子化学品、食品添加剂、饲料添加剂、水处理化学品、环保型塑料 添加剂等高性能、环境友好、本质安全的新型专用化学品。</w:t>
            </w:r>
          </w:p>
          <w:p>
            <w:pPr>
              <w:rPr>
                <w:rFonts w:ascii="Times New Roman" w:hAnsi="Times New Roman"/>
                <w:szCs w:val="21"/>
              </w:rPr>
            </w:pPr>
            <w:r>
              <w:rPr>
                <w:rFonts w:ascii="Times New Roman" w:hAnsi="Times New Roman"/>
                <w:szCs w:val="21"/>
              </w:rPr>
              <w:t>6、限制有机废气排放量大的化工企业。</w:t>
            </w:r>
          </w:p>
        </w:tc>
        <w:tc>
          <w:tcPr>
            <w:tcW w:w="2268" w:type="dxa"/>
            <w:shd w:val="clear" w:color="auto" w:fill="auto"/>
            <w:noWrap w:val="0"/>
            <w:vAlign w:val="center"/>
          </w:tcPr>
          <w:p>
            <w:pPr>
              <w:rPr>
                <w:rFonts w:ascii="Times New Roman" w:hAnsi="Times New Roman"/>
                <w:szCs w:val="21"/>
              </w:rPr>
            </w:pPr>
            <w:r>
              <w:rPr>
                <w:rFonts w:ascii="Times New Roman" w:hAnsi="Times New Roman"/>
                <w:szCs w:val="21"/>
              </w:rPr>
              <w:t>项目符合国家相关产业政策及环保要求；</w:t>
            </w:r>
          </w:p>
          <w:p>
            <w:pPr>
              <w:rPr>
                <w:rFonts w:ascii="Times New Roman" w:hAnsi="Times New Roman"/>
                <w:szCs w:val="21"/>
              </w:rPr>
            </w:pPr>
            <w:r>
              <w:rPr>
                <w:rFonts w:ascii="Times New Roman" w:hAnsi="Times New Roman"/>
                <w:szCs w:val="21"/>
              </w:rPr>
              <w:t>项目利用</w:t>
            </w:r>
            <w:r>
              <w:rPr>
                <w:rFonts w:hint="eastAsia" w:ascii="Times New Roman" w:hAnsi="Times New Roman"/>
                <w:szCs w:val="21"/>
              </w:rPr>
              <w:t>秸秆糖水溶液</w:t>
            </w:r>
            <w:r>
              <w:rPr>
                <w:rFonts w:ascii="Times New Roman" w:hAnsi="Times New Roman"/>
                <w:szCs w:val="21"/>
              </w:rPr>
              <w:t>，结合中原大化现有</w:t>
            </w:r>
            <w:r>
              <w:rPr>
                <w:rFonts w:hint="eastAsia" w:ascii="Times New Roman" w:hAnsi="Times New Roman"/>
                <w:szCs w:val="21"/>
              </w:rPr>
              <w:t>氢气建设生物质乙二醇千吨级中试装置，</w:t>
            </w:r>
            <w:r>
              <w:rPr>
                <w:rFonts w:ascii="Times New Roman" w:hAnsi="Times New Roman"/>
                <w:szCs w:val="21"/>
              </w:rPr>
              <w:t>延伸相关产业链条；</w:t>
            </w:r>
          </w:p>
          <w:p>
            <w:pPr>
              <w:rPr>
                <w:rFonts w:ascii="Times New Roman" w:hAnsi="Times New Roman" w:eastAsia="黑体"/>
                <w:b/>
                <w:kern w:val="0"/>
                <w:sz w:val="24"/>
              </w:rPr>
            </w:pPr>
            <w:r>
              <w:rPr>
                <w:rFonts w:ascii="Times New Roman" w:hAnsi="Times New Roman"/>
                <w:szCs w:val="21"/>
              </w:rPr>
              <w:t>项目有机废气经相关措施处理后，排放量较小，对周围环境影响较小。</w:t>
            </w:r>
          </w:p>
        </w:tc>
        <w:tc>
          <w:tcPr>
            <w:tcW w:w="844"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rPr>
                <w:rFonts w:ascii="Times New Roman" w:hAnsi="Times New Roman"/>
                <w:szCs w:val="21"/>
              </w:rPr>
            </w:pPr>
            <w:r>
              <w:rPr>
                <w:rFonts w:ascii="Times New Roman" w:hAnsi="Times New Roman"/>
                <w:szCs w:val="21"/>
              </w:rPr>
              <w:t>生产规模和工艺技术先进性要求</w:t>
            </w:r>
          </w:p>
        </w:tc>
        <w:tc>
          <w:tcPr>
            <w:tcW w:w="5245" w:type="dxa"/>
            <w:gridSpan w:val="2"/>
            <w:shd w:val="clear" w:color="auto" w:fill="auto"/>
            <w:noWrap w:val="0"/>
            <w:vAlign w:val="center"/>
          </w:tcPr>
          <w:p>
            <w:pPr>
              <w:rPr>
                <w:rFonts w:ascii="Times New Roman" w:hAnsi="Times New Roman"/>
                <w:szCs w:val="21"/>
              </w:rPr>
            </w:pPr>
            <w:r>
              <w:rPr>
                <w:rFonts w:ascii="Times New Roman" w:hAnsi="Times New Roman"/>
                <w:szCs w:val="21"/>
              </w:rPr>
              <w:t>1、在工艺技术水平上，要求入驻聚集区的项目必须达到国内同行业领先水平或具备国际先进水平；</w:t>
            </w:r>
          </w:p>
          <w:p>
            <w:pPr>
              <w:rPr>
                <w:rFonts w:ascii="Times New Roman" w:hAnsi="Times New Roman"/>
                <w:szCs w:val="21"/>
              </w:rPr>
            </w:pPr>
            <w:r>
              <w:rPr>
                <w:rFonts w:ascii="Times New Roman" w:hAnsi="Times New Roman"/>
                <w:szCs w:val="21"/>
              </w:rPr>
              <w:t>2、建设规模应符合国家产业政策对相关经济规模的限制性要求；</w:t>
            </w:r>
          </w:p>
          <w:p>
            <w:pPr>
              <w:rPr>
                <w:rFonts w:ascii="Times New Roman" w:hAnsi="Times New Roman"/>
                <w:szCs w:val="21"/>
              </w:rPr>
            </w:pPr>
            <w:r>
              <w:rPr>
                <w:rFonts w:ascii="Times New Roman" w:hAnsi="Times New Roman"/>
                <w:szCs w:val="21"/>
              </w:rPr>
              <w:t>3、市区环保搬迁入驻聚集区的企业应进行产品和生产技术的升级改造，达到国家相关规定的要求。</w:t>
            </w:r>
          </w:p>
        </w:tc>
        <w:tc>
          <w:tcPr>
            <w:tcW w:w="2268" w:type="dxa"/>
            <w:shd w:val="clear" w:color="auto" w:fill="auto"/>
            <w:noWrap w:val="0"/>
            <w:vAlign w:val="center"/>
          </w:tcPr>
          <w:p>
            <w:pPr>
              <w:rPr>
                <w:rFonts w:ascii="Times New Roman" w:hAnsi="Times New Roman"/>
                <w:szCs w:val="21"/>
              </w:rPr>
            </w:pPr>
            <w:r>
              <w:rPr>
                <w:rFonts w:ascii="Times New Roman" w:hAnsi="Times New Roman"/>
                <w:szCs w:val="21"/>
              </w:rPr>
              <w:t>项目不属于环保搬迁，在工艺技术水平上，达到国内同行业领先水平或具备国际先进水平。</w:t>
            </w:r>
          </w:p>
        </w:tc>
        <w:tc>
          <w:tcPr>
            <w:tcW w:w="844"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符合</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auto"/>
            <w:noWrap w:val="0"/>
            <w:vAlign w:val="center"/>
          </w:tcPr>
          <w:p>
            <w:pPr>
              <w:rPr>
                <w:rFonts w:ascii="Times New Roman" w:hAnsi="Times New Roman"/>
                <w:szCs w:val="21"/>
              </w:rPr>
            </w:pPr>
            <w:r>
              <w:rPr>
                <w:rFonts w:ascii="Times New Roman" w:hAnsi="Times New Roman"/>
                <w:szCs w:val="21"/>
              </w:rPr>
              <w:t>清洁生产水平</w:t>
            </w:r>
          </w:p>
        </w:tc>
        <w:tc>
          <w:tcPr>
            <w:tcW w:w="5245" w:type="dxa"/>
            <w:gridSpan w:val="2"/>
            <w:shd w:val="clear" w:color="auto" w:fill="auto"/>
            <w:noWrap w:val="0"/>
            <w:vAlign w:val="center"/>
          </w:tcPr>
          <w:p>
            <w:pPr>
              <w:rPr>
                <w:rFonts w:ascii="Times New Roman" w:hAnsi="Times New Roman"/>
                <w:szCs w:val="21"/>
              </w:rPr>
            </w:pPr>
            <w:r>
              <w:rPr>
                <w:rFonts w:ascii="Times New Roman" w:hAnsi="Times New Roman"/>
                <w:szCs w:val="21"/>
              </w:rPr>
              <w:t>1、应选择使用原料和产品为环境友好型的项目，避免聚集区大规模建设造成的不良辐射效应，诱使国家明令禁止项目在聚集区周边出现；</w:t>
            </w:r>
          </w:p>
          <w:p>
            <w:pPr>
              <w:rPr>
                <w:rFonts w:ascii="Times New Roman" w:hAnsi="Times New Roman"/>
                <w:szCs w:val="21"/>
              </w:rPr>
            </w:pPr>
            <w:r>
              <w:rPr>
                <w:rFonts w:ascii="Times New Roman" w:hAnsi="Times New Roman"/>
                <w:szCs w:val="21"/>
              </w:rPr>
              <w:t>2、入聚集区的新建项目的单位产品水耗、单位产品污染物 排放量等清洁生产指标应达到国内同行业领先或国际先进水平。项目整体清洁生产水平应达到或超过国内清洁生产先 进水平；</w:t>
            </w:r>
          </w:p>
          <w:p>
            <w:pPr>
              <w:rPr>
                <w:rFonts w:ascii="Times New Roman" w:hAnsi="Times New Roman"/>
                <w:szCs w:val="21"/>
              </w:rPr>
            </w:pPr>
            <w:r>
              <w:rPr>
                <w:rFonts w:ascii="Times New Roman" w:hAnsi="Times New Roman"/>
                <w:szCs w:val="21"/>
              </w:rPr>
              <w:t>3、市区环保搬迁企业的清洁生产指标应达到国内同行业先进或领先水平。</w:t>
            </w:r>
          </w:p>
        </w:tc>
        <w:tc>
          <w:tcPr>
            <w:tcW w:w="2268" w:type="dxa"/>
            <w:shd w:val="clear" w:color="auto" w:fill="auto"/>
            <w:noWrap w:val="0"/>
            <w:vAlign w:val="center"/>
          </w:tcPr>
          <w:p>
            <w:pPr>
              <w:ind w:right="-74"/>
              <w:rPr>
                <w:rFonts w:ascii="Times New Roman" w:hAnsi="Times New Roman" w:eastAsia="黑体"/>
                <w:b/>
                <w:kern w:val="0"/>
                <w:sz w:val="24"/>
              </w:rPr>
            </w:pPr>
            <w:r>
              <w:rPr>
                <w:rFonts w:ascii="Times New Roman" w:hAnsi="Times New Roman"/>
              </w:rPr>
              <w:t>项目使用的原料和产品均不属于禁止类；项目</w:t>
            </w:r>
            <w:r>
              <w:rPr>
                <w:rFonts w:ascii="Times New Roman" w:hAnsi="Times New Roman"/>
                <w:spacing w:val="-8"/>
              </w:rPr>
              <w:t>清洁生产水平</w:t>
            </w:r>
            <w:r>
              <w:rPr>
                <w:rFonts w:hint="eastAsia" w:ascii="Times New Roman" w:hAnsi="Times New Roman"/>
                <w:spacing w:val="-8"/>
              </w:rPr>
              <w:t>可</w:t>
            </w:r>
            <w:r>
              <w:rPr>
                <w:rFonts w:ascii="Times New Roman" w:hAnsi="Times New Roman"/>
                <w:spacing w:val="-8"/>
              </w:rPr>
              <w:t>达到</w:t>
            </w:r>
            <w:r>
              <w:rPr>
                <w:rFonts w:ascii="Times New Roman" w:hAnsi="Times New Roman"/>
              </w:rPr>
              <w:t>国内先进水平</w:t>
            </w:r>
            <w:r>
              <w:rPr>
                <w:rFonts w:hint="eastAsia" w:ascii="Times New Roman" w:hAnsi="Times New Roman"/>
              </w:rPr>
              <w:t>。</w:t>
            </w:r>
          </w:p>
        </w:tc>
        <w:tc>
          <w:tcPr>
            <w:tcW w:w="844" w:type="dxa"/>
            <w:shd w:val="clear" w:color="auto" w:fill="auto"/>
            <w:noWrap w:val="0"/>
            <w:vAlign w:val="center"/>
          </w:tcPr>
          <w:p>
            <w:pPr>
              <w:ind w:right="-74"/>
              <w:rPr>
                <w:rFonts w:ascii="Times New Roman" w:hAnsi="Times New Roman" w:eastAsia="黑体"/>
                <w:b/>
                <w:kern w:val="0"/>
                <w:sz w:val="24"/>
              </w:rPr>
            </w:pPr>
            <w:r>
              <w:rPr>
                <w:rFonts w:ascii="Times New Roman" w:hAnsi="Times New Roman"/>
                <w:szCs w:val="21"/>
              </w:rPr>
              <w:t>符合</w:t>
            </w:r>
          </w:p>
        </w:tc>
      </w:tr>
    </w:tbl>
    <w:p>
      <w:pPr>
        <w:spacing w:line="520" w:lineRule="exact"/>
        <w:ind w:firstLine="560" w:firstLineChars="200"/>
        <w:rPr>
          <w:rFonts w:ascii="Times New Roman" w:hAnsi="Times New Roman"/>
          <w:sz w:val="28"/>
          <w:szCs w:val="28"/>
        </w:rPr>
      </w:pPr>
      <w:r>
        <w:rPr>
          <w:rFonts w:ascii="Times New Roman" w:hAnsi="Times New Roman"/>
          <w:sz w:val="28"/>
          <w:szCs w:val="28"/>
        </w:rPr>
        <w:t>对照规划环评环境准入条件，本项目建设符合园区环境准入条件要求。</w:t>
      </w:r>
      <w:bookmarkStart w:id="271" w:name="3.3饮用水源保护区"/>
      <w:bookmarkEnd w:id="271"/>
      <w:bookmarkStart w:id="272" w:name="_TOC_250043"/>
      <w:bookmarkEnd w:id="272"/>
    </w:p>
    <w:p>
      <w:pPr>
        <w:pStyle w:val="5"/>
        <w:spacing w:before="0" w:after="0" w:line="530" w:lineRule="exact"/>
        <w:rPr>
          <w:rFonts w:ascii="Times New Roman" w:hAnsi="Times New Roman" w:eastAsia="楷体_GB2312"/>
          <w:sz w:val="28"/>
          <w:szCs w:val="28"/>
          <w:lang w:val="en-US" w:eastAsia="zh-CN"/>
        </w:rPr>
      </w:pPr>
      <w:r>
        <w:rPr>
          <w:rFonts w:ascii="Times New Roman" w:hAnsi="Times New Roman" w:eastAsia="楷体_GB2312"/>
          <w:sz w:val="28"/>
          <w:szCs w:val="28"/>
          <w:lang w:val="en-US" w:eastAsia="zh-CN"/>
        </w:rPr>
        <w:t>8.2.4  饮用水源保护区</w:t>
      </w:r>
    </w:p>
    <w:p>
      <w:pPr>
        <w:spacing w:line="520" w:lineRule="exact"/>
        <w:ind w:firstLine="560" w:firstLineChars="200"/>
        <w:rPr>
          <w:rFonts w:ascii="Times New Roman" w:hAnsi="Times New Roman"/>
          <w:sz w:val="28"/>
          <w:szCs w:val="28"/>
        </w:rPr>
      </w:pPr>
      <w:bookmarkStart w:id="273" w:name="_Hlk42173862"/>
      <w:r>
        <w:rPr>
          <w:rFonts w:ascii="Times New Roman" w:hAnsi="Times New Roman"/>
          <w:sz w:val="28"/>
          <w:szCs w:val="28"/>
        </w:rPr>
        <w:t>据《河南省濮阳市城市饮用水水资源保护区划分技术报告》（2007年）</w:t>
      </w:r>
      <w:bookmarkEnd w:id="273"/>
      <w:r>
        <w:rPr>
          <w:rFonts w:ascii="Times New Roman" w:hAnsi="Times New Roman"/>
          <w:sz w:val="28"/>
          <w:szCs w:val="28"/>
        </w:rPr>
        <w:t>，濮阳市有2个地表水饮用水源保护区（中原油田彭楼地表水饮用水源保护区、西水坡地表水饮用水源保护区）、3个地下水饮用水源保护区（李子园地下水饮用水源保护区、中原油田基地地下水饮用水源保护区、沿西环线地下水饮用水源地保护区）和1个南水北调水源保护区。</w:t>
      </w:r>
    </w:p>
    <w:p>
      <w:pPr>
        <w:spacing w:line="520" w:lineRule="exact"/>
        <w:ind w:firstLine="560" w:firstLineChars="200"/>
        <w:rPr>
          <w:rFonts w:ascii="Times New Roman" w:hAnsi="Times New Roman"/>
          <w:sz w:val="28"/>
          <w:szCs w:val="28"/>
        </w:rPr>
      </w:pPr>
      <w:r>
        <w:rPr>
          <w:rFonts w:ascii="Times New Roman" w:hAnsi="Times New Roman"/>
          <w:sz w:val="28"/>
          <w:szCs w:val="28"/>
        </w:rPr>
        <w:t>由于濮阳市西部工业区聚集大量化工企业，从而对西环线井群和中原油田基地水源保护区产生不利影响，对该水源地造成安全隐患，且该井群成井质量不高、部分水井水质存在超标因子，不能保证居民长期饮水安全的需要，已不宜继续作为城市备用饮用水源。为此，濮阳市环保局</w:t>
      </w:r>
      <w:r>
        <w:rPr>
          <w:rFonts w:hint="eastAsia" w:ascii="Times New Roman" w:hAnsi="Times New Roman"/>
          <w:sz w:val="28"/>
          <w:szCs w:val="28"/>
        </w:rPr>
        <w:t>2</w:t>
      </w:r>
      <w:r>
        <w:rPr>
          <w:rFonts w:ascii="Times New Roman" w:hAnsi="Times New Roman"/>
          <w:sz w:val="28"/>
          <w:szCs w:val="28"/>
        </w:rPr>
        <w:t>013年8月在郑州召开</w:t>
      </w:r>
      <w:bookmarkStart w:id="274" w:name="_Hlk42173872"/>
      <w:r>
        <w:rPr>
          <w:rFonts w:ascii="Times New Roman" w:hAnsi="Times New Roman"/>
          <w:sz w:val="28"/>
          <w:szCs w:val="28"/>
        </w:rPr>
        <w:t>《濮阳市地下饮用水源地调整及保护区核定技术报告》技术评审会</w:t>
      </w:r>
      <w:r>
        <w:rPr>
          <w:rFonts w:hint="eastAsia" w:ascii="Times New Roman" w:hAnsi="Times New Roman"/>
          <w:sz w:val="28"/>
          <w:szCs w:val="28"/>
        </w:rPr>
        <w:t>，</w:t>
      </w:r>
      <w:r>
        <w:rPr>
          <w:rFonts w:ascii="Times New Roman" w:hAnsi="Times New Roman"/>
          <w:sz w:val="28"/>
          <w:szCs w:val="28"/>
        </w:rPr>
        <w:t>2014年河南省环保厅联合水利厅以豫环函【2014】61号文</w:t>
      </w:r>
      <w:bookmarkEnd w:id="274"/>
      <w:r>
        <w:rPr>
          <w:rFonts w:ascii="Times New Roman" w:hAnsi="Times New Roman"/>
          <w:sz w:val="28"/>
          <w:szCs w:val="28"/>
        </w:rPr>
        <w:t>批复该报告。该报告未涉及地表水饮用水源，仅对濮阳市地下水源地及其保护范围进行了调整，调整内容如下：</w:t>
      </w:r>
    </w:p>
    <w:p>
      <w:pPr>
        <w:spacing w:line="520" w:lineRule="exact"/>
        <w:ind w:firstLine="560" w:firstLineChars="200"/>
        <w:rPr>
          <w:rFonts w:ascii="Times New Roman" w:hAnsi="Times New Roman"/>
          <w:sz w:val="28"/>
          <w:szCs w:val="28"/>
        </w:rPr>
      </w:pPr>
      <w:r>
        <w:rPr>
          <w:rFonts w:ascii="Times New Roman" w:hAnsi="Times New Roman"/>
          <w:sz w:val="28"/>
          <w:szCs w:val="28"/>
        </w:rPr>
        <w:t>一、沿西环线井群形成于1997年黄河断流时期，为满足当时濮阳市城市用水需求紧急开凿建成的。该井群地处于濮阳市城区和西部工业园区之间，距离西部开发区仅1km，且西部工业区聚集大量化工企业，从保障城市居民饮水安全的角度来考虑，需关闭沿西环线井群。</w:t>
      </w:r>
    </w:p>
    <w:p>
      <w:pPr>
        <w:spacing w:line="520" w:lineRule="exact"/>
        <w:ind w:firstLine="560" w:firstLineChars="200"/>
        <w:rPr>
          <w:rFonts w:ascii="Times New Roman" w:hAnsi="Times New Roman"/>
          <w:sz w:val="28"/>
          <w:szCs w:val="28"/>
        </w:rPr>
      </w:pPr>
      <w:r>
        <w:rPr>
          <w:rFonts w:ascii="Times New Roman" w:hAnsi="Times New Roman"/>
          <w:sz w:val="28"/>
          <w:szCs w:val="28"/>
        </w:rPr>
        <w:t>二、中原油田基地水源地一、二级保护区仍然采用原有划分结果，对准保护区进行了调整，取消第八管理区井群（原黄甫井群）准保护区；第十一管理区井群</w:t>
      </w:r>
      <w:r>
        <w:rPr>
          <w:rFonts w:hint="eastAsia" w:ascii="Times New Roman" w:hAnsi="Times New Roman"/>
          <w:sz w:val="28"/>
          <w:szCs w:val="28"/>
        </w:rPr>
        <w:t>（</w:t>
      </w:r>
      <w:r>
        <w:rPr>
          <w:rFonts w:ascii="Times New Roman" w:hAnsi="Times New Roman"/>
          <w:sz w:val="28"/>
          <w:szCs w:val="28"/>
        </w:rPr>
        <w:t>盟城水厂井群</w:t>
      </w:r>
      <w:r>
        <w:rPr>
          <w:rFonts w:hint="eastAsia" w:ascii="Times New Roman" w:hAnsi="Times New Roman"/>
          <w:sz w:val="28"/>
          <w:szCs w:val="28"/>
        </w:rPr>
        <w:t>）</w:t>
      </w:r>
      <w:r>
        <w:rPr>
          <w:rFonts w:ascii="Times New Roman" w:hAnsi="Times New Roman"/>
          <w:sz w:val="28"/>
          <w:szCs w:val="28"/>
        </w:rPr>
        <w:t>、第十三管理区井群（钻井二公司水厂井群）和基地中心管理区井群的准保护区由濮阳市全境调整为北以范辉高速为界，南以老马颊河即马颊河与铁路交汇处为界，西以马颊河为界，东以106国道为界。</w:t>
      </w:r>
    </w:p>
    <w:p>
      <w:pPr>
        <w:spacing w:line="520" w:lineRule="exact"/>
        <w:ind w:firstLine="560" w:firstLineChars="200"/>
        <w:rPr>
          <w:rFonts w:ascii="Times New Roman" w:hAnsi="Times New Roman"/>
          <w:sz w:val="28"/>
          <w:szCs w:val="28"/>
        </w:rPr>
      </w:pPr>
      <w:r>
        <w:rPr>
          <w:rFonts w:ascii="Times New Roman" w:hAnsi="Times New Roman"/>
          <w:sz w:val="28"/>
          <w:szCs w:val="28"/>
        </w:rPr>
        <w:t>根据以上文件资料，濮阳市集中饮用水源及其保护区范围情况如下：</w:t>
      </w:r>
    </w:p>
    <w:p>
      <w:pPr>
        <w:pStyle w:val="10"/>
        <w:keepNext/>
        <w:keepLines/>
        <w:spacing w:line="520" w:lineRule="exact"/>
        <w:ind w:firstLine="0" w:firstLineChars="0"/>
        <w:outlineLvl w:val="3"/>
        <w:rPr>
          <w:b/>
          <w:bCs/>
          <w:sz w:val="28"/>
          <w:szCs w:val="28"/>
        </w:rPr>
      </w:pPr>
      <w:bookmarkStart w:id="275" w:name="3.3.1_地表水水源地保护区划分"/>
      <w:bookmarkEnd w:id="275"/>
      <w:r>
        <w:rPr>
          <w:b/>
          <w:bCs/>
          <w:sz w:val="28"/>
          <w:szCs w:val="28"/>
        </w:rPr>
        <w:t>8.2.4.1  地表水水源地保护区划分</w:t>
      </w:r>
    </w:p>
    <w:p>
      <w:pPr>
        <w:spacing w:line="520" w:lineRule="exact"/>
        <w:ind w:firstLine="560" w:firstLineChars="200"/>
        <w:rPr>
          <w:rFonts w:ascii="Times New Roman" w:hAnsi="Times New Roman"/>
          <w:sz w:val="28"/>
          <w:szCs w:val="28"/>
        </w:rPr>
      </w:pPr>
      <w:r>
        <w:rPr>
          <w:rFonts w:ascii="Times New Roman" w:hAnsi="Times New Roman"/>
          <w:sz w:val="28"/>
          <w:szCs w:val="28"/>
        </w:rPr>
        <w:t>（1）中原油田彭楼地表水源地</w:t>
      </w:r>
    </w:p>
    <w:p>
      <w:pPr>
        <w:spacing w:line="520" w:lineRule="exact"/>
        <w:ind w:firstLine="562" w:firstLineChars="200"/>
        <w:rPr>
          <w:rFonts w:ascii="Times New Roman" w:hAnsi="Times New Roman"/>
          <w:b/>
          <w:sz w:val="28"/>
          <w:szCs w:val="28"/>
        </w:rPr>
      </w:pPr>
      <w:r>
        <w:rPr>
          <w:rFonts w:ascii="Times New Roman" w:hAnsi="Times New Roman"/>
          <w:b/>
          <w:sz w:val="28"/>
          <w:szCs w:val="28"/>
        </w:rPr>
        <w:t>一级保护区（面积4.61km</w:t>
      </w:r>
      <w:r>
        <w:rPr>
          <w:rFonts w:ascii="Times New Roman" w:hAnsi="Times New Roman"/>
          <w:b/>
          <w:sz w:val="28"/>
          <w:szCs w:val="28"/>
          <w:vertAlign w:val="superscript"/>
        </w:rPr>
        <w:t>2</w:t>
      </w:r>
      <w:r>
        <w:rPr>
          <w:rFonts w:ascii="Times New Roman" w:hAnsi="Times New Roman"/>
          <w:b/>
          <w:sz w:val="28"/>
          <w:szCs w:val="28"/>
        </w:rPr>
        <w:t>）：</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中原油田彭楼取水口：划定中原油田彭楼取水口上游至范县2#护堤站，取水口下游至13#堤坝的水域河道，以及沿黄河西岸（东岸为山东界）纵深至生产堤外50m的陆域范围为一级保护区。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输水管线：划定“彭楼—中原油田基地水厂”输水管线两边各取30m的范围为一级保护区。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③</w:t>
      </w:r>
      <w:r>
        <w:rPr>
          <w:rFonts w:ascii="Times New Roman" w:hAnsi="Times New Roman"/>
          <w:sz w:val="28"/>
          <w:szCs w:val="28"/>
        </w:rPr>
        <w:t>取水河道明渠部分：划定明渠两岸向外各纵深50m的范围为一级保护区。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④</w:t>
      </w:r>
      <w:r>
        <w:rPr>
          <w:rFonts w:ascii="Times New Roman" w:hAnsi="Times New Roman"/>
          <w:sz w:val="28"/>
          <w:szCs w:val="28"/>
        </w:rPr>
        <w:t>彭楼水厂：划定整个厂区面积及厂界外300m范围为一级保护区。</w:t>
      </w:r>
    </w:p>
    <w:p>
      <w:pPr>
        <w:spacing w:line="520" w:lineRule="exact"/>
        <w:ind w:firstLine="562" w:firstLineChars="200"/>
        <w:rPr>
          <w:rFonts w:ascii="Times New Roman" w:hAnsi="Times New Roman"/>
          <w:b/>
          <w:sz w:val="28"/>
          <w:szCs w:val="28"/>
        </w:rPr>
      </w:pPr>
      <w:r>
        <w:rPr>
          <w:rFonts w:ascii="Times New Roman" w:hAnsi="Times New Roman"/>
          <w:b/>
          <w:sz w:val="28"/>
          <w:szCs w:val="28"/>
        </w:rPr>
        <w:t>二级保护区（面积5.45km</w:t>
      </w:r>
      <w:r>
        <w:rPr>
          <w:rFonts w:ascii="Times New Roman" w:hAnsi="Times New Roman"/>
          <w:b/>
          <w:sz w:val="28"/>
          <w:szCs w:val="28"/>
          <w:vertAlign w:val="superscript"/>
        </w:rPr>
        <w:t>2</w:t>
      </w:r>
      <w:r>
        <w:rPr>
          <w:rFonts w:ascii="Times New Roman" w:hAnsi="Times New Roman"/>
          <w:b/>
          <w:sz w:val="28"/>
          <w:szCs w:val="28"/>
        </w:rPr>
        <w:t>）：</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中原油田彭楼取水口：划定保护区长度从范县2#护堤站向上游延伸至通向武详屯村的小路，下游边界从13#坝向下游延伸至16#坝界；陆域沿岸长度与水域长度相对应，陆域宽度为沿西河岸纵深至黄河防洪大堤。</w:t>
      </w:r>
    </w:p>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彭楼水厂：西边界与北边界沿一级保护区边界向外延伸1000m范围为二级保护区，东南方向以黄河大堤为界。</w:t>
      </w:r>
    </w:p>
    <w:p>
      <w:pPr>
        <w:spacing w:line="520" w:lineRule="exact"/>
        <w:ind w:firstLine="560" w:firstLineChars="200"/>
        <w:rPr>
          <w:rFonts w:ascii="Times New Roman" w:hAnsi="Times New Roman"/>
          <w:sz w:val="28"/>
          <w:szCs w:val="28"/>
        </w:rPr>
      </w:pPr>
      <w:r>
        <w:rPr>
          <w:rFonts w:hint="eastAsia" w:ascii="宋体" w:hAnsi="宋体" w:cs="宋体"/>
          <w:sz w:val="28"/>
          <w:szCs w:val="28"/>
        </w:rPr>
        <w:t>③</w:t>
      </w:r>
      <w:r>
        <w:rPr>
          <w:rFonts w:ascii="Times New Roman" w:hAnsi="Times New Roman"/>
          <w:sz w:val="28"/>
          <w:szCs w:val="28"/>
        </w:rPr>
        <w:t>取水河道明渠部分：从一级保护区向外延伸1000m的范围为二级保护区。</w:t>
      </w:r>
    </w:p>
    <w:p>
      <w:pPr>
        <w:spacing w:line="520" w:lineRule="exact"/>
        <w:ind w:firstLine="551" w:firstLineChars="196"/>
        <w:rPr>
          <w:rFonts w:ascii="Times New Roman" w:hAnsi="Times New Roman"/>
          <w:b/>
          <w:bCs/>
          <w:sz w:val="28"/>
          <w:szCs w:val="28"/>
        </w:rPr>
      </w:pPr>
      <w:r>
        <w:rPr>
          <w:rFonts w:ascii="Times New Roman" w:hAnsi="Times New Roman"/>
          <w:b/>
          <w:bCs/>
          <w:sz w:val="28"/>
          <w:szCs w:val="28"/>
        </w:rPr>
        <w:t>准保护区（面积1.08km</w:t>
      </w:r>
      <w:r>
        <w:rPr>
          <w:rFonts w:ascii="Times New Roman" w:hAnsi="Times New Roman"/>
          <w:b/>
          <w:bCs/>
          <w:sz w:val="28"/>
          <w:szCs w:val="28"/>
          <w:vertAlign w:val="superscript"/>
        </w:rPr>
        <w:t>2</w:t>
      </w:r>
      <w:r>
        <w:rPr>
          <w:rFonts w:ascii="Times New Roman" w:hAnsi="Times New Roman"/>
          <w:b/>
          <w:bCs/>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中原油田彭楼取水口：划定保护区长度从通向武详屯村的小路延伸至防洪大堤通向马口村的路口处，下游边界从16#坝延伸到17#坝。陆域宽度为沿西岸纵深至黄河防洪大堤。</w:t>
      </w:r>
    </w:p>
    <w:p>
      <w:pPr>
        <w:spacing w:line="520" w:lineRule="exact"/>
        <w:ind w:firstLine="560" w:firstLineChars="200"/>
        <w:rPr>
          <w:rFonts w:ascii="Times New Roman" w:hAnsi="Times New Roman"/>
          <w:sz w:val="28"/>
          <w:szCs w:val="28"/>
        </w:rPr>
      </w:pPr>
      <w:r>
        <w:rPr>
          <w:rFonts w:ascii="Times New Roman" w:hAnsi="Times New Roman"/>
          <w:sz w:val="28"/>
          <w:szCs w:val="28"/>
        </w:rPr>
        <w:t>（2）西水坡地表水源地</w:t>
      </w:r>
    </w:p>
    <w:p>
      <w:pPr>
        <w:spacing w:line="520" w:lineRule="exact"/>
        <w:ind w:firstLine="562" w:firstLineChars="200"/>
        <w:rPr>
          <w:rFonts w:ascii="Times New Roman" w:hAnsi="Times New Roman"/>
          <w:b/>
          <w:bCs/>
          <w:sz w:val="28"/>
          <w:szCs w:val="28"/>
        </w:rPr>
      </w:pPr>
      <w:r>
        <w:rPr>
          <w:rFonts w:ascii="Times New Roman" w:hAnsi="Times New Roman"/>
          <w:b/>
          <w:bCs/>
          <w:sz w:val="28"/>
          <w:szCs w:val="28"/>
        </w:rPr>
        <w:t>一级保护区（面积5.82km</w:t>
      </w:r>
      <w:r>
        <w:rPr>
          <w:rFonts w:ascii="Times New Roman" w:hAnsi="Times New Roman"/>
          <w:b/>
          <w:bCs/>
          <w:sz w:val="28"/>
          <w:szCs w:val="28"/>
          <w:vertAlign w:val="superscript"/>
        </w:rPr>
        <w:t>2</w:t>
      </w:r>
      <w:r>
        <w:rPr>
          <w:rFonts w:ascii="Times New Roman" w:hAnsi="Times New Roman"/>
          <w:b/>
          <w:bCs/>
          <w:sz w:val="28"/>
          <w:szCs w:val="28"/>
        </w:rPr>
        <w:t>）：</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渠村黄河取水口：划定取水口上游至3#坝处，取水口下游至10#坝处的水域河道以及沿黄河西岸（东岸为山东界）纵深至生产堤外50m的陆域范围为一级保护区。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渠村沉砂池：划定渠村沉砂池的整个水域及沿环沉砂池道路外延伸300m的范围为一级保护区。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③</w:t>
      </w:r>
      <w:r>
        <w:rPr>
          <w:rFonts w:ascii="Times New Roman" w:hAnsi="Times New Roman"/>
          <w:sz w:val="28"/>
          <w:szCs w:val="28"/>
        </w:rPr>
        <w:t>取水河道明渠部分：渠村黄河取水河道明渠的明渠部分，南岸至08#碑向南50m处，北岸至濮-背13#碑向北50m之内的水、陆域范围为一级保护区。</w:t>
      </w:r>
    </w:p>
    <w:p>
      <w:pPr>
        <w:spacing w:line="520" w:lineRule="exact"/>
        <w:ind w:firstLine="560" w:firstLineChars="200"/>
        <w:rPr>
          <w:rFonts w:ascii="Times New Roman" w:hAnsi="Times New Roman"/>
          <w:sz w:val="28"/>
          <w:szCs w:val="28"/>
        </w:rPr>
      </w:pPr>
      <w:r>
        <w:rPr>
          <w:rFonts w:hint="eastAsia" w:ascii="宋体" w:hAnsi="宋体" w:cs="宋体"/>
          <w:sz w:val="28"/>
          <w:szCs w:val="28"/>
        </w:rPr>
        <w:t>④</w:t>
      </w:r>
      <w:r>
        <w:rPr>
          <w:rFonts w:ascii="Times New Roman" w:hAnsi="Times New Roman"/>
          <w:sz w:val="28"/>
          <w:szCs w:val="28"/>
        </w:rPr>
        <w:t>西水坡调节池：南至西水坡调节池古城墙南约60m，西至濮耐公司西墙北沿线到前南旺-西关公路，北至新民街北约100m到新华街，东至濮上路东约90m的胡同南延线。</w:t>
      </w:r>
    </w:p>
    <w:p>
      <w:pPr>
        <w:spacing w:line="520" w:lineRule="exact"/>
        <w:ind w:firstLine="560" w:firstLineChars="200"/>
        <w:rPr>
          <w:rFonts w:ascii="Times New Roman" w:hAnsi="Times New Roman"/>
          <w:sz w:val="28"/>
          <w:szCs w:val="28"/>
        </w:rPr>
      </w:pPr>
      <w:r>
        <w:rPr>
          <w:rFonts w:hint="eastAsia" w:ascii="宋体" w:hAnsi="宋体" w:cs="宋体"/>
          <w:sz w:val="28"/>
          <w:szCs w:val="28"/>
        </w:rPr>
        <w:t>⑤</w:t>
      </w:r>
      <w:r>
        <w:rPr>
          <w:rFonts w:ascii="Times New Roman" w:hAnsi="Times New Roman"/>
          <w:sz w:val="28"/>
          <w:szCs w:val="28"/>
        </w:rPr>
        <w:t>划定管线两边各取30m为一级保护区。</w:t>
      </w:r>
    </w:p>
    <w:p>
      <w:pPr>
        <w:spacing w:line="520" w:lineRule="exact"/>
        <w:ind w:firstLine="562" w:firstLineChars="200"/>
        <w:rPr>
          <w:rFonts w:ascii="Times New Roman" w:hAnsi="Times New Roman"/>
          <w:b/>
          <w:bCs/>
          <w:sz w:val="28"/>
          <w:szCs w:val="28"/>
        </w:rPr>
      </w:pPr>
      <w:r>
        <w:rPr>
          <w:rFonts w:ascii="Times New Roman" w:hAnsi="Times New Roman"/>
          <w:b/>
          <w:bCs/>
          <w:sz w:val="28"/>
          <w:szCs w:val="28"/>
        </w:rPr>
        <w:t>二级保护区（面积约15.44km</w:t>
      </w:r>
      <w:r>
        <w:rPr>
          <w:rFonts w:ascii="Times New Roman" w:hAnsi="Times New Roman"/>
          <w:b/>
          <w:bCs/>
          <w:sz w:val="28"/>
          <w:szCs w:val="28"/>
          <w:vertAlign w:val="superscript"/>
        </w:rPr>
        <w:t>2</w:t>
      </w:r>
      <w:r>
        <w:rPr>
          <w:rFonts w:ascii="Times New Roman" w:hAnsi="Times New Roman"/>
          <w:b/>
          <w:bCs/>
          <w:sz w:val="28"/>
          <w:szCs w:val="28"/>
        </w:rPr>
        <w:t>）：</w:t>
      </w:r>
    </w:p>
    <w:p>
      <w:pPr>
        <w:spacing w:line="520" w:lineRule="exact"/>
        <w:ind w:firstLine="560" w:firstLineChars="200"/>
        <w:rPr>
          <w:rFonts w:ascii="Times New Roman" w:hAnsi="Times New Roman"/>
          <w:sz w:val="28"/>
          <w:szCs w:val="28"/>
        </w:rPr>
      </w:pPr>
      <w:r>
        <w:rPr>
          <w:rFonts w:hint="eastAsia" w:ascii="宋体" w:hAnsi="宋体" w:cs="宋体"/>
          <w:sz w:val="28"/>
          <w:szCs w:val="28"/>
        </w:rPr>
        <w:t>①</w:t>
      </w:r>
      <w:r>
        <w:rPr>
          <w:rFonts w:ascii="Times New Roman" w:hAnsi="Times New Roman"/>
          <w:sz w:val="28"/>
          <w:szCs w:val="28"/>
        </w:rPr>
        <w:t>渠村黄河取水口：划定保护区长度从3#坝处向上游延伸2000m（43#公路碑处），下游边界从10#坝处向下游延伸至13#坝界。陆域沿岸长度与水域长度相对应，陆域宽度为沿河岸纵深至黄河防洪大堤（约43#公路碑处）。</w:t>
      </w:r>
    </w:p>
    <w:p>
      <w:pPr>
        <w:spacing w:line="520" w:lineRule="exact"/>
        <w:ind w:firstLine="560" w:firstLineChars="200"/>
        <w:rPr>
          <w:rFonts w:ascii="Times New Roman" w:hAnsi="Times New Roman"/>
          <w:sz w:val="28"/>
          <w:szCs w:val="28"/>
        </w:rPr>
      </w:pPr>
      <w:r>
        <w:rPr>
          <w:rFonts w:hint="eastAsia" w:ascii="宋体" w:hAnsi="宋体" w:cs="宋体"/>
          <w:sz w:val="28"/>
          <w:szCs w:val="28"/>
        </w:rPr>
        <w:t>②</w:t>
      </w:r>
      <w:r>
        <w:rPr>
          <w:rFonts w:ascii="Times New Roman" w:hAnsi="Times New Roman"/>
          <w:sz w:val="28"/>
          <w:szCs w:val="28"/>
        </w:rPr>
        <w:t>西水坡调节池：南至古城墙南1000m处的乡图路（东西延伸），西至废弃窑厂路（南北延伸），北至红旗路（东西延伸），东至御景街（南北延伸）。</w:t>
      </w:r>
    </w:p>
    <w:p>
      <w:pPr>
        <w:spacing w:line="520" w:lineRule="exact"/>
        <w:ind w:firstLine="560" w:firstLineChars="200"/>
        <w:rPr>
          <w:rFonts w:ascii="Times New Roman" w:hAnsi="Times New Roman"/>
          <w:sz w:val="28"/>
          <w:szCs w:val="28"/>
        </w:rPr>
      </w:pPr>
      <w:r>
        <w:rPr>
          <w:rFonts w:hint="eastAsia" w:ascii="宋体" w:hAnsi="宋体" w:cs="宋体"/>
          <w:sz w:val="28"/>
          <w:szCs w:val="28"/>
        </w:rPr>
        <w:t>③</w:t>
      </w:r>
      <w:r>
        <w:rPr>
          <w:rFonts w:ascii="Times New Roman" w:hAnsi="Times New Roman"/>
          <w:sz w:val="28"/>
          <w:szCs w:val="28"/>
        </w:rPr>
        <w:t>渠村沉沙池：二级保护区范围是一级保护区以外水平距离1000m区域，东南方向以黄河大堤为界。</w:t>
      </w:r>
    </w:p>
    <w:p>
      <w:pPr>
        <w:spacing w:line="520" w:lineRule="exact"/>
        <w:ind w:firstLine="560" w:firstLineChars="200"/>
        <w:rPr>
          <w:rFonts w:ascii="Times New Roman" w:hAnsi="Times New Roman"/>
          <w:sz w:val="28"/>
          <w:szCs w:val="28"/>
        </w:rPr>
      </w:pPr>
      <w:r>
        <w:rPr>
          <w:rFonts w:hint="eastAsia" w:ascii="宋体" w:hAnsi="宋体" w:cs="宋体"/>
          <w:sz w:val="28"/>
          <w:szCs w:val="28"/>
        </w:rPr>
        <w:t>④</w:t>
      </w:r>
      <w:r>
        <w:rPr>
          <w:rFonts w:ascii="Times New Roman" w:hAnsi="Times New Roman"/>
          <w:sz w:val="28"/>
          <w:szCs w:val="28"/>
        </w:rPr>
        <w:t>取水河道明渠部分：从一级保护区边界向外延伸1000m范围为二级保护区。</w:t>
      </w:r>
    </w:p>
    <w:p>
      <w:pPr>
        <w:spacing w:line="520" w:lineRule="exact"/>
        <w:ind w:firstLine="562" w:firstLineChars="200"/>
        <w:rPr>
          <w:rFonts w:ascii="Times New Roman" w:hAnsi="Times New Roman"/>
          <w:b/>
          <w:bCs/>
          <w:sz w:val="28"/>
          <w:szCs w:val="28"/>
        </w:rPr>
      </w:pPr>
      <w:r>
        <w:rPr>
          <w:rFonts w:ascii="Times New Roman" w:hAnsi="Times New Roman"/>
          <w:b/>
          <w:bCs/>
          <w:sz w:val="28"/>
          <w:szCs w:val="28"/>
        </w:rPr>
        <w:t>准保护区（面积约2.84km</w:t>
      </w:r>
      <w:r>
        <w:rPr>
          <w:rFonts w:ascii="Times New Roman" w:hAnsi="Times New Roman"/>
          <w:b/>
          <w:bCs/>
          <w:sz w:val="28"/>
          <w:szCs w:val="28"/>
          <w:vertAlign w:val="superscript"/>
        </w:rPr>
        <w:t>2</w:t>
      </w:r>
      <w:r>
        <w:rPr>
          <w:rFonts w:ascii="Times New Roman" w:hAnsi="Times New Roman"/>
          <w:b/>
          <w:bCs/>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渠村黄河取水口：划定保护区长度从二级保护区边界向上游延伸1000m，下游边界13#坝向下游延伸1000m。陆域宽度为沿西岸纵深至黄河防洪大堤（濮阳-新乡界碑处）。</w:t>
      </w:r>
    </w:p>
    <w:p>
      <w:pPr>
        <w:spacing w:line="520" w:lineRule="exact"/>
        <w:ind w:firstLine="560" w:firstLineChars="200"/>
        <w:rPr>
          <w:rFonts w:ascii="Times New Roman" w:hAnsi="Times New Roman"/>
          <w:sz w:val="28"/>
          <w:szCs w:val="28"/>
        </w:rPr>
      </w:pPr>
      <w:r>
        <w:rPr>
          <w:rFonts w:ascii="Times New Roman" w:hAnsi="Times New Roman"/>
          <w:sz w:val="28"/>
          <w:szCs w:val="28"/>
        </w:rPr>
        <w:t>（3）南水北调调水池水源保护区（尚未建设）</w:t>
      </w:r>
    </w:p>
    <w:p>
      <w:pPr>
        <w:spacing w:line="520" w:lineRule="exact"/>
        <w:ind w:firstLine="560" w:firstLineChars="200"/>
        <w:rPr>
          <w:rFonts w:ascii="Times New Roman" w:hAnsi="Times New Roman"/>
          <w:sz w:val="28"/>
          <w:szCs w:val="28"/>
        </w:rPr>
      </w:pPr>
      <w:r>
        <w:rPr>
          <w:rFonts w:ascii="Times New Roman" w:hAnsi="Times New Roman"/>
          <w:sz w:val="28"/>
          <w:szCs w:val="28"/>
        </w:rPr>
        <w:t>一级保护区：南水北调调水池周围300米范围内。</w:t>
      </w:r>
    </w:p>
    <w:p>
      <w:pPr>
        <w:spacing w:line="520" w:lineRule="exact"/>
        <w:ind w:firstLine="560" w:firstLineChars="200"/>
        <w:rPr>
          <w:rFonts w:ascii="Times New Roman" w:hAnsi="Times New Roman"/>
          <w:sz w:val="28"/>
          <w:szCs w:val="28"/>
        </w:rPr>
      </w:pPr>
      <w:r>
        <w:rPr>
          <w:rFonts w:ascii="Times New Roman" w:hAnsi="Times New Roman"/>
          <w:sz w:val="28"/>
          <w:szCs w:val="28"/>
        </w:rPr>
        <w:t>二级保护区：在一级保护区边界以外，调水池周围1000米范围内。</w:t>
      </w:r>
    </w:p>
    <w:p>
      <w:pPr>
        <w:pStyle w:val="10"/>
        <w:keepNext/>
        <w:keepLines/>
        <w:spacing w:line="520" w:lineRule="exact"/>
        <w:ind w:firstLine="0" w:firstLineChars="0"/>
        <w:outlineLvl w:val="3"/>
        <w:rPr>
          <w:b/>
          <w:bCs/>
          <w:sz w:val="28"/>
          <w:szCs w:val="28"/>
        </w:rPr>
      </w:pPr>
      <w:bookmarkStart w:id="276" w:name="3.3.2_地下水水源地保护区划分及保护要求"/>
      <w:bookmarkEnd w:id="276"/>
      <w:r>
        <w:rPr>
          <w:b/>
          <w:bCs/>
          <w:sz w:val="28"/>
          <w:szCs w:val="28"/>
        </w:rPr>
        <w:t>8.2.4.2  地下水水源地保护区划分及保护要求</w:t>
      </w:r>
    </w:p>
    <w:p>
      <w:pPr>
        <w:spacing w:line="520" w:lineRule="exact"/>
        <w:ind w:firstLine="560" w:firstLineChars="200"/>
        <w:rPr>
          <w:rFonts w:ascii="Times New Roman" w:hAnsi="Times New Roman"/>
          <w:sz w:val="28"/>
          <w:szCs w:val="28"/>
        </w:rPr>
      </w:pPr>
      <w:r>
        <w:rPr>
          <w:rFonts w:ascii="Times New Roman" w:hAnsi="Times New Roman"/>
          <w:sz w:val="28"/>
          <w:szCs w:val="28"/>
        </w:rPr>
        <w:t>（1）李子园井群水源地（共23眼井）</w:t>
      </w:r>
    </w:p>
    <w:p>
      <w:pPr>
        <w:spacing w:line="520" w:lineRule="exact"/>
        <w:ind w:firstLine="560" w:firstLineChars="200"/>
        <w:rPr>
          <w:rFonts w:ascii="Times New Roman" w:hAnsi="Times New Roman"/>
          <w:sz w:val="28"/>
          <w:szCs w:val="28"/>
        </w:rPr>
      </w:pPr>
      <w:r>
        <w:rPr>
          <w:rFonts w:ascii="Times New Roman" w:hAnsi="Times New Roman"/>
          <w:sz w:val="28"/>
          <w:szCs w:val="28"/>
        </w:rPr>
        <w:t>一级保护区：以水井口为中心向外延伸100m的区域为一级保护区，总面积约0.9km</w:t>
      </w:r>
      <w:r>
        <w:rPr>
          <w:rFonts w:ascii="Times New Roman" w:hAnsi="Times New Roman"/>
          <w:sz w:val="28"/>
          <w:szCs w:val="28"/>
          <w:vertAlign w:val="superscript"/>
        </w:rPr>
        <w:t>2</w:t>
      </w:r>
      <w:r>
        <w:rPr>
          <w:rFonts w:ascii="Times New Roman" w:hAnsi="Times New Roman"/>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二级保护区：以一级保护区向外延伸400m的区域为二级保护区，面积约19.39km</w:t>
      </w:r>
      <w:r>
        <w:rPr>
          <w:rFonts w:ascii="Times New Roman" w:hAnsi="Times New Roman"/>
          <w:sz w:val="28"/>
          <w:szCs w:val="28"/>
          <w:vertAlign w:val="superscript"/>
        </w:rPr>
        <w:t>2</w:t>
      </w:r>
      <w:r>
        <w:rPr>
          <w:rFonts w:ascii="Times New Roman" w:hAnsi="Times New Roman"/>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准保护区：除一级保护区、二级保护区外，西八里庄、王寨、马寨、西高城以南，毛寨、小山以北，东高城、老王庄、谷马羡、主布村、吕家海以西，西子岸、东柳村、后栾村以东的区域。</w:t>
      </w:r>
    </w:p>
    <w:p>
      <w:pPr>
        <w:spacing w:line="520" w:lineRule="exact"/>
        <w:ind w:firstLine="560" w:firstLineChars="200"/>
        <w:rPr>
          <w:rFonts w:ascii="Times New Roman" w:hAnsi="Times New Roman"/>
          <w:sz w:val="28"/>
          <w:szCs w:val="28"/>
        </w:rPr>
      </w:pPr>
      <w:r>
        <w:rPr>
          <w:rFonts w:ascii="Times New Roman" w:hAnsi="Times New Roman"/>
          <w:sz w:val="28"/>
          <w:szCs w:val="28"/>
        </w:rPr>
        <w:t>（2）中原油田基地地下水饮用水源保护区（共84眼井）</w:t>
      </w:r>
    </w:p>
    <w:p>
      <w:pPr>
        <w:spacing w:line="520" w:lineRule="exact"/>
        <w:ind w:firstLine="560" w:firstLineChars="200"/>
        <w:rPr>
          <w:rFonts w:ascii="Times New Roman" w:hAnsi="Times New Roman"/>
          <w:sz w:val="28"/>
          <w:szCs w:val="28"/>
        </w:rPr>
      </w:pPr>
      <w:r>
        <w:rPr>
          <w:rFonts w:ascii="Times New Roman" w:hAnsi="Times New Roman"/>
          <w:sz w:val="28"/>
          <w:szCs w:val="28"/>
        </w:rPr>
        <w:t>中原油田基地水源地共有四个管理区井群，分别为第八管理区井群（皇甫水厂井群）、第十一管理区井群（盟城水厂井群）、第十三管理区井群（钻井二公司水厂井群）和基地中心管理区井群。</w:t>
      </w:r>
    </w:p>
    <w:p>
      <w:pPr>
        <w:spacing w:line="520" w:lineRule="exact"/>
        <w:ind w:firstLine="560" w:firstLineChars="200"/>
        <w:rPr>
          <w:rFonts w:ascii="Times New Roman" w:hAnsi="Times New Roman"/>
          <w:sz w:val="28"/>
          <w:szCs w:val="28"/>
        </w:rPr>
      </w:pPr>
      <w:r>
        <w:rPr>
          <w:rFonts w:ascii="Times New Roman" w:hAnsi="Times New Roman"/>
          <w:sz w:val="28"/>
          <w:szCs w:val="28"/>
        </w:rPr>
        <w:t>一级保护区：中原油田基地中心管理区井群、皇甫水厂井群、盟城水厂井群、钻井二公司水厂井群（第十三管理区）；四个水厂的大部分井群分布在城市建筑中。以取水口为中心向外延伸100m的区域为一级保护区，总面积约3.24km</w:t>
      </w:r>
      <w:r>
        <w:rPr>
          <w:rFonts w:ascii="Times New Roman" w:hAnsi="Times New Roman"/>
          <w:sz w:val="28"/>
          <w:szCs w:val="28"/>
          <w:vertAlign w:val="superscript"/>
        </w:rPr>
        <w:t>2</w:t>
      </w:r>
      <w:r>
        <w:rPr>
          <w:rFonts w:ascii="Times New Roman" w:hAnsi="Times New Roman"/>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二级保护区：基地井群以马颊河——五一路——长庆路——黄河路——京开路——濮水河——供应南路——老马颊河——江汉路东——老东环路——苏北路——老马颊河围成的区域；皇甫井群南北从濮鹤高速公路，东西从一级保护区向外延伸400m。总保护面积约20.17km</w:t>
      </w:r>
      <w:r>
        <w:rPr>
          <w:rFonts w:ascii="Times New Roman" w:hAnsi="Times New Roman"/>
          <w:sz w:val="28"/>
          <w:szCs w:val="28"/>
          <w:vertAlign w:val="superscript"/>
        </w:rPr>
        <w:t>2</w:t>
      </w:r>
      <w:r>
        <w:rPr>
          <w:rFonts w:ascii="Times New Roman" w:hAnsi="Times New Roman"/>
          <w:sz w:val="28"/>
          <w:szCs w:val="28"/>
        </w:rPr>
        <w:t>。</w:t>
      </w:r>
    </w:p>
    <w:p>
      <w:pPr>
        <w:spacing w:line="520" w:lineRule="exact"/>
        <w:ind w:firstLine="560" w:firstLineChars="200"/>
        <w:rPr>
          <w:rFonts w:ascii="Times New Roman" w:hAnsi="Times New Roman"/>
          <w:sz w:val="28"/>
          <w:szCs w:val="28"/>
        </w:rPr>
      </w:pPr>
      <w:r>
        <w:rPr>
          <w:rFonts w:ascii="Times New Roman" w:hAnsi="Times New Roman"/>
          <w:sz w:val="28"/>
          <w:szCs w:val="28"/>
        </w:rPr>
        <w:t>准保护区：皇甫水厂井群不设准保区；基地中心管理区井群、盟城水厂井群及钻井二公司井群准保护区范围为：北至范辉高速公路南侧，南至晋豫鲁铁路北侧，西至京开道东侧，东到106国道西侧，除一、二级保护区外的区域。</w:t>
      </w:r>
    </w:p>
    <w:p>
      <w:pPr>
        <w:pStyle w:val="10"/>
        <w:keepNext/>
        <w:keepLines/>
        <w:spacing w:line="520" w:lineRule="exact"/>
        <w:ind w:firstLine="0" w:firstLineChars="0"/>
        <w:outlineLvl w:val="3"/>
        <w:rPr>
          <w:sz w:val="28"/>
          <w:szCs w:val="28"/>
        </w:rPr>
      </w:pPr>
      <w:bookmarkStart w:id="277" w:name="3.3.2_乡镇集中式饮用水源保护区规划"/>
      <w:bookmarkEnd w:id="277"/>
      <w:r>
        <w:rPr>
          <w:b/>
          <w:bCs/>
          <w:sz w:val="28"/>
          <w:szCs w:val="28"/>
        </w:rPr>
        <w:t>8.2.4.3  乡镇集中式饮用水源保护区规划</w:t>
      </w:r>
    </w:p>
    <w:p>
      <w:pPr>
        <w:spacing w:line="520" w:lineRule="exact"/>
        <w:ind w:firstLine="560" w:firstLineChars="200"/>
        <w:rPr>
          <w:rFonts w:ascii="Times New Roman" w:hAnsi="Times New Roman"/>
          <w:sz w:val="28"/>
          <w:szCs w:val="28"/>
        </w:rPr>
      </w:pPr>
      <w:r>
        <w:rPr>
          <w:rFonts w:ascii="Times New Roman" w:hAnsi="Times New Roman"/>
          <w:sz w:val="28"/>
          <w:szCs w:val="28"/>
        </w:rPr>
        <w:t>根据河南省人民政府办公厅《关于印发河南省乡镇集中式饮用水水源保护区划的通知》（豫政办 〔2016〕23号），濮阳经开区区域内</w:t>
      </w:r>
      <w:r>
        <w:rPr>
          <w:rFonts w:ascii="Times New Roman" w:hAnsi="Times New Roman"/>
          <w:sz w:val="28"/>
          <w:szCs w:val="28"/>
          <w:shd w:val="clear" w:color="auto" w:fill="FFFFFF"/>
        </w:rPr>
        <w:t>划定的乡镇级集中式饮用水水源保护区</w:t>
      </w:r>
      <w:r>
        <w:rPr>
          <w:rFonts w:ascii="Times New Roman" w:hAnsi="Times New Roman"/>
          <w:sz w:val="28"/>
          <w:szCs w:val="28"/>
        </w:rPr>
        <w:t>保护范围如下：</w:t>
      </w:r>
    </w:p>
    <w:p>
      <w:pPr>
        <w:spacing w:line="520" w:lineRule="exact"/>
        <w:ind w:firstLine="560" w:firstLineChars="200"/>
        <w:rPr>
          <w:rFonts w:ascii="Times New Roman" w:hAnsi="Times New Roman"/>
          <w:sz w:val="28"/>
          <w:szCs w:val="28"/>
        </w:rPr>
      </w:pPr>
      <w:r>
        <w:rPr>
          <w:rFonts w:ascii="Times New Roman" w:hAnsi="Times New Roman"/>
          <w:sz w:val="28"/>
          <w:szCs w:val="28"/>
        </w:rPr>
        <w:t>（1）濮阳市经开区新习乡水厂地下水井(共1眼井)</w:t>
      </w:r>
    </w:p>
    <w:p>
      <w:pPr>
        <w:spacing w:line="520" w:lineRule="exact"/>
        <w:ind w:firstLine="560" w:firstLineChars="200"/>
        <w:rPr>
          <w:rFonts w:ascii="Times New Roman" w:hAnsi="Times New Roman"/>
          <w:sz w:val="28"/>
          <w:szCs w:val="28"/>
        </w:rPr>
      </w:pPr>
      <w:r>
        <w:rPr>
          <w:rFonts w:ascii="Times New Roman" w:hAnsi="Times New Roman"/>
          <w:sz w:val="28"/>
          <w:szCs w:val="28"/>
        </w:rPr>
        <w:t>一级保护区范围:水厂厂区及外围东30米、西15米、南15米、北30米的区域。</w:t>
      </w:r>
    </w:p>
    <w:p>
      <w:pPr>
        <w:spacing w:line="520" w:lineRule="exact"/>
        <w:ind w:firstLine="560" w:firstLineChars="200"/>
        <w:rPr>
          <w:rFonts w:ascii="Times New Roman" w:hAnsi="Times New Roman"/>
          <w:sz w:val="28"/>
          <w:szCs w:val="28"/>
        </w:rPr>
      </w:pPr>
      <w:r>
        <w:rPr>
          <w:rFonts w:ascii="Times New Roman" w:hAnsi="Times New Roman"/>
          <w:sz w:val="28"/>
          <w:szCs w:val="28"/>
        </w:rPr>
        <w:t>（2）濮阳市经开区胡村乡水厂地下水井(共1眼井)</w:t>
      </w:r>
    </w:p>
    <w:p>
      <w:pPr>
        <w:spacing w:line="520" w:lineRule="exact"/>
        <w:ind w:firstLine="560" w:firstLineChars="200"/>
        <w:rPr>
          <w:rFonts w:ascii="Times New Roman" w:hAnsi="Times New Roman"/>
          <w:sz w:val="28"/>
          <w:szCs w:val="28"/>
        </w:rPr>
      </w:pPr>
      <w:r>
        <w:rPr>
          <w:rFonts w:ascii="Times New Roman" w:hAnsi="Times New Roman"/>
          <w:sz w:val="28"/>
          <w:szCs w:val="28"/>
        </w:rPr>
        <w:t>一级保护区范围</w:t>
      </w:r>
      <w:r>
        <w:rPr>
          <w:rFonts w:hint="eastAsia" w:ascii="Times New Roman" w:hAnsi="Times New Roman"/>
          <w:sz w:val="28"/>
          <w:szCs w:val="28"/>
        </w:rPr>
        <w:t>：</w:t>
      </w:r>
      <w:r>
        <w:rPr>
          <w:rFonts w:ascii="Times New Roman" w:hAnsi="Times New Roman"/>
          <w:sz w:val="28"/>
          <w:szCs w:val="28"/>
        </w:rPr>
        <w:t>水厂厂区及外围西、南、北各20米的区域。</w:t>
      </w:r>
    </w:p>
    <w:p>
      <w:pPr>
        <w:spacing w:line="520" w:lineRule="exact"/>
        <w:ind w:firstLine="560" w:firstLineChars="200"/>
        <w:rPr>
          <w:rFonts w:ascii="Times New Roman" w:hAnsi="Times New Roman"/>
          <w:sz w:val="28"/>
          <w:szCs w:val="28"/>
        </w:rPr>
      </w:pPr>
      <w:r>
        <w:rPr>
          <w:rFonts w:ascii="Times New Roman" w:hAnsi="Times New Roman"/>
          <w:sz w:val="28"/>
          <w:szCs w:val="28"/>
        </w:rPr>
        <w:t>（3）濮阳市经开区王助镇水厂地下水井(共1眼井)</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一级保护区范围</w:t>
      </w:r>
      <w:r>
        <w:rPr>
          <w:rFonts w:hint="eastAsia" w:ascii="Times New Roman" w:hAnsi="Times New Roman"/>
          <w:sz w:val="28"/>
          <w:szCs w:val="28"/>
        </w:rPr>
        <w:t>：</w:t>
      </w:r>
      <w:r>
        <w:rPr>
          <w:rFonts w:ascii="Times New Roman" w:hAnsi="Times New Roman"/>
          <w:sz w:val="28"/>
          <w:szCs w:val="28"/>
        </w:rPr>
        <w:t>水厂厂区及外围东40米、西35米、南25米、北40米的区域。</w:t>
      </w:r>
    </w:p>
    <w:p>
      <w:pPr>
        <w:pStyle w:val="10"/>
        <w:keepNext/>
        <w:keepLines/>
        <w:spacing w:line="520" w:lineRule="exact"/>
        <w:ind w:firstLine="0" w:firstLineChars="0"/>
        <w:outlineLvl w:val="3"/>
        <w:rPr>
          <w:rFonts w:hint="eastAsia"/>
          <w:b/>
          <w:bCs/>
          <w:sz w:val="28"/>
          <w:szCs w:val="28"/>
        </w:rPr>
      </w:pPr>
      <w:r>
        <w:rPr>
          <w:b/>
          <w:bCs/>
          <w:sz w:val="28"/>
          <w:szCs w:val="28"/>
        </w:rPr>
        <w:t>8.2.4.</w:t>
      </w:r>
      <w:r>
        <w:rPr>
          <w:rFonts w:hint="eastAsia"/>
          <w:b/>
          <w:bCs/>
          <w:sz w:val="28"/>
          <w:szCs w:val="28"/>
        </w:rPr>
        <w:t>4</w:t>
      </w:r>
      <w:r>
        <w:rPr>
          <w:b/>
          <w:bCs/>
          <w:sz w:val="28"/>
          <w:szCs w:val="28"/>
        </w:rPr>
        <w:t xml:space="preserve">  </w:t>
      </w:r>
      <w:r>
        <w:rPr>
          <w:rFonts w:hint="eastAsia"/>
          <w:b/>
          <w:bCs/>
          <w:sz w:val="28"/>
          <w:szCs w:val="28"/>
        </w:rPr>
        <w:t>项目与濮阳市饮用水源地规划相符性分析</w:t>
      </w:r>
    </w:p>
    <w:p>
      <w:pPr>
        <w:spacing w:line="520" w:lineRule="exact"/>
        <w:ind w:firstLine="560" w:firstLineChars="200"/>
        <w:rPr>
          <w:rFonts w:hint="eastAsia" w:ascii="Times New Roman" w:hAnsi="Times New Roman"/>
          <w:sz w:val="28"/>
          <w:szCs w:val="28"/>
        </w:rPr>
      </w:pPr>
      <w:r>
        <w:rPr>
          <w:rFonts w:ascii="Times New Roman" w:hAnsi="Times New Roman"/>
          <w:sz w:val="28"/>
          <w:szCs w:val="28"/>
        </w:rPr>
        <w:t>本项目厂区与濮阳市集中饮用水源地的位置关系</w:t>
      </w:r>
      <w:r>
        <w:rPr>
          <w:rFonts w:hint="eastAsia" w:ascii="Times New Roman" w:hAnsi="Times New Roman"/>
          <w:sz w:val="28"/>
          <w:szCs w:val="28"/>
        </w:rPr>
        <w:t>见表</w:t>
      </w:r>
      <w:r>
        <w:rPr>
          <w:rFonts w:ascii="Times New Roman" w:hAnsi="Times New Roman"/>
          <w:sz w:val="28"/>
          <w:szCs w:val="28"/>
        </w:rPr>
        <w:t>8</w:t>
      </w:r>
      <w:r>
        <w:rPr>
          <w:rFonts w:hint="eastAsia" w:ascii="Times New Roman" w:hAnsi="Times New Roman"/>
          <w:sz w:val="28"/>
          <w:szCs w:val="28"/>
        </w:rPr>
        <w:t>.2-2。</w:t>
      </w:r>
    </w:p>
    <w:p>
      <w:pPr>
        <w:pStyle w:val="32"/>
        <w:rPr>
          <w:rFonts w:hint="eastAsia"/>
        </w:rPr>
      </w:pPr>
      <w:r>
        <w:t>表8.</w:t>
      </w:r>
      <w:r>
        <w:rPr>
          <w:rFonts w:hint="eastAsia"/>
        </w:rPr>
        <w:t>2</w:t>
      </w:r>
      <w:r>
        <w:t>-</w:t>
      </w:r>
      <w:r>
        <w:rPr>
          <w:rFonts w:hint="eastAsia"/>
        </w:rPr>
        <w:t>2</w:t>
      </w:r>
      <w:r>
        <w:t xml:space="preserve">          本项目与</w:t>
      </w:r>
      <w:r>
        <w:rPr>
          <w:rFonts w:hint="eastAsia"/>
        </w:rPr>
        <w:t>濮阳市饮用水源地规划</w:t>
      </w:r>
      <w:r>
        <w:t>相符性分析</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682"/>
        <w:gridCol w:w="3759"/>
        <w:gridCol w:w="1091"/>
        <w:gridCol w:w="267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shd w:val="clear" w:color="auto" w:fill="auto"/>
            <w:noWrap w:val="0"/>
            <w:vAlign w:val="center"/>
          </w:tcPr>
          <w:p>
            <w:pPr>
              <w:jc w:val="center"/>
              <w:rPr>
                <w:rFonts w:ascii="Times New Roman" w:hAnsi="Times New Roman"/>
                <w:b/>
                <w:szCs w:val="21"/>
              </w:rPr>
            </w:pPr>
            <w:r>
              <w:rPr>
                <w:rFonts w:ascii="Times New Roman" w:hAnsi="Times New Roman"/>
                <w:b/>
                <w:szCs w:val="21"/>
              </w:rPr>
              <w:t>类别</w:t>
            </w:r>
          </w:p>
        </w:tc>
        <w:tc>
          <w:tcPr>
            <w:tcW w:w="708" w:type="dxa"/>
            <w:shd w:val="clear" w:color="auto" w:fill="auto"/>
            <w:noWrap w:val="0"/>
            <w:tcMar>
              <w:left w:w="28" w:type="dxa"/>
              <w:right w:w="28" w:type="dxa"/>
            </w:tcMar>
            <w:vAlign w:val="center"/>
          </w:tcPr>
          <w:p>
            <w:pPr>
              <w:jc w:val="center"/>
              <w:rPr>
                <w:rFonts w:ascii="Times New Roman" w:hAnsi="Times New Roman"/>
                <w:b/>
                <w:szCs w:val="21"/>
              </w:rPr>
            </w:pPr>
            <w:r>
              <w:rPr>
                <w:rFonts w:ascii="Times New Roman" w:hAnsi="Times New Roman"/>
                <w:b/>
                <w:szCs w:val="21"/>
              </w:rPr>
              <w:t>序号</w:t>
            </w:r>
          </w:p>
        </w:tc>
        <w:tc>
          <w:tcPr>
            <w:tcW w:w="3969" w:type="dxa"/>
            <w:shd w:val="clear" w:color="auto" w:fill="auto"/>
            <w:noWrap w:val="0"/>
            <w:tcMar>
              <w:left w:w="28" w:type="dxa"/>
              <w:right w:w="28" w:type="dxa"/>
            </w:tcMar>
            <w:vAlign w:val="center"/>
          </w:tcPr>
          <w:p>
            <w:pPr>
              <w:jc w:val="center"/>
              <w:rPr>
                <w:rFonts w:ascii="Times New Roman" w:hAnsi="Times New Roman"/>
                <w:b/>
                <w:szCs w:val="21"/>
              </w:rPr>
            </w:pPr>
            <w:r>
              <w:rPr>
                <w:rFonts w:ascii="Times New Roman" w:hAnsi="Times New Roman"/>
                <w:b/>
                <w:szCs w:val="21"/>
              </w:rPr>
              <w:t>集中饮用水源地</w:t>
            </w:r>
          </w:p>
        </w:tc>
        <w:tc>
          <w:tcPr>
            <w:tcW w:w="1134" w:type="dxa"/>
            <w:shd w:val="clear" w:color="auto" w:fill="auto"/>
            <w:noWrap w:val="0"/>
            <w:tcMar>
              <w:left w:w="28" w:type="dxa"/>
              <w:right w:w="28" w:type="dxa"/>
            </w:tcMar>
            <w:vAlign w:val="center"/>
          </w:tcPr>
          <w:p>
            <w:pPr>
              <w:jc w:val="center"/>
              <w:rPr>
                <w:rFonts w:ascii="Times New Roman" w:hAnsi="Times New Roman"/>
                <w:b/>
                <w:szCs w:val="21"/>
              </w:rPr>
            </w:pPr>
            <w:r>
              <w:rPr>
                <w:rFonts w:ascii="Times New Roman" w:hAnsi="Times New Roman"/>
                <w:b/>
                <w:szCs w:val="21"/>
              </w:rPr>
              <w:t>方位</w:t>
            </w:r>
          </w:p>
        </w:tc>
        <w:tc>
          <w:tcPr>
            <w:tcW w:w="2812" w:type="dxa"/>
            <w:shd w:val="clear" w:color="auto" w:fill="auto"/>
            <w:noWrap w:val="0"/>
            <w:tcMar>
              <w:left w:w="28" w:type="dxa"/>
              <w:right w:w="28" w:type="dxa"/>
            </w:tcMar>
            <w:vAlign w:val="center"/>
          </w:tcPr>
          <w:p>
            <w:pPr>
              <w:jc w:val="center"/>
              <w:rPr>
                <w:rFonts w:ascii="Times New Roman" w:hAnsi="Times New Roman"/>
                <w:b/>
                <w:szCs w:val="21"/>
              </w:rPr>
            </w:pPr>
            <w:r>
              <w:rPr>
                <w:rFonts w:ascii="Times New Roman" w:hAnsi="Times New Roman"/>
                <w:b/>
                <w:szCs w:val="21"/>
              </w:rPr>
              <w:t>最近距离</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shd w:val="clear" w:color="auto" w:fill="auto"/>
            <w:noWrap w:val="0"/>
            <w:vAlign w:val="center"/>
          </w:tcPr>
          <w:p>
            <w:pPr>
              <w:jc w:val="center"/>
              <w:rPr>
                <w:rFonts w:ascii="Times New Roman" w:hAnsi="Times New Roman"/>
                <w:szCs w:val="21"/>
              </w:rPr>
            </w:pPr>
            <w:r>
              <w:rPr>
                <w:rFonts w:ascii="Times New Roman" w:hAnsi="Times New Roman"/>
                <w:szCs w:val="21"/>
              </w:rPr>
              <w:t>地表水源</w:t>
            </w: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1</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中原油田彭楼地表水饮用水源保护区</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E</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距二级保护区</w:t>
            </w:r>
            <w:r>
              <w:rPr>
                <w:rFonts w:hint="eastAsia" w:ascii="Times New Roman" w:hAnsi="Times New Roman"/>
                <w:szCs w:val="21"/>
              </w:rPr>
              <w:t>约</w:t>
            </w:r>
            <w:r>
              <w:rPr>
                <w:rFonts w:ascii="Times New Roman" w:hAnsi="Times New Roman"/>
                <w:szCs w:val="21"/>
              </w:rPr>
              <w:t>10km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shd w:val="clear" w:color="auto" w:fill="auto"/>
            <w:noWrap w:val="0"/>
            <w:vAlign w:val="center"/>
          </w:tcPr>
          <w:p>
            <w:pPr>
              <w:jc w:val="center"/>
              <w:rPr>
                <w:rFonts w:ascii="Times New Roman" w:hAnsi="Times New Roman"/>
                <w:szCs w:val="21"/>
              </w:rPr>
            </w:pP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2</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西水坡地表水饮用水源保护区</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S</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距二级保护区</w:t>
            </w:r>
            <w:r>
              <w:rPr>
                <w:rFonts w:hint="eastAsia" w:ascii="Times New Roman" w:hAnsi="Times New Roman"/>
                <w:szCs w:val="21"/>
              </w:rPr>
              <w:t>约</w:t>
            </w:r>
            <w:r>
              <w:rPr>
                <w:rFonts w:ascii="Times New Roman" w:hAnsi="Times New Roman"/>
                <w:szCs w:val="21"/>
              </w:rPr>
              <w:t>4km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shd w:val="clear" w:color="auto" w:fill="auto"/>
            <w:noWrap w:val="0"/>
            <w:vAlign w:val="center"/>
          </w:tcPr>
          <w:p>
            <w:pPr>
              <w:jc w:val="center"/>
              <w:rPr>
                <w:rFonts w:ascii="Times New Roman" w:hAnsi="Times New Roman"/>
                <w:szCs w:val="21"/>
              </w:rPr>
            </w:pPr>
            <w:r>
              <w:rPr>
                <w:rFonts w:ascii="Times New Roman" w:hAnsi="Times New Roman"/>
                <w:szCs w:val="21"/>
              </w:rPr>
              <w:t>地下水源</w:t>
            </w: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1</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李子园地下水饮用水源保护区</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SSE</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距准保护区</w:t>
            </w:r>
            <w:r>
              <w:rPr>
                <w:rFonts w:hint="eastAsia" w:ascii="Times New Roman" w:hAnsi="Times New Roman"/>
                <w:szCs w:val="21"/>
              </w:rPr>
              <w:t>约</w:t>
            </w:r>
            <w:r>
              <w:rPr>
                <w:rFonts w:ascii="Times New Roman" w:hAnsi="Times New Roman"/>
                <w:szCs w:val="21"/>
              </w:rPr>
              <w:t>8km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shd w:val="clear" w:color="auto" w:fill="auto"/>
            <w:noWrap w:val="0"/>
            <w:vAlign w:val="center"/>
          </w:tcPr>
          <w:p>
            <w:pPr>
              <w:jc w:val="center"/>
              <w:rPr>
                <w:rFonts w:ascii="Times New Roman" w:hAnsi="Times New Roman"/>
                <w:szCs w:val="21"/>
              </w:rPr>
            </w:pP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2</w:t>
            </w:r>
          </w:p>
        </w:tc>
        <w:tc>
          <w:tcPr>
            <w:tcW w:w="3969" w:type="dxa"/>
            <w:shd w:val="clear" w:color="auto" w:fill="auto"/>
            <w:noWrap w:val="0"/>
            <w:tcMar>
              <w:left w:w="28" w:type="dxa"/>
              <w:right w:w="28" w:type="dxa"/>
            </w:tcMar>
            <w:vAlign w:val="center"/>
          </w:tcPr>
          <w:p>
            <w:pPr>
              <w:jc w:val="left"/>
              <w:rPr>
                <w:rFonts w:ascii="Times New Roman" w:hAnsi="Times New Roman"/>
                <w:szCs w:val="21"/>
              </w:rPr>
            </w:pPr>
            <w:bookmarkStart w:id="278" w:name="_Hlk42173777"/>
            <w:r>
              <w:rPr>
                <w:rFonts w:ascii="Times New Roman" w:hAnsi="Times New Roman"/>
                <w:szCs w:val="21"/>
              </w:rPr>
              <w:t>中原油田</w:t>
            </w:r>
            <w:r>
              <w:rPr>
                <w:rFonts w:hint="eastAsia" w:ascii="Times New Roman" w:hAnsi="Times New Roman"/>
                <w:szCs w:val="21"/>
              </w:rPr>
              <w:t>基地</w:t>
            </w:r>
            <w:r>
              <w:rPr>
                <w:rFonts w:ascii="Times New Roman" w:hAnsi="Times New Roman"/>
                <w:szCs w:val="21"/>
              </w:rPr>
              <w:t>井群水源保护区</w:t>
            </w:r>
            <w:bookmarkEnd w:id="278"/>
            <w:r>
              <w:rPr>
                <w:rFonts w:hint="eastAsia" w:ascii="Times New Roman" w:hAnsi="Times New Roman"/>
                <w:szCs w:val="21"/>
              </w:rPr>
              <w:t>（</w:t>
            </w:r>
            <w:r>
              <w:rPr>
                <w:rFonts w:ascii="Times New Roman" w:hAnsi="Times New Roman"/>
                <w:szCs w:val="21"/>
              </w:rPr>
              <w:t>十一管理区井群、第十三管理区井群</w:t>
            </w:r>
            <w:r>
              <w:rPr>
                <w:rFonts w:hint="eastAsia" w:ascii="Times New Roman" w:hAnsi="Times New Roman"/>
                <w:szCs w:val="21"/>
              </w:rPr>
              <w:t>、</w:t>
            </w:r>
            <w:r>
              <w:rPr>
                <w:rFonts w:ascii="Times New Roman" w:hAnsi="Times New Roman"/>
                <w:szCs w:val="21"/>
              </w:rPr>
              <w:t>基地中心管理区井群</w:t>
            </w:r>
            <w:r>
              <w:rPr>
                <w:rFonts w:hint="eastAsia" w:ascii="Times New Roman" w:hAnsi="Times New Roman"/>
                <w:szCs w:val="21"/>
              </w:rPr>
              <w:t>）</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E</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距二级保护区</w:t>
            </w:r>
            <w:r>
              <w:rPr>
                <w:rFonts w:hint="eastAsia" w:ascii="Times New Roman" w:hAnsi="Times New Roman"/>
                <w:szCs w:val="21"/>
              </w:rPr>
              <w:t>约</w:t>
            </w:r>
            <w:r>
              <w:rPr>
                <w:rFonts w:ascii="Times New Roman" w:hAnsi="Times New Roman"/>
                <w:szCs w:val="21"/>
              </w:rPr>
              <w:t>4.5km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shd w:val="clear" w:color="auto" w:fill="auto"/>
            <w:noWrap w:val="0"/>
            <w:vAlign w:val="center"/>
          </w:tcPr>
          <w:p>
            <w:pPr>
              <w:jc w:val="center"/>
              <w:rPr>
                <w:rFonts w:ascii="Times New Roman" w:hAnsi="Times New Roman"/>
                <w:szCs w:val="21"/>
              </w:rPr>
            </w:pP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3</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南水北调调水池水源保护区(尚未建设)</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N</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距二级保护</w:t>
            </w:r>
            <w:r>
              <w:rPr>
                <w:rFonts w:hint="eastAsia" w:ascii="Times New Roman" w:hAnsi="Times New Roman"/>
                <w:szCs w:val="21"/>
              </w:rPr>
              <w:t>约</w:t>
            </w:r>
            <w:r>
              <w:rPr>
                <w:rFonts w:ascii="Times New Roman" w:hAnsi="Times New Roman"/>
                <w:szCs w:val="21"/>
              </w:rPr>
              <w:t>区7.4km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restart"/>
            <w:shd w:val="clear" w:color="auto" w:fill="auto"/>
            <w:noWrap w:val="0"/>
            <w:vAlign w:val="center"/>
          </w:tcPr>
          <w:p>
            <w:pPr>
              <w:jc w:val="center"/>
              <w:rPr>
                <w:rFonts w:ascii="Times New Roman" w:hAnsi="Times New Roman"/>
                <w:szCs w:val="21"/>
              </w:rPr>
            </w:pPr>
            <w:r>
              <w:rPr>
                <w:rFonts w:ascii="Times New Roman" w:hAnsi="Times New Roman"/>
                <w:szCs w:val="21"/>
              </w:rPr>
              <w:t>乡镇集中式引用水源</w:t>
            </w: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1</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新习乡水厂地下水井</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S</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距保护区</w:t>
            </w:r>
            <w:r>
              <w:rPr>
                <w:rFonts w:hint="eastAsia" w:ascii="Times New Roman" w:hAnsi="Times New Roman"/>
                <w:szCs w:val="21"/>
              </w:rPr>
              <w:t>约</w:t>
            </w:r>
            <w:r>
              <w:rPr>
                <w:rFonts w:ascii="Times New Roman" w:hAnsi="Times New Roman"/>
                <w:szCs w:val="21"/>
              </w:rPr>
              <w:t>10km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13" w:type="dxa"/>
            <w:vMerge w:val="continue"/>
            <w:shd w:val="clear" w:color="auto" w:fill="auto"/>
            <w:noWrap w:val="0"/>
            <w:vAlign w:val="center"/>
          </w:tcPr>
          <w:p>
            <w:pPr>
              <w:jc w:val="center"/>
              <w:rPr>
                <w:rFonts w:ascii="Times New Roman" w:hAnsi="Times New Roman"/>
                <w:szCs w:val="21"/>
              </w:rPr>
            </w:pP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2</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胡村乡水厂地下水井</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NE</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距保护区</w:t>
            </w:r>
            <w:r>
              <w:rPr>
                <w:rFonts w:hint="eastAsia" w:ascii="Times New Roman" w:hAnsi="Times New Roman"/>
                <w:szCs w:val="21"/>
              </w:rPr>
              <w:t>约</w:t>
            </w:r>
            <w:r>
              <w:rPr>
                <w:rFonts w:ascii="Times New Roman" w:hAnsi="Times New Roman"/>
                <w:szCs w:val="21"/>
              </w:rPr>
              <w:t>6km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3" w:type="dxa"/>
            <w:vMerge w:val="continue"/>
            <w:shd w:val="clear" w:color="auto" w:fill="auto"/>
            <w:noWrap w:val="0"/>
            <w:vAlign w:val="center"/>
          </w:tcPr>
          <w:p>
            <w:pPr>
              <w:jc w:val="center"/>
              <w:rPr>
                <w:rFonts w:ascii="Times New Roman" w:hAnsi="Times New Roman"/>
                <w:szCs w:val="21"/>
              </w:rPr>
            </w:pPr>
          </w:p>
        </w:tc>
        <w:tc>
          <w:tcPr>
            <w:tcW w:w="708"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3</w:t>
            </w:r>
          </w:p>
        </w:tc>
        <w:tc>
          <w:tcPr>
            <w:tcW w:w="3969"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王助镇水厂地下水井</w:t>
            </w:r>
          </w:p>
        </w:tc>
        <w:tc>
          <w:tcPr>
            <w:tcW w:w="1134"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S</w:t>
            </w:r>
          </w:p>
        </w:tc>
        <w:tc>
          <w:tcPr>
            <w:tcW w:w="2812" w:type="dxa"/>
            <w:shd w:val="clear" w:color="auto" w:fill="auto"/>
            <w:noWrap w:val="0"/>
            <w:tcMar>
              <w:left w:w="28" w:type="dxa"/>
              <w:right w:w="28" w:type="dxa"/>
            </w:tcMar>
            <w:vAlign w:val="center"/>
          </w:tcPr>
          <w:p>
            <w:pPr>
              <w:jc w:val="center"/>
              <w:rPr>
                <w:rFonts w:ascii="Times New Roman" w:hAnsi="Times New Roman"/>
                <w:szCs w:val="21"/>
              </w:rPr>
            </w:pPr>
            <w:r>
              <w:rPr>
                <w:rFonts w:ascii="Times New Roman" w:hAnsi="Times New Roman"/>
                <w:szCs w:val="21"/>
              </w:rPr>
              <w:t>距保护区</w:t>
            </w:r>
            <w:r>
              <w:rPr>
                <w:rFonts w:hint="eastAsia" w:ascii="Times New Roman" w:hAnsi="Times New Roman"/>
                <w:szCs w:val="21"/>
              </w:rPr>
              <w:t>约</w:t>
            </w:r>
            <w:r>
              <w:rPr>
                <w:rFonts w:ascii="Times New Roman" w:hAnsi="Times New Roman"/>
                <w:szCs w:val="21"/>
              </w:rPr>
              <w:t>4km</w:t>
            </w:r>
          </w:p>
        </w:tc>
      </w:tr>
    </w:tbl>
    <w:p>
      <w:pPr>
        <w:spacing w:line="520" w:lineRule="exact"/>
        <w:ind w:firstLine="560" w:firstLineChars="200"/>
        <w:rPr>
          <w:rFonts w:hint="eastAsia" w:ascii="Times New Roman" w:hAnsi="Times New Roman"/>
          <w:sz w:val="28"/>
          <w:szCs w:val="28"/>
        </w:rPr>
      </w:pPr>
      <w:r>
        <w:rPr>
          <w:rFonts w:ascii="Times New Roman" w:hAnsi="Times New Roman"/>
          <w:sz w:val="28"/>
          <w:szCs w:val="28"/>
        </w:rPr>
        <w:t>综上所述，本项目距以上各水源地距离均较远，不在其保护区范围内。</w:t>
      </w:r>
      <w:bookmarkEnd w:id="262"/>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3"/>
        <w:numPr>
          <w:ilvl w:val="0"/>
          <w:numId w:val="0"/>
        </w:numPr>
      </w:pPr>
      <w:r>
        <w:t>第</w:t>
      </w:r>
      <w:r>
        <w:rPr>
          <w:rFonts w:hint="eastAsia"/>
        </w:rPr>
        <w:t>9</w:t>
      </w:r>
      <w:r>
        <w:t>章</w:t>
      </w:r>
      <w:r>
        <w:rPr>
          <w:rFonts w:hint="eastAsia"/>
        </w:rPr>
        <w:t xml:space="preserve">  </w:t>
      </w:r>
      <w:r>
        <w:t>环境经济损益简要分析</w:t>
      </w:r>
    </w:p>
    <w:p>
      <w:pPr>
        <w:autoSpaceDE w:val="0"/>
        <w:autoSpaceDN w:val="0"/>
        <w:adjustRightInd w:val="0"/>
        <w:snapToGrid w:val="0"/>
        <w:rPr>
          <w:kern w:val="0"/>
          <w:szCs w:val="28"/>
        </w:rPr>
      </w:pPr>
      <w:r>
        <w:rPr>
          <w:rFonts w:hint="eastAsia"/>
          <w:szCs w:val="21"/>
        </w:rPr>
        <w:t>本项目为</w:t>
      </w:r>
      <w:r>
        <w:rPr>
          <w:szCs w:val="21"/>
        </w:rPr>
        <w:t>中试项目</w:t>
      </w:r>
      <w:r>
        <w:rPr>
          <w:rFonts w:hint="eastAsia"/>
          <w:szCs w:val="21"/>
        </w:rPr>
        <w:t>，目的是为了</w:t>
      </w:r>
      <w:r>
        <w:rPr>
          <w:kern w:val="0"/>
          <w:szCs w:val="28"/>
        </w:rPr>
        <w:t>发现和解决中试过程中出现的工业放大问题，得到用于工业化生产的试验数据。</w:t>
      </w:r>
      <w:r>
        <w:rPr>
          <w:szCs w:val="21"/>
        </w:rPr>
        <w:t>中试项目的结束时间以系统优化试验完成为准，预计在2022年6月前完成</w:t>
      </w:r>
      <w:r>
        <w:rPr>
          <w:rFonts w:hint="eastAsia"/>
          <w:szCs w:val="21"/>
        </w:rPr>
        <w:t>。</w:t>
      </w:r>
      <w:r>
        <w:rPr>
          <w:szCs w:val="21"/>
        </w:rPr>
        <w:t>中试结束后依据试验优化的需求决定是否拆除该中试装置。</w:t>
      </w:r>
      <w:r>
        <w:rPr>
          <w:rFonts w:hint="eastAsia"/>
          <w:szCs w:val="21"/>
        </w:rPr>
        <w:t>如果中试结束后，决定拆除该中试装置，则本次评价可不分析该项目的经济效益。为考虑长远效益，本次评价以中试结束后不拆除该中试装置为前提条件计算该中试项目的主要经济效益指标。</w:t>
      </w:r>
    </w:p>
    <w:p>
      <w:pPr>
        <w:keepNext/>
        <w:keepLines/>
        <w:ind w:firstLine="0" w:firstLineChars="0"/>
        <w:outlineLvl w:val="1"/>
        <w:rPr>
          <w:rFonts w:eastAsia="黑体"/>
          <w:b/>
          <w:szCs w:val="28"/>
          <w:lang w:val="zh-CN"/>
        </w:rPr>
      </w:pPr>
      <w:r>
        <w:rPr>
          <w:rFonts w:hint="eastAsia" w:eastAsia="黑体"/>
          <w:b/>
          <w:szCs w:val="28"/>
        </w:rPr>
        <w:t>9</w:t>
      </w:r>
      <w:r>
        <w:rPr>
          <w:rFonts w:hint="eastAsia" w:eastAsia="黑体"/>
          <w:b/>
          <w:szCs w:val="28"/>
          <w:lang w:val="zh-CN"/>
        </w:rPr>
        <w:t>.1</w:t>
      </w:r>
      <w:r>
        <w:rPr>
          <w:rFonts w:eastAsia="黑体"/>
          <w:b/>
          <w:szCs w:val="28"/>
          <w:lang w:val="zh-CN"/>
        </w:rPr>
        <w:t>工程经济效益分析</w:t>
      </w:r>
    </w:p>
    <w:p>
      <w:pPr>
        <w:autoSpaceDE w:val="0"/>
        <w:autoSpaceDN w:val="0"/>
        <w:adjustRightInd w:val="0"/>
        <w:snapToGrid w:val="0"/>
        <w:rPr>
          <w:kern w:val="0"/>
          <w:szCs w:val="28"/>
        </w:rPr>
      </w:pPr>
      <w:r>
        <w:rPr>
          <w:kern w:val="0"/>
          <w:szCs w:val="28"/>
        </w:rPr>
        <w:t>根据</w:t>
      </w:r>
      <w:r>
        <w:rPr>
          <w:rFonts w:hint="eastAsia"/>
          <w:kern w:val="0"/>
          <w:szCs w:val="28"/>
        </w:rPr>
        <w:t>中试项目相关研究资料</w:t>
      </w:r>
      <w:r>
        <w:rPr>
          <w:kern w:val="0"/>
          <w:szCs w:val="28"/>
        </w:rPr>
        <w:t>，主要经济效益指标见</w:t>
      </w:r>
      <w:r>
        <w:rPr>
          <w:rFonts w:hint="eastAsia"/>
          <w:kern w:val="0"/>
          <w:szCs w:val="28"/>
        </w:rPr>
        <w:t>表9.1-1</w:t>
      </w:r>
      <w:r>
        <w:rPr>
          <w:kern w:val="0"/>
          <w:szCs w:val="28"/>
        </w:rPr>
        <w:t>。</w:t>
      </w:r>
    </w:p>
    <w:p>
      <w:pPr>
        <w:pStyle w:val="73"/>
      </w:pPr>
      <w:r>
        <w:rPr>
          <w:rFonts w:hint="eastAsia"/>
        </w:rPr>
        <w:t>表9.1-1</w:t>
      </w:r>
      <w:r>
        <w:t xml:space="preserve">  </w:t>
      </w:r>
      <w:r>
        <w:rPr>
          <w:rFonts w:hint="eastAsia"/>
        </w:rPr>
        <w:t xml:space="preserve">              中试项目</w:t>
      </w:r>
      <w:r>
        <w:t>主要经济</w:t>
      </w:r>
      <w:r>
        <w:rPr>
          <w:rFonts w:hint="eastAsia"/>
        </w:rPr>
        <w:t>效益</w:t>
      </w:r>
      <w:r>
        <w:t>指标</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3717"/>
        <w:gridCol w:w="1718"/>
        <w:gridCol w:w="228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4"/>
              <w:spacing w:line="240" w:lineRule="auto"/>
              <w:jc w:val="center"/>
              <w:rPr>
                <w:b/>
                <w:bCs/>
                <w:kern w:val="0"/>
                <w:szCs w:val="21"/>
              </w:rPr>
            </w:pPr>
            <w:r>
              <w:rPr>
                <w:b/>
                <w:bCs/>
                <w:kern w:val="0"/>
                <w:szCs w:val="21"/>
              </w:rPr>
              <w:t>序号</w:t>
            </w:r>
          </w:p>
        </w:tc>
        <w:tc>
          <w:tcPr>
            <w:tcW w:w="2025" w:type="pct"/>
            <w:shd w:val="clear" w:color="auto" w:fill="auto"/>
            <w:vAlign w:val="center"/>
          </w:tcPr>
          <w:p>
            <w:pPr>
              <w:pStyle w:val="74"/>
              <w:spacing w:line="240" w:lineRule="auto"/>
              <w:jc w:val="center"/>
              <w:rPr>
                <w:b/>
                <w:bCs/>
                <w:kern w:val="0"/>
                <w:szCs w:val="21"/>
              </w:rPr>
            </w:pPr>
            <w:r>
              <w:rPr>
                <w:rFonts w:hint="eastAsia"/>
                <w:b/>
                <w:bCs/>
                <w:kern w:val="0"/>
                <w:szCs w:val="21"/>
              </w:rPr>
              <w:t>项目</w:t>
            </w:r>
          </w:p>
        </w:tc>
        <w:tc>
          <w:tcPr>
            <w:tcW w:w="936" w:type="pct"/>
            <w:shd w:val="clear" w:color="auto" w:fill="auto"/>
            <w:vAlign w:val="center"/>
          </w:tcPr>
          <w:p>
            <w:pPr>
              <w:pStyle w:val="74"/>
              <w:spacing w:line="240" w:lineRule="auto"/>
              <w:jc w:val="center"/>
              <w:rPr>
                <w:b/>
                <w:bCs/>
                <w:kern w:val="0"/>
                <w:szCs w:val="21"/>
              </w:rPr>
            </w:pPr>
            <w:r>
              <w:rPr>
                <w:b/>
                <w:bCs/>
                <w:kern w:val="0"/>
                <w:szCs w:val="21"/>
              </w:rPr>
              <w:t>单位</w:t>
            </w:r>
          </w:p>
        </w:tc>
        <w:tc>
          <w:tcPr>
            <w:tcW w:w="1247" w:type="pct"/>
            <w:shd w:val="clear" w:color="auto" w:fill="auto"/>
            <w:vAlign w:val="center"/>
          </w:tcPr>
          <w:p>
            <w:pPr>
              <w:pStyle w:val="74"/>
              <w:spacing w:line="240" w:lineRule="auto"/>
              <w:jc w:val="center"/>
              <w:rPr>
                <w:b/>
                <w:bCs/>
                <w:kern w:val="0"/>
                <w:szCs w:val="21"/>
              </w:rPr>
            </w:pPr>
            <w:r>
              <w:rPr>
                <w:b/>
                <w:bCs/>
                <w:kern w:val="0"/>
                <w:szCs w:val="21"/>
              </w:rPr>
              <w:t>数量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一</w:t>
            </w:r>
          </w:p>
        </w:tc>
        <w:tc>
          <w:tcPr>
            <w:tcW w:w="2025" w:type="pct"/>
            <w:shd w:val="clear" w:color="auto" w:fill="auto"/>
            <w:vAlign w:val="center"/>
          </w:tcPr>
          <w:p>
            <w:pPr>
              <w:pStyle w:val="75"/>
            </w:pPr>
            <w:r>
              <w:t>项目总投资</w:t>
            </w:r>
          </w:p>
        </w:tc>
        <w:tc>
          <w:tcPr>
            <w:tcW w:w="936" w:type="pct"/>
            <w:shd w:val="clear" w:color="auto" w:fill="auto"/>
            <w:vAlign w:val="center"/>
          </w:tcPr>
          <w:p>
            <w:pPr>
              <w:pStyle w:val="75"/>
            </w:pPr>
            <w:r>
              <w:t>万元</w:t>
            </w:r>
          </w:p>
        </w:tc>
        <w:tc>
          <w:tcPr>
            <w:tcW w:w="2289" w:type="dxa"/>
            <w:shd w:val="clear" w:color="auto" w:fill="auto"/>
            <w:vAlign w:val="center"/>
          </w:tcPr>
          <w:p>
            <w:pPr>
              <w:pStyle w:val="75"/>
              <w:rPr>
                <w:szCs w:val="22"/>
              </w:rPr>
            </w:pPr>
            <w:r>
              <w:rPr>
                <w:rFonts w:hint="eastAsia"/>
                <w:szCs w:val="22"/>
              </w:rPr>
              <w:t>2098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1.1</w:t>
            </w:r>
          </w:p>
        </w:tc>
        <w:tc>
          <w:tcPr>
            <w:tcW w:w="2025" w:type="pct"/>
            <w:shd w:val="clear" w:color="auto" w:fill="auto"/>
            <w:vAlign w:val="center"/>
          </w:tcPr>
          <w:p>
            <w:pPr>
              <w:pStyle w:val="75"/>
            </w:pPr>
            <w:r>
              <w:t>建设投资（含建设期利息）</w:t>
            </w:r>
          </w:p>
        </w:tc>
        <w:tc>
          <w:tcPr>
            <w:tcW w:w="936" w:type="pct"/>
            <w:shd w:val="clear" w:color="auto" w:fill="auto"/>
            <w:vAlign w:val="center"/>
          </w:tcPr>
          <w:p>
            <w:pPr>
              <w:pStyle w:val="75"/>
            </w:pPr>
            <w:r>
              <w:t>万元</w:t>
            </w:r>
          </w:p>
        </w:tc>
        <w:tc>
          <w:tcPr>
            <w:tcW w:w="2289" w:type="dxa"/>
            <w:shd w:val="clear" w:color="auto" w:fill="auto"/>
            <w:vAlign w:val="center"/>
          </w:tcPr>
          <w:p>
            <w:pPr>
              <w:pStyle w:val="75"/>
              <w:rPr>
                <w:szCs w:val="22"/>
              </w:rPr>
            </w:pPr>
            <w:r>
              <w:rPr>
                <w:rFonts w:hint="eastAsia"/>
                <w:szCs w:val="22"/>
              </w:rPr>
              <w:t>1468.6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1.2</w:t>
            </w:r>
          </w:p>
        </w:tc>
        <w:tc>
          <w:tcPr>
            <w:tcW w:w="2025" w:type="pct"/>
            <w:shd w:val="clear" w:color="auto" w:fill="auto"/>
            <w:vAlign w:val="center"/>
          </w:tcPr>
          <w:p>
            <w:pPr>
              <w:pStyle w:val="75"/>
            </w:pPr>
            <w:r>
              <w:t>流动资金</w:t>
            </w:r>
          </w:p>
        </w:tc>
        <w:tc>
          <w:tcPr>
            <w:tcW w:w="936" w:type="pct"/>
            <w:shd w:val="clear" w:color="auto" w:fill="auto"/>
            <w:vAlign w:val="center"/>
          </w:tcPr>
          <w:p>
            <w:pPr>
              <w:pStyle w:val="75"/>
            </w:pPr>
            <w:r>
              <w:t>万元</w:t>
            </w:r>
          </w:p>
        </w:tc>
        <w:tc>
          <w:tcPr>
            <w:tcW w:w="2289" w:type="dxa"/>
            <w:shd w:val="clear" w:color="auto" w:fill="auto"/>
            <w:vAlign w:val="center"/>
          </w:tcPr>
          <w:p>
            <w:pPr>
              <w:pStyle w:val="75"/>
              <w:rPr>
                <w:szCs w:val="22"/>
              </w:rPr>
            </w:pPr>
            <w:r>
              <w:rPr>
                <w:rFonts w:hint="eastAsia"/>
                <w:szCs w:val="22"/>
              </w:rPr>
              <w:t>629.4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二</w:t>
            </w:r>
          </w:p>
        </w:tc>
        <w:tc>
          <w:tcPr>
            <w:tcW w:w="2025" w:type="pct"/>
            <w:shd w:val="clear" w:color="auto" w:fill="auto"/>
            <w:vAlign w:val="center"/>
          </w:tcPr>
          <w:p>
            <w:pPr>
              <w:pStyle w:val="75"/>
            </w:pPr>
            <w:r>
              <w:t>财务预测指标</w:t>
            </w:r>
          </w:p>
        </w:tc>
        <w:tc>
          <w:tcPr>
            <w:tcW w:w="936" w:type="pct"/>
            <w:shd w:val="clear" w:color="auto" w:fill="auto"/>
            <w:vAlign w:val="center"/>
          </w:tcPr>
          <w:p>
            <w:pPr>
              <w:pStyle w:val="75"/>
            </w:pPr>
            <w:r>
              <w:rPr>
                <w:rFonts w:hint="eastAsia"/>
              </w:rPr>
              <w:t>/</w:t>
            </w:r>
          </w:p>
        </w:tc>
        <w:tc>
          <w:tcPr>
            <w:tcW w:w="2289" w:type="dxa"/>
            <w:shd w:val="clear" w:color="auto" w:fill="auto"/>
            <w:vAlign w:val="center"/>
          </w:tcPr>
          <w:p>
            <w:pPr>
              <w:pStyle w:val="75"/>
              <w:rPr>
                <w:szCs w:val="22"/>
              </w:rPr>
            </w:pPr>
            <w:r>
              <w:rPr>
                <w:rFonts w:hint="eastAsia"/>
                <w:szCs w:val="22"/>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2.1</w:t>
            </w:r>
          </w:p>
        </w:tc>
        <w:tc>
          <w:tcPr>
            <w:tcW w:w="2025" w:type="pct"/>
            <w:shd w:val="clear" w:color="auto" w:fill="auto"/>
            <w:vAlign w:val="center"/>
          </w:tcPr>
          <w:p>
            <w:pPr>
              <w:pStyle w:val="75"/>
            </w:pPr>
            <w:r>
              <w:rPr>
                <w:rFonts w:hint="eastAsia"/>
              </w:rPr>
              <w:t>营业</w:t>
            </w:r>
            <w:r>
              <w:t>收入</w:t>
            </w:r>
            <w:r>
              <w:rPr>
                <w:rFonts w:hint="eastAsia"/>
              </w:rPr>
              <w:t>及政府财政补贴</w:t>
            </w:r>
          </w:p>
        </w:tc>
        <w:tc>
          <w:tcPr>
            <w:tcW w:w="936" w:type="pct"/>
            <w:shd w:val="clear" w:color="auto" w:fill="auto"/>
            <w:vAlign w:val="center"/>
          </w:tcPr>
          <w:p>
            <w:pPr>
              <w:pStyle w:val="75"/>
            </w:pPr>
            <w:r>
              <w:t>万元/年</w:t>
            </w:r>
          </w:p>
        </w:tc>
        <w:tc>
          <w:tcPr>
            <w:tcW w:w="2289" w:type="dxa"/>
            <w:shd w:val="clear" w:color="auto" w:fill="auto"/>
            <w:vAlign w:val="center"/>
          </w:tcPr>
          <w:p>
            <w:pPr>
              <w:pStyle w:val="75"/>
              <w:rPr>
                <w:szCs w:val="22"/>
              </w:rPr>
            </w:pPr>
            <w:r>
              <w:rPr>
                <w:rFonts w:hint="eastAsia"/>
                <w:szCs w:val="22"/>
              </w:rPr>
              <w:t>5000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2.2</w:t>
            </w:r>
          </w:p>
        </w:tc>
        <w:tc>
          <w:tcPr>
            <w:tcW w:w="2025" w:type="pct"/>
            <w:shd w:val="clear" w:color="auto" w:fill="auto"/>
            <w:vAlign w:val="center"/>
          </w:tcPr>
          <w:p>
            <w:pPr>
              <w:pStyle w:val="75"/>
            </w:pPr>
            <w:r>
              <w:t>总成本</w:t>
            </w:r>
            <w:r>
              <w:rPr>
                <w:rFonts w:hint="eastAsia"/>
              </w:rPr>
              <w:t>费用</w:t>
            </w:r>
          </w:p>
        </w:tc>
        <w:tc>
          <w:tcPr>
            <w:tcW w:w="936" w:type="pct"/>
            <w:shd w:val="clear" w:color="auto" w:fill="auto"/>
            <w:vAlign w:val="center"/>
          </w:tcPr>
          <w:p>
            <w:pPr>
              <w:pStyle w:val="75"/>
            </w:pPr>
            <w:r>
              <w:t>万元/年</w:t>
            </w:r>
          </w:p>
        </w:tc>
        <w:tc>
          <w:tcPr>
            <w:tcW w:w="2289" w:type="dxa"/>
            <w:shd w:val="clear" w:color="auto" w:fill="auto"/>
            <w:vAlign w:val="center"/>
          </w:tcPr>
          <w:p>
            <w:pPr>
              <w:pStyle w:val="75"/>
              <w:rPr>
                <w:szCs w:val="22"/>
              </w:rPr>
            </w:pPr>
            <w:r>
              <w:rPr>
                <w:rFonts w:hint="eastAsia"/>
                <w:szCs w:val="22"/>
              </w:rPr>
              <w:t>1500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2.3</w:t>
            </w:r>
          </w:p>
        </w:tc>
        <w:tc>
          <w:tcPr>
            <w:tcW w:w="2025" w:type="pct"/>
            <w:shd w:val="clear" w:color="auto" w:fill="auto"/>
            <w:vAlign w:val="center"/>
          </w:tcPr>
          <w:p>
            <w:pPr>
              <w:pStyle w:val="75"/>
            </w:pPr>
            <w:r>
              <w:rPr>
                <w:rFonts w:hint="eastAsia"/>
              </w:rPr>
              <w:t>应税利润</w:t>
            </w:r>
          </w:p>
        </w:tc>
        <w:tc>
          <w:tcPr>
            <w:tcW w:w="936" w:type="pct"/>
            <w:shd w:val="clear" w:color="auto" w:fill="auto"/>
            <w:vAlign w:val="center"/>
          </w:tcPr>
          <w:p>
            <w:pPr>
              <w:pStyle w:val="75"/>
            </w:pPr>
            <w:r>
              <w:t>万元/年</w:t>
            </w:r>
          </w:p>
        </w:tc>
        <w:tc>
          <w:tcPr>
            <w:tcW w:w="2289" w:type="dxa"/>
            <w:shd w:val="clear" w:color="auto" w:fill="auto"/>
            <w:vAlign w:val="center"/>
          </w:tcPr>
          <w:p>
            <w:pPr>
              <w:pStyle w:val="75"/>
              <w:rPr>
                <w:szCs w:val="22"/>
              </w:rPr>
            </w:pPr>
            <w:r>
              <w:rPr>
                <w:rFonts w:hint="eastAsia"/>
                <w:szCs w:val="22"/>
              </w:rPr>
              <w:t>3500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2.4</w:t>
            </w:r>
          </w:p>
        </w:tc>
        <w:tc>
          <w:tcPr>
            <w:tcW w:w="2025" w:type="pct"/>
            <w:shd w:val="clear" w:color="auto" w:fill="auto"/>
            <w:vAlign w:val="center"/>
          </w:tcPr>
          <w:p>
            <w:pPr>
              <w:pStyle w:val="75"/>
            </w:pPr>
            <w:r>
              <w:t>税后利润</w:t>
            </w:r>
          </w:p>
        </w:tc>
        <w:tc>
          <w:tcPr>
            <w:tcW w:w="936" w:type="pct"/>
            <w:shd w:val="clear" w:color="auto" w:fill="auto"/>
            <w:vAlign w:val="center"/>
          </w:tcPr>
          <w:p>
            <w:pPr>
              <w:pStyle w:val="75"/>
            </w:pPr>
            <w:r>
              <w:t>万元/年</w:t>
            </w:r>
          </w:p>
        </w:tc>
        <w:tc>
          <w:tcPr>
            <w:tcW w:w="2289" w:type="dxa"/>
            <w:shd w:val="clear" w:color="auto" w:fill="auto"/>
            <w:vAlign w:val="center"/>
          </w:tcPr>
          <w:p>
            <w:pPr>
              <w:pStyle w:val="75"/>
              <w:rPr>
                <w:szCs w:val="22"/>
              </w:rPr>
            </w:pPr>
            <w:r>
              <w:rPr>
                <w:rFonts w:hint="eastAsia"/>
                <w:szCs w:val="22"/>
              </w:rPr>
              <w:t>2625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0" w:type="pct"/>
            <w:shd w:val="clear" w:color="auto" w:fill="auto"/>
            <w:vAlign w:val="center"/>
          </w:tcPr>
          <w:p>
            <w:pPr>
              <w:pStyle w:val="75"/>
            </w:pPr>
            <w:r>
              <w:rPr>
                <w:rFonts w:hint="eastAsia"/>
              </w:rPr>
              <w:t>2.5</w:t>
            </w:r>
          </w:p>
        </w:tc>
        <w:tc>
          <w:tcPr>
            <w:tcW w:w="2025" w:type="pct"/>
            <w:shd w:val="clear" w:color="auto" w:fill="auto"/>
            <w:vAlign w:val="center"/>
          </w:tcPr>
          <w:p>
            <w:pPr>
              <w:pStyle w:val="75"/>
            </w:pPr>
            <w:r>
              <w:t>借款偿还期</w:t>
            </w:r>
            <w:r>
              <w:rPr>
                <w:rFonts w:hint="eastAsia"/>
              </w:rPr>
              <w:t>（静态）</w:t>
            </w:r>
          </w:p>
        </w:tc>
        <w:tc>
          <w:tcPr>
            <w:tcW w:w="936" w:type="pct"/>
            <w:shd w:val="clear" w:color="auto" w:fill="auto"/>
            <w:vAlign w:val="center"/>
          </w:tcPr>
          <w:p>
            <w:pPr>
              <w:pStyle w:val="75"/>
            </w:pPr>
            <w:r>
              <w:t>年</w:t>
            </w:r>
          </w:p>
        </w:tc>
        <w:tc>
          <w:tcPr>
            <w:tcW w:w="2289" w:type="dxa"/>
            <w:shd w:val="clear" w:color="auto" w:fill="auto"/>
            <w:vAlign w:val="center"/>
          </w:tcPr>
          <w:p>
            <w:pPr>
              <w:pStyle w:val="75"/>
              <w:rPr>
                <w:szCs w:val="22"/>
              </w:rPr>
            </w:pPr>
            <w:r>
              <w:rPr>
                <w:rFonts w:hint="eastAsia"/>
                <w:szCs w:val="22"/>
              </w:rPr>
              <w:t xml:space="preserve">1.25 </w:t>
            </w:r>
          </w:p>
        </w:tc>
      </w:tr>
    </w:tbl>
    <w:p>
      <w:pPr>
        <w:autoSpaceDE w:val="0"/>
        <w:autoSpaceDN w:val="0"/>
        <w:adjustRightInd w:val="0"/>
        <w:snapToGrid w:val="0"/>
      </w:pPr>
      <w:r>
        <w:t>由</w:t>
      </w:r>
      <w:r>
        <w:rPr>
          <w:rFonts w:hint="eastAsia"/>
          <w:kern w:val="0"/>
          <w:szCs w:val="28"/>
        </w:rPr>
        <w:t>上表</w:t>
      </w:r>
      <w:r>
        <w:t>可</w:t>
      </w:r>
      <w:r>
        <w:rPr>
          <w:rFonts w:hint="eastAsia"/>
        </w:rPr>
        <w:t>知</w:t>
      </w:r>
      <w:r>
        <w:t>，</w:t>
      </w:r>
      <w:r>
        <w:rPr>
          <w:rFonts w:hint="eastAsia"/>
        </w:rPr>
        <w:t>项目达产后，年平均收入（含营业</w:t>
      </w:r>
      <w:r>
        <w:t>收入</w:t>
      </w:r>
      <w:r>
        <w:rPr>
          <w:rFonts w:hint="eastAsia"/>
        </w:rPr>
        <w:t>及政府财政补贴）5000万元，税后利润可达2625万元，静态</w:t>
      </w:r>
      <w:r>
        <w:t>借款偿还期</w:t>
      </w:r>
      <w:r>
        <w:rPr>
          <w:rFonts w:hint="eastAsia"/>
        </w:rPr>
        <w:t>为1.25年</w:t>
      </w:r>
      <w:r>
        <w:t>（</w:t>
      </w:r>
      <w:r>
        <w:rPr>
          <w:rFonts w:hint="eastAsia"/>
        </w:rPr>
        <w:t>不含</w:t>
      </w:r>
      <w:r>
        <w:t>建设期）</w:t>
      </w:r>
      <w:r>
        <w:rPr>
          <w:rFonts w:hint="eastAsia"/>
        </w:rPr>
        <w:t>。从财务分析的角度来看，</w:t>
      </w:r>
      <w:r>
        <w:t>本项目具有较强的盈利能力和投资回收能力。</w:t>
      </w:r>
      <w:r>
        <w:rPr>
          <w:rFonts w:hint="eastAsia"/>
        </w:rPr>
        <w:t>从经济角度考虑，本项目的建设是可行的。</w:t>
      </w:r>
    </w:p>
    <w:p>
      <w:pPr>
        <w:keepNext/>
        <w:keepLines/>
        <w:ind w:firstLine="0" w:firstLineChars="0"/>
        <w:outlineLvl w:val="1"/>
        <w:rPr>
          <w:rFonts w:eastAsia="黑体"/>
          <w:b/>
          <w:szCs w:val="28"/>
          <w:lang w:val="zh-CN"/>
        </w:rPr>
      </w:pPr>
      <w:r>
        <w:rPr>
          <w:rFonts w:hint="eastAsia" w:eastAsia="黑体"/>
          <w:b/>
          <w:szCs w:val="28"/>
        </w:rPr>
        <w:t>9</w:t>
      </w:r>
      <w:r>
        <w:rPr>
          <w:rFonts w:hint="eastAsia" w:eastAsia="黑体"/>
          <w:b/>
          <w:szCs w:val="28"/>
          <w:lang w:val="zh-CN"/>
        </w:rPr>
        <w:t xml:space="preserve">.2  </w:t>
      </w:r>
      <w:r>
        <w:rPr>
          <w:rFonts w:eastAsia="黑体"/>
          <w:b/>
          <w:szCs w:val="28"/>
          <w:lang w:val="zh-CN"/>
        </w:rPr>
        <w:t>工程环境</w:t>
      </w:r>
      <w:r>
        <w:rPr>
          <w:rFonts w:hint="eastAsia" w:eastAsia="黑体"/>
          <w:b/>
          <w:szCs w:val="28"/>
          <w:lang w:val="zh-CN"/>
        </w:rPr>
        <w:t>效益</w:t>
      </w:r>
      <w:r>
        <w:rPr>
          <w:rFonts w:eastAsia="黑体"/>
          <w:b/>
          <w:szCs w:val="28"/>
          <w:lang w:val="zh-CN"/>
        </w:rPr>
        <w:t>分析</w:t>
      </w:r>
    </w:p>
    <w:p>
      <w:pPr>
        <w:keepNext/>
        <w:keepLines/>
        <w:ind w:firstLine="0" w:firstLineChars="0"/>
        <w:outlineLvl w:val="2"/>
        <w:rPr>
          <w:rFonts w:eastAsia="楷体_GB2312"/>
          <w:b/>
          <w:bCs/>
          <w:szCs w:val="32"/>
          <w:lang w:val="zh-CN"/>
        </w:rPr>
      </w:pPr>
      <w:r>
        <w:rPr>
          <w:rFonts w:hint="eastAsia" w:eastAsia="楷体_GB2312"/>
          <w:b/>
          <w:bCs/>
          <w:szCs w:val="32"/>
        </w:rPr>
        <w:t>9</w:t>
      </w:r>
      <w:r>
        <w:rPr>
          <w:rFonts w:hint="eastAsia" w:eastAsia="楷体_GB2312"/>
          <w:b/>
          <w:bCs/>
          <w:szCs w:val="32"/>
          <w:lang w:val="zh-CN"/>
        </w:rPr>
        <w:t>.2.1本项目环保投资估算</w:t>
      </w:r>
    </w:p>
    <w:p>
      <w:pPr>
        <w:autoSpaceDE w:val="0"/>
        <w:autoSpaceDN w:val="0"/>
        <w:adjustRightInd w:val="0"/>
        <w:snapToGrid w:val="0"/>
        <w:spacing w:line="540" w:lineRule="exact"/>
        <w:rPr>
          <w:kern w:val="0"/>
          <w:szCs w:val="28"/>
        </w:rPr>
      </w:pPr>
      <w:r>
        <w:rPr>
          <w:szCs w:val="28"/>
        </w:rPr>
        <w:t>本项目总投资</w:t>
      </w:r>
      <w:r>
        <w:rPr>
          <w:rFonts w:hint="eastAsia"/>
          <w:szCs w:val="22"/>
        </w:rPr>
        <w:t>2098</w:t>
      </w:r>
      <w:r>
        <w:rPr>
          <w:rFonts w:hint="eastAsia"/>
          <w:szCs w:val="28"/>
        </w:rPr>
        <w:t>万元，</w:t>
      </w:r>
      <w:r>
        <w:rPr>
          <w:szCs w:val="28"/>
        </w:rPr>
        <w:t>估算环保投资共</w:t>
      </w:r>
      <w:r>
        <w:rPr>
          <w:rFonts w:hint="eastAsia"/>
          <w:szCs w:val="28"/>
        </w:rPr>
        <w:t>270</w:t>
      </w:r>
      <w:r>
        <w:rPr>
          <w:szCs w:val="28"/>
        </w:rPr>
        <w:t>万元，占总投资的</w:t>
      </w:r>
      <w:r>
        <w:rPr>
          <w:rFonts w:hint="eastAsia"/>
          <w:szCs w:val="28"/>
        </w:rPr>
        <w:t>12.9%</w:t>
      </w:r>
      <w:r>
        <w:rPr>
          <w:szCs w:val="28"/>
        </w:rPr>
        <w:t>。</w:t>
      </w:r>
      <w:r>
        <w:rPr>
          <w:kern w:val="0"/>
          <w:szCs w:val="28"/>
        </w:rPr>
        <w:t>主要投资内容及投资估算详见</w:t>
      </w:r>
      <w:r>
        <w:rPr>
          <w:rFonts w:hint="eastAsia"/>
          <w:kern w:val="0"/>
          <w:szCs w:val="28"/>
        </w:rPr>
        <w:t>表9.2-1，本项目环保投资估算见第6章相关内容</w:t>
      </w:r>
      <w:r>
        <w:rPr>
          <w:kern w:val="0"/>
          <w:szCs w:val="28"/>
        </w:rPr>
        <w:t>。</w:t>
      </w:r>
    </w:p>
    <w:p>
      <w:pPr>
        <w:keepNext/>
        <w:keepLines/>
        <w:ind w:firstLine="0" w:firstLineChars="0"/>
        <w:outlineLvl w:val="2"/>
        <w:rPr>
          <w:rFonts w:eastAsia="楷体_GB2312"/>
          <w:b/>
          <w:bCs/>
          <w:szCs w:val="32"/>
          <w:lang w:val="zh-CN"/>
        </w:rPr>
      </w:pPr>
      <w:bookmarkStart w:id="279" w:name="_Toc375232936"/>
      <w:r>
        <w:rPr>
          <w:rFonts w:hint="eastAsia" w:eastAsia="楷体_GB2312"/>
          <w:b/>
          <w:bCs/>
          <w:szCs w:val="32"/>
        </w:rPr>
        <w:t>9</w:t>
      </w:r>
      <w:r>
        <w:rPr>
          <w:rFonts w:hint="eastAsia" w:eastAsia="楷体_GB2312"/>
          <w:b/>
          <w:bCs/>
          <w:szCs w:val="32"/>
          <w:lang w:val="zh-CN"/>
        </w:rPr>
        <w:t>.2.2</w:t>
      </w:r>
      <w:r>
        <w:rPr>
          <w:rFonts w:eastAsia="楷体_GB2312"/>
          <w:b/>
          <w:bCs/>
          <w:szCs w:val="32"/>
          <w:lang w:val="zh-CN"/>
        </w:rPr>
        <w:t>本项目环保运行费用估算</w:t>
      </w:r>
      <w:bookmarkEnd w:id="279"/>
    </w:p>
    <w:p>
      <w:pPr>
        <w:rPr>
          <w:szCs w:val="21"/>
        </w:rPr>
      </w:pPr>
      <w:r>
        <w:t>环保运行费用主要包括环保设备的维修费、折旧费、环保管理及其他费用，成本费用主要包括原辅材料消耗费，动力消耗费及人员工资</w:t>
      </w:r>
      <w:r>
        <w:rPr>
          <w:rFonts w:hint="eastAsia"/>
        </w:rPr>
        <w:t>、</w:t>
      </w:r>
      <w:r>
        <w:t>福利等。</w:t>
      </w:r>
      <w:r>
        <w:rPr>
          <w:rFonts w:hint="eastAsia"/>
        </w:rPr>
        <w:t>根据同类项目环保设施运行费用估算，本</w:t>
      </w:r>
      <w:r>
        <w:t>项目</w:t>
      </w:r>
      <w:r>
        <w:rPr>
          <w:rFonts w:hint="eastAsia"/>
        </w:rPr>
        <w:t>环保运行费用约为12.9</w:t>
      </w:r>
      <w:r>
        <w:rPr>
          <w:rFonts w:hint="eastAsia"/>
          <w:szCs w:val="21"/>
        </w:rPr>
        <w:t>万元/年。</w:t>
      </w:r>
    </w:p>
    <w:p>
      <w:pPr>
        <w:keepNext/>
        <w:keepLines/>
        <w:ind w:firstLine="0" w:firstLineChars="0"/>
        <w:outlineLvl w:val="2"/>
        <w:rPr>
          <w:rFonts w:eastAsia="楷体_GB2312"/>
          <w:b/>
          <w:bCs/>
          <w:szCs w:val="32"/>
          <w:lang w:val="zh-CN"/>
        </w:rPr>
      </w:pPr>
      <w:bookmarkStart w:id="280" w:name="_Toc375232937"/>
      <w:r>
        <w:rPr>
          <w:rFonts w:hint="eastAsia" w:eastAsia="楷体_GB2312"/>
          <w:b/>
          <w:bCs/>
          <w:szCs w:val="32"/>
        </w:rPr>
        <w:t>9</w:t>
      </w:r>
      <w:r>
        <w:rPr>
          <w:rFonts w:hint="eastAsia" w:eastAsia="楷体_GB2312"/>
          <w:b/>
          <w:bCs/>
          <w:szCs w:val="32"/>
          <w:lang w:val="zh-CN"/>
        </w:rPr>
        <w:t>.2.3</w:t>
      </w:r>
      <w:r>
        <w:rPr>
          <w:rFonts w:eastAsia="楷体_GB2312"/>
          <w:b/>
          <w:bCs/>
          <w:szCs w:val="32"/>
          <w:lang w:val="zh-CN"/>
        </w:rPr>
        <w:t>工程环境收益估算</w:t>
      </w:r>
      <w:bookmarkEnd w:id="280"/>
    </w:p>
    <w:p>
      <w:r>
        <w:rPr>
          <w:rFonts w:hint="eastAsia"/>
        </w:rPr>
        <w:t>本</w:t>
      </w:r>
      <w:r>
        <w:t>项目环境收益主要是</w:t>
      </w:r>
      <w:r>
        <w:rPr>
          <w:rFonts w:hint="eastAsia"/>
        </w:rPr>
        <w:t>农作物秸杆回收所得的间接环境效益</w:t>
      </w:r>
      <w:r>
        <w:t>，主要收</w:t>
      </w:r>
      <w:r>
        <w:rPr>
          <w:kern w:val="0"/>
          <w:szCs w:val="28"/>
        </w:rPr>
        <w:t>益见</w:t>
      </w:r>
      <w:r>
        <w:rPr>
          <w:rFonts w:hint="eastAsia"/>
          <w:kern w:val="0"/>
          <w:szCs w:val="28"/>
        </w:rPr>
        <w:t>表9.2-</w:t>
      </w:r>
      <w:r>
        <w:rPr>
          <w:kern w:val="0"/>
          <w:szCs w:val="28"/>
        </w:rPr>
        <w:t>1。</w:t>
      </w:r>
    </w:p>
    <w:p>
      <w:pPr>
        <w:pStyle w:val="73"/>
        <w:rPr>
          <w:szCs w:val="22"/>
        </w:rPr>
      </w:pPr>
      <w:r>
        <w:rPr>
          <w:rFonts w:hint="eastAsia"/>
          <w:szCs w:val="22"/>
        </w:rPr>
        <w:t>表9.2-1</w:t>
      </w:r>
      <w:r>
        <w:rPr>
          <w:szCs w:val="22"/>
        </w:rPr>
        <w:t xml:space="preserve"> </w:t>
      </w:r>
      <w:r>
        <w:rPr>
          <w:rFonts w:hint="eastAsia"/>
          <w:szCs w:val="22"/>
        </w:rPr>
        <w:t xml:space="preserve">            </w:t>
      </w:r>
      <w:r>
        <w:rPr>
          <w:szCs w:val="22"/>
        </w:rPr>
        <w:t xml:space="preserve"> </w:t>
      </w:r>
      <w:r>
        <w:rPr>
          <w:rFonts w:hint="eastAsia"/>
          <w:szCs w:val="22"/>
        </w:rPr>
        <w:t>本项目</w:t>
      </w:r>
      <w:r>
        <w:rPr>
          <w:szCs w:val="22"/>
        </w:rPr>
        <w:t>主要环保收益一览表</w:t>
      </w:r>
    </w:p>
    <w:tbl>
      <w:tblPr>
        <w:tblStyle w:val="21"/>
        <w:tblW w:w="8948"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68"/>
        <w:gridCol w:w="5668"/>
        <w:gridCol w:w="241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868" w:type="dxa"/>
            <w:vAlign w:val="center"/>
          </w:tcPr>
          <w:p>
            <w:pPr>
              <w:pStyle w:val="36"/>
              <w:rPr>
                <w:b/>
                <w:bCs/>
                <w:color w:val="auto"/>
              </w:rPr>
            </w:pPr>
            <w:r>
              <w:rPr>
                <w:b/>
                <w:bCs/>
                <w:color w:val="auto"/>
              </w:rPr>
              <w:t>序号</w:t>
            </w:r>
          </w:p>
        </w:tc>
        <w:tc>
          <w:tcPr>
            <w:tcW w:w="5668" w:type="dxa"/>
            <w:vAlign w:val="center"/>
          </w:tcPr>
          <w:p>
            <w:pPr>
              <w:pStyle w:val="36"/>
              <w:rPr>
                <w:b/>
                <w:bCs/>
                <w:color w:val="auto"/>
              </w:rPr>
            </w:pPr>
            <w:r>
              <w:rPr>
                <w:b/>
                <w:bCs/>
                <w:color w:val="auto"/>
              </w:rPr>
              <w:t>项     目</w:t>
            </w:r>
          </w:p>
        </w:tc>
        <w:tc>
          <w:tcPr>
            <w:tcW w:w="2412" w:type="dxa"/>
            <w:vAlign w:val="center"/>
          </w:tcPr>
          <w:p>
            <w:pPr>
              <w:pStyle w:val="36"/>
              <w:rPr>
                <w:b/>
                <w:bCs/>
                <w:color w:val="auto"/>
              </w:rPr>
            </w:pPr>
            <w:r>
              <w:rPr>
                <w:b/>
                <w:bCs/>
                <w:color w:val="auto"/>
              </w:rPr>
              <w:t>环保收益（万元/年）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68" w:type="dxa"/>
            <w:vAlign w:val="center"/>
          </w:tcPr>
          <w:p>
            <w:pPr>
              <w:pStyle w:val="36"/>
              <w:rPr>
                <w:color w:val="auto"/>
              </w:rPr>
            </w:pPr>
            <w:r>
              <w:rPr>
                <w:color w:val="auto"/>
              </w:rPr>
              <w:t>1</w:t>
            </w:r>
          </w:p>
        </w:tc>
        <w:tc>
          <w:tcPr>
            <w:tcW w:w="5668" w:type="dxa"/>
            <w:vAlign w:val="center"/>
          </w:tcPr>
          <w:p>
            <w:pPr>
              <w:pStyle w:val="36"/>
              <w:rPr>
                <w:color w:val="auto"/>
              </w:rPr>
            </w:pPr>
            <w:r>
              <w:rPr>
                <w:rFonts w:hint="eastAsia"/>
                <w:color w:val="auto"/>
              </w:rPr>
              <w:t>农作物秸杆回收所得的间接环境效益</w:t>
            </w:r>
          </w:p>
        </w:tc>
        <w:tc>
          <w:tcPr>
            <w:tcW w:w="2412" w:type="dxa"/>
            <w:vAlign w:val="center"/>
          </w:tcPr>
          <w:p>
            <w:pPr>
              <w:pStyle w:val="36"/>
              <w:rPr>
                <w:color w:val="auto"/>
              </w:rPr>
            </w:pPr>
            <w:r>
              <w:rPr>
                <w:rFonts w:hint="eastAsia"/>
                <w:color w:val="auto"/>
              </w:rPr>
              <w:t>600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536" w:type="dxa"/>
            <w:gridSpan w:val="2"/>
            <w:vAlign w:val="center"/>
          </w:tcPr>
          <w:p>
            <w:pPr>
              <w:pStyle w:val="36"/>
              <w:rPr>
                <w:color w:val="auto"/>
              </w:rPr>
            </w:pPr>
            <w:r>
              <w:rPr>
                <w:color w:val="auto"/>
              </w:rPr>
              <w:t>合计</w:t>
            </w:r>
          </w:p>
        </w:tc>
        <w:tc>
          <w:tcPr>
            <w:tcW w:w="2412" w:type="dxa"/>
            <w:vAlign w:val="center"/>
          </w:tcPr>
          <w:p>
            <w:pPr>
              <w:pStyle w:val="36"/>
              <w:rPr>
                <w:color w:val="auto"/>
              </w:rPr>
            </w:pPr>
            <w:r>
              <w:rPr>
                <w:rFonts w:hint="eastAsia"/>
                <w:color w:val="auto"/>
              </w:rPr>
              <w:t>600</w:t>
            </w:r>
          </w:p>
        </w:tc>
      </w:tr>
    </w:tbl>
    <w:p>
      <w:pPr>
        <w:keepNext/>
        <w:keepLines/>
        <w:ind w:firstLine="0" w:firstLineChars="0"/>
        <w:outlineLvl w:val="2"/>
        <w:rPr>
          <w:rFonts w:eastAsia="楷体_GB2312"/>
          <w:b/>
          <w:bCs/>
          <w:szCs w:val="32"/>
          <w:lang w:val="zh-CN"/>
        </w:rPr>
      </w:pPr>
      <w:bookmarkStart w:id="281" w:name="_Toc375232939"/>
      <w:r>
        <w:rPr>
          <w:rFonts w:hint="eastAsia" w:eastAsia="楷体_GB2312"/>
          <w:b/>
          <w:bCs/>
          <w:szCs w:val="32"/>
        </w:rPr>
        <w:t>9</w:t>
      </w:r>
      <w:r>
        <w:rPr>
          <w:rFonts w:hint="eastAsia" w:eastAsia="楷体_GB2312"/>
          <w:b/>
          <w:bCs/>
          <w:szCs w:val="32"/>
          <w:lang w:val="zh-CN"/>
        </w:rPr>
        <w:t>.2.4</w:t>
      </w:r>
      <w:r>
        <w:rPr>
          <w:rFonts w:eastAsia="楷体_GB2312"/>
          <w:b/>
          <w:bCs/>
          <w:szCs w:val="32"/>
          <w:lang w:val="zh-CN"/>
        </w:rPr>
        <w:t>环保投资比例系数Hz</w:t>
      </w:r>
      <w:bookmarkEnd w:id="281"/>
    </w:p>
    <w:p>
      <w:r>
        <w:t>环保投资比例系数是指环保建设投资与企业建设总投资的比值，它体现了企业对环保工作的重视程度。</w:t>
      </w:r>
    </w:p>
    <w:p>
      <w:pPr>
        <w:ind w:firstLine="0" w:firstLineChars="0"/>
        <w:jc w:val="center"/>
      </w:pPr>
      <w:r>
        <w:t>Hz=（E</w:t>
      </w:r>
      <w:r>
        <w:rPr>
          <w:vertAlign w:val="subscript"/>
        </w:rPr>
        <w:t>O</w:t>
      </w:r>
      <w:r>
        <w:t>/E</w:t>
      </w:r>
      <w:r>
        <w:rPr>
          <w:vertAlign w:val="subscript"/>
        </w:rPr>
        <w:t>R</w:t>
      </w:r>
      <w:r>
        <w:t>）×100%</w:t>
      </w:r>
    </w:p>
    <w:p>
      <w:r>
        <w:t>式中：E</w:t>
      </w:r>
      <w:r>
        <w:rPr>
          <w:vertAlign w:val="subscript"/>
        </w:rPr>
        <w:t>O</w:t>
      </w:r>
      <w:r>
        <w:t>——环保建设投资，万元</w:t>
      </w:r>
    </w:p>
    <w:p>
      <w:r>
        <w:t xml:space="preserve">      E</w:t>
      </w:r>
      <w:r>
        <w:rPr>
          <w:vertAlign w:val="subscript"/>
        </w:rPr>
        <w:t>R</w:t>
      </w:r>
      <w:r>
        <w:t>——企业建设总投资，万元</w:t>
      </w:r>
    </w:p>
    <w:p>
      <w:r>
        <w:rPr>
          <w:rFonts w:hint="eastAsia"/>
        </w:rPr>
        <w:t>本</w:t>
      </w:r>
      <w:r>
        <w:t>项目各项环保投资费用为</w:t>
      </w:r>
      <w:r>
        <w:rPr>
          <w:rFonts w:hint="eastAsia"/>
          <w:szCs w:val="28"/>
        </w:rPr>
        <w:t>270</w:t>
      </w:r>
      <w:r>
        <w:rPr>
          <w:szCs w:val="28"/>
        </w:rPr>
        <w:t>万元，占总投资的</w:t>
      </w:r>
      <w:r>
        <w:rPr>
          <w:rFonts w:hint="eastAsia"/>
          <w:szCs w:val="28"/>
        </w:rPr>
        <w:t>12.9%</w:t>
      </w:r>
      <w:r>
        <w:t>。本</w:t>
      </w:r>
      <w:r>
        <w:rPr>
          <w:rFonts w:hint="eastAsia"/>
        </w:rPr>
        <w:t>项目</w:t>
      </w:r>
      <w:r>
        <w:t>环保投资能较大幅度地</w:t>
      </w:r>
      <w:r>
        <w:rPr>
          <w:rFonts w:hint="eastAsia"/>
        </w:rPr>
        <w:t>降低挥发性有机物的排放量</w:t>
      </w:r>
      <w:r>
        <w:t>，减轻对周围环境的影响。因此，总的来说，该项目的环保投资系数是合适的。</w:t>
      </w:r>
    </w:p>
    <w:p>
      <w:pPr>
        <w:keepNext/>
        <w:keepLines/>
        <w:ind w:firstLine="0" w:firstLineChars="0"/>
        <w:outlineLvl w:val="2"/>
        <w:rPr>
          <w:rFonts w:eastAsia="楷体_GB2312"/>
          <w:b/>
          <w:bCs/>
          <w:szCs w:val="32"/>
          <w:lang w:val="zh-CN"/>
        </w:rPr>
      </w:pPr>
      <w:bookmarkStart w:id="282" w:name="_Toc375232940"/>
      <w:r>
        <w:rPr>
          <w:rFonts w:hint="eastAsia" w:eastAsia="楷体_GB2312"/>
          <w:b/>
          <w:bCs/>
          <w:szCs w:val="32"/>
        </w:rPr>
        <w:t>9</w:t>
      </w:r>
      <w:r>
        <w:rPr>
          <w:rFonts w:hint="eastAsia" w:eastAsia="楷体_GB2312"/>
          <w:b/>
          <w:bCs/>
          <w:szCs w:val="32"/>
          <w:lang w:val="zh-CN"/>
        </w:rPr>
        <w:t>.2.5</w:t>
      </w:r>
      <w:r>
        <w:rPr>
          <w:rFonts w:eastAsia="楷体_GB2312"/>
          <w:b/>
          <w:bCs/>
          <w:szCs w:val="32"/>
          <w:lang w:val="zh-CN"/>
        </w:rPr>
        <w:t>产值环境系数Fg</w:t>
      </w:r>
      <w:bookmarkEnd w:id="282"/>
    </w:p>
    <w:p>
      <w:r>
        <w:t>产值环境系数是指年环保运行费用与工业总产值的比值，年环保费用是指环保治理设施及综合利用装置的运行费用、折旧费、日常管理费等。产值环境系数的表达式为：</w:t>
      </w:r>
    </w:p>
    <w:p>
      <w:pPr>
        <w:ind w:firstLine="0" w:firstLineChars="0"/>
        <w:jc w:val="center"/>
        <w:rPr>
          <w:lang w:val="de-DE"/>
        </w:rPr>
      </w:pPr>
      <w:r>
        <w:rPr>
          <w:lang w:val="de-DE"/>
        </w:rPr>
        <w:t>Fg=（E</w:t>
      </w:r>
      <w:r>
        <w:rPr>
          <w:vertAlign w:val="subscript"/>
          <w:lang w:val="de-DE"/>
        </w:rPr>
        <w:t>Z</w:t>
      </w:r>
      <w:r>
        <w:rPr>
          <w:lang w:val="de-DE"/>
        </w:rPr>
        <w:t>/E</w:t>
      </w:r>
      <w:r>
        <w:rPr>
          <w:vertAlign w:val="subscript"/>
          <w:lang w:val="de-DE"/>
        </w:rPr>
        <w:t>RS</w:t>
      </w:r>
      <w:r>
        <w:rPr>
          <w:lang w:val="de-DE"/>
        </w:rPr>
        <w:t>）×100%</w:t>
      </w:r>
    </w:p>
    <w:p>
      <w:r>
        <w:t>式中：E</w:t>
      </w:r>
      <w:r>
        <w:rPr>
          <w:vertAlign w:val="subscript"/>
        </w:rPr>
        <w:t>Z</w:t>
      </w:r>
      <w:r>
        <w:t>——年环保费用，万元</w:t>
      </w:r>
    </w:p>
    <w:p>
      <w:r>
        <w:t xml:space="preserve">      E</w:t>
      </w:r>
      <w:r>
        <w:rPr>
          <w:vertAlign w:val="subscript"/>
        </w:rPr>
        <w:t>S</w:t>
      </w:r>
      <w:r>
        <w:t>——年工业总产值，万元</w:t>
      </w:r>
    </w:p>
    <w:p>
      <w:r>
        <w:rPr>
          <w:rFonts w:hint="eastAsia"/>
        </w:rPr>
        <w:t>本</w:t>
      </w:r>
      <w:r>
        <w:t>项目实施后，每年环保运行费用为</w:t>
      </w:r>
      <w:r>
        <w:rPr>
          <w:rFonts w:hint="eastAsia"/>
        </w:rPr>
        <w:t>12.9</w:t>
      </w:r>
      <w:r>
        <w:t>万元，本项目年工业总产值</w:t>
      </w:r>
      <w:r>
        <w:rPr>
          <w:rFonts w:hint="eastAsia"/>
          <w:szCs w:val="22"/>
        </w:rPr>
        <w:t>5000</w:t>
      </w:r>
      <w:r>
        <w:t>万元，则产值环境系数为</w:t>
      </w:r>
      <w:r>
        <w:rPr>
          <w:rFonts w:hint="eastAsia"/>
        </w:rPr>
        <w:t>0.258</w:t>
      </w:r>
      <w:r>
        <w:t>%，这意味着每生产万元产值所花费的环保费用为</w:t>
      </w:r>
      <w:r>
        <w:rPr>
          <w:rFonts w:hint="eastAsia"/>
        </w:rPr>
        <w:t>25.8</w:t>
      </w:r>
      <w:r>
        <w:t>元。</w:t>
      </w:r>
    </w:p>
    <w:p>
      <w:pPr>
        <w:keepNext/>
        <w:keepLines/>
        <w:ind w:firstLine="0" w:firstLineChars="0"/>
        <w:outlineLvl w:val="2"/>
        <w:rPr>
          <w:rFonts w:eastAsia="楷体_GB2312"/>
          <w:b/>
          <w:bCs/>
          <w:szCs w:val="32"/>
          <w:vertAlign w:val="subscript"/>
          <w:lang w:val="zh-CN"/>
        </w:rPr>
      </w:pPr>
      <w:bookmarkStart w:id="283" w:name="_Toc375232941"/>
      <w:r>
        <w:rPr>
          <w:rFonts w:hint="eastAsia" w:eastAsia="楷体_GB2312"/>
          <w:b/>
          <w:bCs/>
          <w:szCs w:val="32"/>
        </w:rPr>
        <w:t>9</w:t>
      </w:r>
      <w:r>
        <w:rPr>
          <w:rFonts w:hint="eastAsia" w:eastAsia="楷体_GB2312"/>
          <w:b/>
          <w:bCs/>
          <w:szCs w:val="32"/>
          <w:lang w:val="zh-CN"/>
        </w:rPr>
        <w:t>.2.6</w:t>
      </w:r>
      <w:r>
        <w:rPr>
          <w:rFonts w:eastAsia="楷体_GB2312"/>
          <w:b/>
          <w:bCs/>
          <w:szCs w:val="32"/>
          <w:lang w:val="zh-CN"/>
        </w:rPr>
        <w:t>环境经济效益系数</w:t>
      </w:r>
      <w:bookmarkEnd w:id="283"/>
      <w:r>
        <w:rPr>
          <w:rFonts w:eastAsia="楷体_GB2312"/>
          <w:b/>
          <w:bCs/>
          <w:szCs w:val="32"/>
          <w:lang w:val="zh-CN"/>
        </w:rPr>
        <w:t>J</w:t>
      </w:r>
      <w:r>
        <w:rPr>
          <w:rFonts w:eastAsia="楷体_GB2312"/>
          <w:b/>
          <w:bCs/>
          <w:szCs w:val="32"/>
          <w:vertAlign w:val="subscript"/>
          <w:lang w:val="zh-CN"/>
        </w:rPr>
        <w:t>X</w:t>
      </w:r>
    </w:p>
    <w:p>
      <w:r>
        <w:t>环境经济效益系数J</w:t>
      </w:r>
      <w:r>
        <w:rPr>
          <w:vertAlign w:val="subscript"/>
        </w:rPr>
        <w:t>X</w:t>
      </w:r>
      <w:r>
        <w:t>是指因有效的环境保护措施而挽回的经济价值与环境保护费用之比，其表达式为：</w:t>
      </w:r>
    </w:p>
    <w:p>
      <w:pPr>
        <w:ind w:firstLine="0" w:firstLineChars="0"/>
        <w:jc w:val="center"/>
        <w:rPr>
          <w:vertAlign w:val="subscript"/>
        </w:rPr>
      </w:pPr>
      <w:r>
        <w:t>J</w:t>
      </w:r>
      <w:r>
        <w:rPr>
          <w:vertAlign w:val="subscript"/>
        </w:rPr>
        <w:t>X</w:t>
      </w:r>
      <w:r>
        <w:rPr>
          <w:rFonts w:hint="eastAsia"/>
        </w:rPr>
        <w:t>=</w:t>
      </w:r>
      <w:r>
        <w:t>E</w:t>
      </w:r>
      <w:r>
        <w:rPr>
          <w:vertAlign w:val="subscript"/>
        </w:rPr>
        <w:t>i</w:t>
      </w:r>
      <w:r>
        <w:t>/E</w:t>
      </w:r>
      <w:r>
        <w:rPr>
          <w:vertAlign w:val="subscript"/>
        </w:rPr>
        <w:t>Z</w:t>
      </w:r>
    </w:p>
    <w:p>
      <w:r>
        <w:t>式中；E</w:t>
      </w:r>
      <w:r>
        <w:rPr>
          <w:vertAlign w:val="subscript"/>
        </w:rPr>
        <w:t>i</w:t>
      </w:r>
      <w:r>
        <w:t>——每年环保措施挽回的经济效益，万元</w:t>
      </w:r>
    </w:p>
    <w:p>
      <w:r>
        <w:t xml:space="preserve">      E</w:t>
      </w:r>
      <w:r>
        <w:rPr>
          <w:vertAlign w:val="subscript"/>
        </w:rPr>
        <w:t>Z</w:t>
      </w:r>
      <w:r>
        <w:t>——年环保费用，万元</w:t>
      </w:r>
    </w:p>
    <w:p>
      <w:r>
        <w:rPr>
          <w:rFonts w:hint="eastAsia"/>
        </w:rPr>
        <w:t>本</w:t>
      </w:r>
      <w:r>
        <w:t>项目每年环境经济效益为</w:t>
      </w:r>
      <w:r>
        <w:rPr>
          <w:rFonts w:hint="eastAsia"/>
        </w:rPr>
        <w:t>600</w:t>
      </w:r>
      <w:r>
        <w:t>万元，年环保费用为</w:t>
      </w:r>
      <w:r>
        <w:rPr>
          <w:rFonts w:hint="eastAsia"/>
        </w:rPr>
        <w:t>12.9</w:t>
      </w:r>
      <w:r>
        <w:t>万元，则环境经济效益系数为</w:t>
      </w:r>
      <w:r>
        <w:rPr>
          <w:rFonts w:hint="eastAsia"/>
        </w:rPr>
        <w:t>46.5：1</w:t>
      </w:r>
      <w:r>
        <w:t>。</w:t>
      </w:r>
    </w:p>
    <w:p>
      <w:pPr>
        <w:keepNext/>
        <w:keepLines/>
        <w:ind w:firstLine="0" w:firstLineChars="0"/>
        <w:outlineLvl w:val="2"/>
        <w:rPr>
          <w:rFonts w:eastAsia="楷体_GB2312"/>
          <w:b/>
          <w:bCs/>
          <w:szCs w:val="32"/>
          <w:lang w:val="zh-CN"/>
        </w:rPr>
      </w:pPr>
      <w:r>
        <w:rPr>
          <w:rFonts w:hint="eastAsia" w:eastAsia="楷体_GB2312"/>
          <w:b/>
          <w:bCs/>
          <w:szCs w:val="32"/>
        </w:rPr>
        <w:t>9</w:t>
      </w:r>
      <w:r>
        <w:rPr>
          <w:rFonts w:hint="eastAsia" w:eastAsia="楷体_GB2312"/>
          <w:b/>
          <w:bCs/>
          <w:szCs w:val="32"/>
          <w:lang w:val="zh-CN"/>
        </w:rPr>
        <w:t>.2.7工程环境效益综述</w:t>
      </w:r>
    </w:p>
    <w:p>
      <w:pPr>
        <w:spacing w:line="540" w:lineRule="exact"/>
      </w:pPr>
      <w:r>
        <w:rPr>
          <w:kern w:val="0"/>
          <w:szCs w:val="28"/>
        </w:rPr>
        <w:t>本项目的环境效益主要体现在环保投资</w:t>
      </w:r>
      <w:r>
        <w:rPr>
          <w:rFonts w:hint="eastAsia"/>
          <w:kern w:val="0"/>
          <w:szCs w:val="28"/>
        </w:rPr>
        <w:t>减轻项目对环境的影响程度，</w:t>
      </w:r>
      <w:r>
        <w:rPr>
          <w:kern w:val="0"/>
          <w:szCs w:val="28"/>
        </w:rPr>
        <w:t>针对本项目以</w:t>
      </w:r>
      <w:r>
        <w:rPr>
          <w:rFonts w:hint="eastAsia"/>
          <w:kern w:val="0"/>
          <w:szCs w:val="28"/>
        </w:rPr>
        <w:t>挥发性有机物</w:t>
      </w:r>
      <w:r>
        <w:rPr>
          <w:kern w:val="0"/>
          <w:szCs w:val="28"/>
        </w:rPr>
        <w:t>排放为主的特点，</w:t>
      </w:r>
      <w:r>
        <w:rPr>
          <w:rFonts w:hint="eastAsia"/>
          <w:kern w:val="0"/>
          <w:szCs w:val="28"/>
        </w:rPr>
        <w:t>建设单位</w:t>
      </w:r>
      <w:r>
        <w:rPr>
          <w:kern w:val="0"/>
          <w:szCs w:val="28"/>
        </w:rPr>
        <w:t>采用</w:t>
      </w:r>
      <w:r>
        <w:rPr>
          <w:rFonts w:hint="eastAsia"/>
          <w:kern w:val="0"/>
          <w:szCs w:val="28"/>
        </w:rPr>
        <w:t>了尾气洗涤塔、活性炭吸附</w:t>
      </w:r>
      <w:r>
        <w:rPr>
          <w:kern w:val="0"/>
          <w:szCs w:val="28"/>
        </w:rPr>
        <w:t>等</w:t>
      </w:r>
      <w:r>
        <w:rPr>
          <w:rFonts w:hint="eastAsia"/>
          <w:kern w:val="0"/>
          <w:szCs w:val="28"/>
        </w:rPr>
        <w:t>双重</w:t>
      </w:r>
      <w:r>
        <w:rPr>
          <w:kern w:val="0"/>
          <w:szCs w:val="28"/>
        </w:rPr>
        <w:t>废气治理措施</w:t>
      </w:r>
      <w:r>
        <w:rPr>
          <w:rFonts w:hint="eastAsia"/>
          <w:kern w:val="0"/>
          <w:szCs w:val="28"/>
        </w:rPr>
        <w:t>，确保挥发性有机物</w:t>
      </w:r>
      <w:r>
        <w:rPr>
          <w:kern w:val="0"/>
          <w:szCs w:val="28"/>
        </w:rPr>
        <w:t>稳定达标排放。同时</w:t>
      </w:r>
      <w:r>
        <w:rPr>
          <w:rFonts w:hint="eastAsia"/>
          <w:kern w:val="0"/>
          <w:szCs w:val="28"/>
        </w:rPr>
        <w:t>，</w:t>
      </w:r>
      <w:r>
        <w:rPr>
          <w:rFonts w:hint="eastAsia"/>
        </w:rPr>
        <w:t>本项目充分考虑了废水的重复利用，水的重复利用率高。</w:t>
      </w:r>
    </w:p>
    <w:p>
      <w:pPr>
        <w:autoSpaceDE w:val="0"/>
        <w:autoSpaceDN w:val="0"/>
        <w:adjustRightInd w:val="0"/>
        <w:snapToGrid w:val="0"/>
        <w:spacing w:line="540" w:lineRule="exact"/>
        <w:rPr>
          <w:kern w:val="0"/>
          <w:szCs w:val="28"/>
        </w:rPr>
      </w:pPr>
      <w:r>
        <w:rPr>
          <w:kern w:val="0"/>
          <w:szCs w:val="28"/>
        </w:rPr>
        <w:t>经计算</w:t>
      </w:r>
      <w:r>
        <w:rPr>
          <w:rFonts w:hint="eastAsia"/>
          <w:kern w:val="0"/>
          <w:szCs w:val="28"/>
        </w:rPr>
        <w:t>：</w:t>
      </w:r>
    </w:p>
    <w:p>
      <w:pPr>
        <w:pStyle w:val="7"/>
        <w:rPr>
          <w:color w:val="auto"/>
        </w:rPr>
      </w:pPr>
      <w:r>
        <w:rPr>
          <w:color w:val="auto"/>
        </w:rPr>
        <w:t>本项目环保投资比例系数Hz为</w:t>
      </w:r>
      <w:r>
        <w:rPr>
          <w:rFonts w:hint="eastAsia"/>
          <w:color w:val="auto"/>
        </w:rPr>
        <w:t>12.9%，表示</w:t>
      </w:r>
      <w:r>
        <w:rPr>
          <w:color w:val="auto"/>
        </w:rPr>
        <w:t>环保投资占工程计划总投资的</w:t>
      </w:r>
      <w:r>
        <w:rPr>
          <w:rFonts w:hint="eastAsia"/>
          <w:color w:val="auto"/>
          <w:szCs w:val="28"/>
        </w:rPr>
        <w:t>12.9</w:t>
      </w:r>
      <w:r>
        <w:rPr>
          <w:rFonts w:hint="eastAsia"/>
          <w:color w:val="auto"/>
        </w:rPr>
        <w:t>%；</w:t>
      </w:r>
    </w:p>
    <w:p>
      <w:pPr>
        <w:pStyle w:val="7"/>
        <w:rPr>
          <w:color w:val="auto"/>
        </w:rPr>
      </w:pPr>
      <w:r>
        <w:rPr>
          <w:color w:val="auto"/>
        </w:rPr>
        <w:t>产值环境系数为</w:t>
      </w:r>
      <w:r>
        <w:rPr>
          <w:rFonts w:hint="eastAsia"/>
          <w:color w:val="auto"/>
        </w:rPr>
        <w:t>0.258</w:t>
      </w:r>
      <w:r>
        <w:rPr>
          <w:color w:val="auto"/>
        </w:rPr>
        <w:t>%，表示万元产值环保费用为</w:t>
      </w:r>
      <w:r>
        <w:rPr>
          <w:rFonts w:hint="eastAsia"/>
          <w:color w:val="auto"/>
        </w:rPr>
        <w:t>25.8元；</w:t>
      </w:r>
    </w:p>
    <w:p>
      <w:pPr>
        <w:pStyle w:val="7"/>
        <w:rPr>
          <w:color w:val="auto"/>
        </w:rPr>
      </w:pPr>
      <w:r>
        <w:rPr>
          <w:color w:val="auto"/>
        </w:rPr>
        <w:t>环境经济效益系数JX为</w:t>
      </w:r>
      <w:r>
        <w:rPr>
          <w:rFonts w:hint="eastAsia"/>
          <w:color w:val="auto"/>
        </w:rPr>
        <w:t>46.5：1，表示每投入1元环保投资可挽回46.5元环境价值。</w:t>
      </w:r>
    </w:p>
    <w:p>
      <w:pPr>
        <w:autoSpaceDE w:val="0"/>
        <w:autoSpaceDN w:val="0"/>
        <w:adjustRightInd w:val="0"/>
        <w:snapToGrid w:val="0"/>
        <w:spacing w:line="540" w:lineRule="exact"/>
        <w:rPr>
          <w:kern w:val="0"/>
          <w:szCs w:val="28"/>
        </w:rPr>
      </w:pPr>
      <w:r>
        <w:rPr>
          <w:kern w:val="0"/>
          <w:szCs w:val="28"/>
        </w:rPr>
        <w:t>综上所述</w:t>
      </w:r>
      <w:r>
        <w:rPr>
          <w:rFonts w:hint="eastAsia"/>
          <w:kern w:val="0"/>
          <w:szCs w:val="28"/>
        </w:rPr>
        <w:t>，本项目</w:t>
      </w:r>
      <w:r>
        <w:rPr>
          <w:kern w:val="0"/>
          <w:szCs w:val="28"/>
        </w:rPr>
        <w:t>进行废气、</w:t>
      </w:r>
      <w:r>
        <w:rPr>
          <w:rFonts w:hint="eastAsia"/>
          <w:kern w:val="0"/>
          <w:szCs w:val="28"/>
        </w:rPr>
        <w:t>固废、</w:t>
      </w:r>
      <w:r>
        <w:rPr>
          <w:kern w:val="0"/>
          <w:szCs w:val="28"/>
        </w:rPr>
        <w:t>废水治理，减轻了污染物进入环境的污染负荷；</w:t>
      </w:r>
      <w:r>
        <w:rPr>
          <w:rFonts w:hint="eastAsia"/>
          <w:kern w:val="0"/>
          <w:szCs w:val="28"/>
        </w:rPr>
        <w:t>更重要的是本项目有助于提高农作物秸杆的资源综合利用效率，具有较大的环境效益</w:t>
      </w:r>
      <w:r>
        <w:rPr>
          <w:kern w:val="0"/>
          <w:szCs w:val="28"/>
        </w:rPr>
        <w:t>。</w:t>
      </w:r>
    </w:p>
    <w:p>
      <w:pPr>
        <w:keepNext/>
        <w:keepLines/>
        <w:ind w:firstLine="0" w:firstLineChars="0"/>
        <w:outlineLvl w:val="1"/>
        <w:rPr>
          <w:rFonts w:eastAsia="黑体"/>
          <w:b/>
          <w:szCs w:val="28"/>
          <w:lang w:val="zh-CN"/>
        </w:rPr>
      </w:pPr>
      <w:r>
        <w:rPr>
          <w:rFonts w:hint="eastAsia" w:eastAsia="黑体"/>
          <w:b/>
          <w:szCs w:val="28"/>
        </w:rPr>
        <w:t>9</w:t>
      </w:r>
      <w:r>
        <w:rPr>
          <w:rFonts w:hint="eastAsia" w:eastAsia="黑体"/>
          <w:b/>
          <w:szCs w:val="28"/>
          <w:lang w:val="zh-CN"/>
        </w:rPr>
        <w:t>.3</w:t>
      </w:r>
      <w:r>
        <w:rPr>
          <w:rFonts w:eastAsia="黑体"/>
          <w:b/>
          <w:szCs w:val="28"/>
          <w:lang w:val="zh-CN"/>
        </w:rPr>
        <w:t>工程社会效益分析</w:t>
      </w:r>
    </w:p>
    <w:p>
      <w:pPr>
        <w:autoSpaceDE w:val="0"/>
        <w:autoSpaceDN w:val="0"/>
        <w:adjustRightInd w:val="0"/>
        <w:snapToGrid w:val="0"/>
        <w:spacing w:line="540" w:lineRule="exact"/>
        <w:rPr>
          <w:kern w:val="0"/>
          <w:szCs w:val="28"/>
        </w:rPr>
      </w:pPr>
      <w:r>
        <w:rPr>
          <w:rFonts w:hint="eastAsia"/>
          <w:kern w:val="0"/>
          <w:szCs w:val="28"/>
        </w:rPr>
        <w:t>在项目持续运营的条件下，本项目</w:t>
      </w:r>
      <w:r>
        <w:rPr>
          <w:kern w:val="0"/>
          <w:szCs w:val="28"/>
        </w:rPr>
        <w:t>社会效益主要体现在以下方面：</w:t>
      </w:r>
    </w:p>
    <w:p>
      <w:pPr>
        <w:spacing w:line="540" w:lineRule="exact"/>
        <w:ind w:firstLine="319" w:firstLineChars="152"/>
      </w:pPr>
      <w:r>
        <w:t>（</w:t>
      </w:r>
      <w:r>
        <w:rPr>
          <w:rFonts w:hint="eastAsia"/>
        </w:rPr>
        <w:t>1</w:t>
      </w:r>
      <w:r>
        <w:t>）能够增加国家和地方财政收入，带动地方经济发展，工程建成达产后，</w:t>
      </w:r>
      <w:r>
        <w:rPr>
          <w:rFonts w:hint="eastAsia"/>
        </w:rPr>
        <w:t>预计</w:t>
      </w:r>
      <w:r>
        <w:t>上交利税</w:t>
      </w:r>
      <w:r>
        <w:rPr>
          <w:rFonts w:hint="eastAsia"/>
        </w:rPr>
        <w:t>875</w:t>
      </w:r>
      <w:r>
        <w:t>万元</w:t>
      </w:r>
      <w:r>
        <w:rPr>
          <w:rFonts w:hint="eastAsia"/>
        </w:rPr>
        <w:t>/年</w:t>
      </w:r>
      <w:r>
        <w:t>，企业</w:t>
      </w:r>
      <w:r>
        <w:rPr>
          <w:rFonts w:hint="eastAsia"/>
        </w:rPr>
        <w:t>所得税后利润</w:t>
      </w:r>
      <w:r>
        <w:rPr>
          <w:rFonts w:hint="eastAsia"/>
          <w:szCs w:val="22"/>
        </w:rPr>
        <w:t>2625</w:t>
      </w:r>
      <w:r>
        <w:t>万元</w:t>
      </w:r>
      <w:r>
        <w:rPr>
          <w:rFonts w:hint="eastAsia"/>
        </w:rPr>
        <w:t>/年</w:t>
      </w:r>
      <w:r>
        <w:t>。</w:t>
      </w:r>
    </w:p>
    <w:p>
      <w:pPr>
        <w:autoSpaceDE w:val="0"/>
        <w:autoSpaceDN w:val="0"/>
        <w:adjustRightInd w:val="0"/>
        <w:snapToGrid w:val="0"/>
        <w:spacing w:line="540" w:lineRule="exact"/>
        <w:ind w:firstLine="319" w:firstLineChars="152"/>
        <w:rPr>
          <w:kern w:val="0"/>
          <w:szCs w:val="28"/>
        </w:rPr>
      </w:pPr>
      <w:r>
        <w:rPr>
          <w:kern w:val="0"/>
          <w:szCs w:val="28"/>
        </w:rPr>
        <w:t>（</w:t>
      </w:r>
      <w:r>
        <w:rPr>
          <w:rFonts w:hint="eastAsia"/>
          <w:kern w:val="0"/>
          <w:szCs w:val="28"/>
        </w:rPr>
        <w:t>2</w:t>
      </w:r>
      <w:r>
        <w:rPr>
          <w:kern w:val="0"/>
          <w:szCs w:val="28"/>
        </w:rPr>
        <w:t>）本项目的建设和运行，</w:t>
      </w:r>
      <w:r>
        <w:rPr>
          <w:rFonts w:hint="eastAsia"/>
          <w:kern w:val="0"/>
          <w:szCs w:val="28"/>
        </w:rPr>
        <w:t>可提高区域循环经济发展水平，提升</w:t>
      </w:r>
      <w:r>
        <w:rPr>
          <w:kern w:val="0"/>
          <w:szCs w:val="28"/>
        </w:rPr>
        <w:t>周边地区的经济</w:t>
      </w:r>
      <w:r>
        <w:rPr>
          <w:rFonts w:hint="eastAsia"/>
          <w:kern w:val="0"/>
          <w:szCs w:val="28"/>
        </w:rPr>
        <w:t>环境</w:t>
      </w:r>
      <w:r>
        <w:rPr>
          <w:kern w:val="0"/>
          <w:szCs w:val="28"/>
        </w:rPr>
        <w:t>，为地方发展带来新的契机。</w:t>
      </w:r>
    </w:p>
    <w:p>
      <w:pPr>
        <w:autoSpaceDE w:val="0"/>
        <w:autoSpaceDN w:val="0"/>
        <w:adjustRightInd w:val="0"/>
        <w:snapToGrid w:val="0"/>
        <w:spacing w:line="540" w:lineRule="exact"/>
        <w:ind w:firstLine="319" w:firstLineChars="152"/>
        <w:rPr>
          <w:kern w:val="0"/>
          <w:szCs w:val="28"/>
        </w:rPr>
      </w:pPr>
      <w:r>
        <w:rPr>
          <w:rFonts w:hint="eastAsia"/>
          <w:kern w:val="0"/>
          <w:szCs w:val="28"/>
        </w:rPr>
        <w:t>（</w:t>
      </w:r>
      <w:r>
        <w:rPr>
          <w:kern w:val="0"/>
          <w:szCs w:val="28"/>
        </w:rPr>
        <w:t>3）</w:t>
      </w:r>
      <w:r>
        <w:rPr>
          <w:rFonts w:hint="eastAsia"/>
          <w:kern w:val="0"/>
          <w:szCs w:val="28"/>
        </w:rPr>
        <w:t>本项</w:t>
      </w:r>
      <w:r>
        <w:rPr>
          <w:kern w:val="0"/>
          <w:szCs w:val="28"/>
        </w:rPr>
        <w:t>对推动河南</w:t>
      </w:r>
      <w:r>
        <w:rPr>
          <w:rFonts w:hint="eastAsia"/>
          <w:kern w:val="0"/>
          <w:szCs w:val="28"/>
        </w:rPr>
        <w:t>省固体废物综合利用水平和循环经济发展水平</w:t>
      </w:r>
      <w:r>
        <w:rPr>
          <w:kern w:val="0"/>
          <w:szCs w:val="28"/>
        </w:rPr>
        <w:t>具有一定意义。</w:t>
      </w:r>
    </w:p>
    <w:p>
      <w:pPr>
        <w:ind w:left="560" w:firstLine="0" w:firstLineChars="0"/>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3"/>
      </w:pPr>
      <w:bookmarkStart w:id="284" w:name="_Toc9136"/>
      <w:bookmarkStart w:id="285" w:name="_Toc18897675"/>
      <w:r>
        <w:t>环境管理及监控计划</w:t>
      </w:r>
      <w:bookmarkEnd w:id="284"/>
      <w:bookmarkEnd w:id="285"/>
    </w:p>
    <w:p>
      <w:bookmarkStart w:id="286" w:name="_Toc18897676"/>
      <w:r>
        <w:rPr>
          <w:rFonts w:hint="eastAsia"/>
          <w:szCs w:val="21"/>
        </w:rPr>
        <w:t>本项目为</w:t>
      </w:r>
      <w:r>
        <w:rPr>
          <w:szCs w:val="21"/>
        </w:rPr>
        <w:t>中试项目</w:t>
      </w:r>
      <w:r>
        <w:rPr>
          <w:rFonts w:hint="eastAsia"/>
          <w:szCs w:val="21"/>
        </w:rPr>
        <w:t>，目的是为了</w:t>
      </w:r>
      <w:r>
        <w:rPr>
          <w:kern w:val="0"/>
          <w:szCs w:val="28"/>
        </w:rPr>
        <w:t>发现和解决中试过程中出现的工业放大问题，得到用于工业化生产的试验数据。</w:t>
      </w:r>
      <w:r>
        <w:rPr>
          <w:szCs w:val="21"/>
        </w:rPr>
        <w:t>中试项目的结束时间以系统优化试验完成为准，预计在2022年6月前完成</w:t>
      </w:r>
      <w:r>
        <w:rPr>
          <w:rFonts w:hint="eastAsia"/>
          <w:szCs w:val="21"/>
        </w:rPr>
        <w:t>。</w:t>
      </w:r>
      <w:r>
        <w:rPr>
          <w:szCs w:val="21"/>
        </w:rPr>
        <w:t>中试结束后依据试验优化的需求决定是否拆除该中试装置。</w:t>
      </w:r>
      <w:r>
        <w:rPr>
          <w:rFonts w:hint="eastAsia"/>
          <w:szCs w:val="21"/>
        </w:rPr>
        <w:t>如果中试结束后，决定拆除该中试装置，则不必再制定运营期管理及监控计划。出于长远考虑的目的，本次评价以中试结束后不拆除该中试装置为前提条件提出该项目运营期管理及监控计划建议。</w:t>
      </w:r>
    </w:p>
    <w:p>
      <w:r>
        <w:t>环境管理是企业日常管理中的重要环节之一。拟建项目在施工期和运营期将不可避免会对周围环境产生一定的影响，建设单位应加强环境管理，同时定期进行环境监测，以便及时了解工程在不同时期的环境影响，采取相应措施，消除不利因素，减轻环境污染，以实现预定的各项环保目标，从而提高企业的管理水平和改善区域环境质量，使企业得以健康持续发展。</w:t>
      </w:r>
    </w:p>
    <w:p>
      <w:pPr>
        <w:pStyle w:val="4"/>
      </w:pPr>
      <w:r>
        <w:t>环境管理</w:t>
      </w:r>
    </w:p>
    <w:p>
      <w:pPr>
        <w:pStyle w:val="5"/>
      </w:pPr>
      <w:r>
        <w:t>环境管理组织机构设置</w:t>
      </w:r>
    </w:p>
    <w:p>
      <w:r>
        <w:t>本项目为河南省中原大化集团有限责任公司新建</w:t>
      </w:r>
      <w:r>
        <w:rPr>
          <w:rFonts w:hint="eastAsia"/>
        </w:rPr>
        <w:t>的中试装置，全部劳动定员仅10人，主要原辅材料及废气、废水处理均依托</w:t>
      </w:r>
      <w:r>
        <w:t>中原大化甲醇项目。</w:t>
      </w:r>
      <w:r>
        <w:rPr>
          <w:rFonts w:hint="eastAsia"/>
        </w:rPr>
        <w:t>因此环评</w:t>
      </w:r>
      <w:r>
        <w:t>建议</w:t>
      </w:r>
      <w:r>
        <w:rPr>
          <w:rFonts w:hint="eastAsia"/>
        </w:rPr>
        <w:t>该中试项目</w:t>
      </w:r>
      <w:r>
        <w:t>环境保护管理和环境监测机构</w:t>
      </w:r>
      <w:r>
        <w:rPr>
          <w:rFonts w:hint="eastAsia"/>
        </w:rPr>
        <w:t>均依托</w:t>
      </w:r>
      <w:r>
        <w:t>河南省中原大化集团有限责任公司</w:t>
      </w:r>
      <w:r>
        <w:rPr>
          <w:rFonts w:hint="eastAsia"/>
        </w:rPr>
        <w:t>现有的组织机构，将本项目视作现有工程的一个车间（或班组），在本项目内部建立</w:t>
      </w:r>
      <w:r>
        <w:t>车间负责人</w:t>
      </w:r>
      <w:r>
        <w:rPr>
          <w:rFonts w:hint="eastAsia"/>
        </w:rPr>
        <w:t>、</w:t>
      </w:r>
      <w:r>
        <w:t>车间环保员组成的</w:t>
      </w:r>
      <w:r>
        <w:rPr>
          <w:rFonts w:hint="eastAsia"/>
        </w:rPr>
        <w:t>车间环保机构</w:t>
      </w:r>
      <w:r>
        <w:t>，定期</w:t>
      </w:r>
      <w:r>
        <w:rPr>
          <w:rFonts w:hint="eastAsia"/>
        </w:rPr>
        <w:t>或</w:t>
      </w:r>
      <w:r>
        <w:t>不定期召开环保情况报告会</w:t>
      </w:r>
      <w:r>
        <w:rPr>
          <w:rFonts w:hint="eastAsia"/>
        </w:rPr>
        <w:t>、</w:t>
      </w:r>
      <w:r>
        <w:t>专题会议，解决</w:t>
      </w:r>
      <w:r>
        <w:rPr>
          <w:rFonts w:hint="eastAsia"/>
        </w:rPr>
        <w:t>本项目</w:t>
      </w:r>
      <w:r>
        <w:t>的环境问题。</w:t>
      </w:r>
      <w:r>
        <w:rPr>
          <w:rFonts w:hint="eastAsia"/>
        </w:rPr>
        <w:t>对车间难以解决的问题，应及时上报上级部门。</w:t>
      </w:r>
    </w:p>
    <w:p>
      <w:pPr>
        <w:pStyle w:val="14"/>
      </w:pPr>
      <w:r>
        <w:t>河南省中原大化集团有限责任公司配备</w:t>
      </w:r>
      <w:r>
        <w:rPr>
          <w:rFonts w:hint="eastAsia"/>
        </w:rPr>
        <w:t>有</w:t>
      </w:r>
      <w:r>
        <w:t>环保专业技术人员，</w:t>
      </w:r>
      <w:r>
        <w:rPr>
          <w:rFonts w:hint="eastAsia"/>
        </w:rPr>
        <w:t>人员数量、结构相对稳定，并</w:t>
      </w:r>
      <w:r>
        <w:t>设置</w:t>
      </w:r>
      <w:r>
        <w:rPr>
          <w:rFonts w:hint="eastAsia"/>
        </w:rPr>
        <w:t>有专门的环境保护管理机构</w:t>
      </w:r>
      <w:r>
        <w:t>。企业</w:t>
      </w:r>
      <w:r>
        <w:rPr>
          <w:rFonts w:hint="eastAsia"/>
        </w:rPr>
        <w:t>设置有化验室，</w:t>
      </w:r>
      <w:r>
        <w:t>能够监测主要污染物和特征污染物。</w:t>
      </w:r>
      <w:r>
        <w:rPr>
          <w:rFonts w:hint="eastAsia"/>
        </w:rPr>
        <w:t>对于不具备检测资质、能力的污染因子，企业应委托第三方机构开展相关检测。</w:t>
      </w:r>
    </w:p>
    <w:p>
      <w:pPr>
        <w:pStyle w:val="5"/>
      </w:pPr>
      <w:r>
        <w:t>环境管理组织机构职能</w:t>
      </w:r>
    </w:p>
    <w:p>
      <w:pPr>
        <w:pStyle w:val="14"/>
      </w:pPr>
      <w:r>
        <w:t>环境管理机构</w:t>
      </w:r>
      <w:r>
        <w:rPr>
          <w:rFonts w:hint="eastAsia"/>
        </w:rPr>
        <w:t>的主要</w:t>
      </w:r>
      <w:r>
        <w:t>职能包括施工期管理、竣工验收管理及运行期管理</w:t>
      </w:r>
      <w:r>
        <w:rPr>
          <w:rFonts w:hint="eastAsia"/>
        </w:rPr>
        <w:t>、</w:t>
      </w:r>
      <w:r>
        <w:t>清洁生产管理</w:t>
      </w:r>
      <w:r>
        <w:rPr>
          <w:rFonts w:hint="eastAsia"/>
        </w:rPr>
        <w:t>等</w:t>
      </w:r>
      <w:r>
        <w:t>，具体可见</w:t>
      </w:r>
      <w:r>
        <w:rPr>
          <w:rFonts w:hint="eastAsia"/>
        </w:rPr>
        <w:t>表10.1-1</w:t>
      </w:r>
      <w:r>
        <w:t>。</w:t>
      </w:r>
    </w:p>
    <w:p>
      <w:pPr>
        <w:pStyle w:val="76"/>
        <w:ind w:firstLine="482"/>
      </w:pPr>
      <w:r>
        <w:rPr>
          <w:rFonts w:hint="eastAsia"/>
        </w:rPr>
        <w:t>表10.1-1</w:t>
      </w:r>
      <w:r>
        <w:t xml:space="preserve"> </w:t>
      </w:r>
      <w:r>
        <w:rPr>
          <w:rFonts w:hint="eastAsia"/>
        </w:rPr>
        <w:t xml:space="preserve">                </w:t>
      </w:r>
      <w:r>
        <w:t xml:space="preserve"> 环境管理机构职能</w:t>
      </w:r>
    </w:p>
    <w:tbl>
      <w:tblPr>
        <w:tblStyle w:val="21"/>
        <w:tblW w:w="9174" w:type="dxa"/>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13"/>
        <w:gridCol w:w="8161"/>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tblHeader/>
        </w:trPr>
        <w:tc>
          <w:tcPr>
            <w:tcW w:w="1013" w:type="dxa"/>
            <w:tcBorders>
              <w:bottom w:val="single" w:color="auto" w:sz="6" w:space="0"/>
            </w:tcBorders>
            <w:vAlign w:val="center"/>
          </w:tcPr>
          <w:p>
            <w:pPr>
              <w:pStyle w:val="36"/>
              <w:spacing w:line="240" w:lineRule="auto"/>
              <w:rPr>
                <w:b/>
                <w:bCs/>
                <w:color w:val="auto"/>
              </w:rPr>
            </w:pPr>
            <w:r>
              <w:rPr>
                <w:b/>
                <w:bCs/>
                <w:color w:val="auto"/>
              </w:rPr>
              <w:t>项  目</w:t>
            </w:r>
          </w:p>
        </w:tc>
        <w:tc>
          <w:tcPr>
            <w:tcW w:w="8161" w:type="dxa"/>
            <w:tcBorders>
              <w:bottom w:val="single" w:color="auto" w:sz="6" w:space="0"/>
            </w:tcBorders>
            <w:vAlign w:val="center"/>
          </w:tcPr>
          <w:p>
            <w:pPr>
              <w:pStyle w:val="36"/>
              <w:spacing w:line="240" w:lineRule="auto"/>
              <w:rPr>
                <w:b/>
                <w:bCs/>
                <w:color w:val="auto"/>
              </w:rPr>
            </w:pPr>
            <w:r>
              <w:rPr>
                <w:b/>
                <w:bCs/>
                <w:color w:val="auto"/>
              </w:rPr>
              <w:t>管    理    职    能</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6" w:hRule="atLeast"/>
        </w:trPr>
        <w:tc>
          <w:tcPr>
            <w:tcW w:w="1013" w:type="dxa"/>
            <w:tcBorders>
              <w:top w:val="single" w:color="auto" w:sz="6" w:space="0"/>
              <w:bottom w:val="single" w:color="auto" w:sz="6" w:space="0"/>
            </w:tcBorders>
            <w:vAlign w:val="center"/>
          </w:tcPr>
          <w:p>
            <w:pPr>
              <w:pStyle w:val="36"/>
              <w:spacing w:line="240" w:lineRule="auto"/>
              <w:rPr>
                <w:color w:val="auto"/>
              </w:rPr>
            </w:pPr>
            <w:r>
              <w:rPr>
                <w:color w:val="auto"/>
              </w:rPr>
              <w:t>施工期</w:t>
            </w:r>
          </w:p>
          <w:p>
            <w:pPr>
              <w:pStyle w:val="36"/>
              <w:spacing w:line="240" w:lineRule="auto"/>
              <w:rPr>
                <w:color w:val="auto"/>
              </w:rPr>
            </w:pPr>
            <w:r>
              <w:rPr>
                <w:color w:val="auto"/>
              </w:rPr>
              <w:t>管理</w:t>
            </w:r>
          </w:p>
        </w:tc>
        <w:tc>
          <w:tcPr>
            <w:tcW w:w="8161" w:type="dxa"/>
            <w:tcBorders>
              <w:top w:val="single" w:color="auto" w:sz="6" w:space="0"/>
              <w:bottom w:val="single" w:color="auto" w:sz="6" w:space="0"/>
            </w:tcBorders>
            <w:vAlign w:val="center"/>
          </w:tcPr>
          <w:p>
            <w:pPr>
              <w:pStyle w:val="36"/>
              <w:spacing w:line="300" w:lineRule="exact"/>
              <w:jc w:val="both"/>
              <w:rPr>
                <w:color w:val="auto"/>
              </w:rPr>
            </w:pPr>
            <w:r>
              <w:rPr>
                <w:color w:val="auto"/>
              </w:rPr>
              <w:t>▪ 监督环保设施建设“三同时”制度；</w:t>
            </w:r>
          </w:p>
          <w:p>
            <w:pPr>
              <w:pStyle w:val="36"/>
              <w:spacing w:line="300" w:lineRule="exact"/>
              <w:jc w:val="both"/>
              <w:rPr>
                <w:color w:val="auto"/>
              </w:rPr>
            </w:pPr>
            <w:r>
              <w:rPr>
                <w:color w:val="auto"/>
              </w:rPr>
              <w:t>▪ 按报告书提出的环保措施和建议，制订施工期环保工程实施计划和管理办法；</w:t>
            </w:r>
          </w:p>
          <w:p>
            <w:pPr>
              <w:pStyle w:val="36"/>
              <w:spacing w:line="300" w:lineRule="exact"/>
              <w:jc w:val="both"/>
              <w:rPr>
                <w:color w:val="auto"/>
              </w:rPr>
            </w:pPr>
            <w:r>
              <w:rPr>
                <w:color w:val="auto"/>
              </w:rPr>
              <w:t>▪ 监督环保措施的执行情况，检查和纠正施工中对环保不利的行为</w:t>
            </w:r>
            <w:r>
              <w:rPr>
                <w:rFonts w:hint="eastAsia"/>
                <w:color w:val="auto"/>
              </w:rPr>
              <w:t>；</w:t>
            </w:r>
          </w:p>
          <w:p>
            <w:pPr>
              <w:pStyle w:val="36"/>
              <w:spacing w:line="300" w:lineRule="exact"/>
              <w:jc w:val="both"/>
              <w:rPr>
                <w:color w:val="auto"/>
              </w:rPr>
            </w:pPr>
            <w:r>
              <w:rPr>
                <w:rFonts w:eastAsia="微软雅黑"/>
                <w:color w:val="auto"/>
              </w:rPr>
              <w:t>▪</w:t>
            </w:r>
            <w:r>
              <w:rPr>
                <w:color w:val="auto"/>
              </w:rPr>
              <w:t xml:space="preserve"> 负责施工中突发性污染事故的处理，并及时上报主管部门和其他有关单位；</w:t>
            </w:r>
          </w:p>
          <w:p>
            <w:pPr>
              <w:pStyle w:val="36"/>
              <w:spacing w:line="300" w:lineRule="exact"/>
              <w:jc w:val="both"/>
              <w:rPr>
                <w:color w:val="auto"/>
              </w:rPr>
            </w:pPr>
            <w:r>
              <w:rPr>
                <w:rFonts w:eastAsia="微软雅黑"/>
                <w:color w:val="auto"/>
              </w:rPr>
              <w:t>▪</w:t>
            </w:r>
            <w:r>
              <w:rPr>
                <w:color w:val="auto"/>
              </w:rPr>
              <w:t xml:space="preserve"> 组织实施施工期环境监测计划，在施工结束后，组织全面检查环保措施落实情况</w:t>
            </w:r>
            <w:r>
              <w:rPr>
                <w:rFonts w:hint="eastAsia"/>
                <w:color w:val="auto"/>
                <w:szCs w:val="22"/>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14" w:hRule="atLeast"/>
        </w:trPr>
        <w:tc>
          <w:tcPr>
            <w:tcW w:w="1013" w:type="dxa"/>
            <w:tcBorders>
              <w:top w:val="single" w:color="auto" w:sz="6" w:space="0"/>
              <w:bottom w:val="single" w:color="auto" w:sz="6" w:space="0"/>
            </w:tcBorders>
            <w:vAlign w:val="center"/>
          </w:tcPr>
          <w:p>
            <w:pPr>
              <w:pStyle w:val="36"/>
              <w:spacing w:line="240" w:lineRule="auto"/>
              <w:rPr>
                <w:color w:val="auto"/>
              </w:rPr>
            </w:pPr>
            <w:r>
              <w:rPr>
                <w:color w:val="auto"/>
              </w:rPr>
              <w:t>竣工验收管理</w:t>
            </w:r>
          </w:p>
        </w:tc>
        <w:tc>
          <w:tcPr>
            <w:tcW w:w="8161" w:type="dxa"/>
            <w:tcBorders>
              <w:top w:val="single" w:color="auto" w:sz="6" w:space="0"/>
              <w:bottom w:val="single" w:color="auto" w:sz="6" w:space="0"/>
            </w:tcBorders>
            <w:vAlign w:val="center"/>
          </w:tcPr>
          <w:p>
            <w:pPr>
              <w:pStyle w:val="36"/>
              <w:spacing w:line="300" w:lineRule="exact"/>
              <w:jc w:val="both"/>
              <w:rPr>
                <w:color w:val="auto"/>
              </w:rPr>
            </w:pPr>
            <w:r>
              <w:rPr>
                <w:rFonts w:eastAsia="微软雅黑"/>
                <w:color w:val="auto"/>
              </w:rPr>
              <w:t xml:space="preserve">▪ </w:t>
            </w:r>
            <w:r>
              <w:rPr>
                <w:color w:val="auto"/>
              </w:rPr>
              <w:t>根据《建设项目环境保护管理条例》、《建设项目竣工环境保护验收</w:t>
            </w:r>
            <w:r>
              <w:rPr>
                <w:rFonts w:hint="eastAsia"/>
                <w:color w:val="auto"/>
              </w:rPr>
              <w:t>暂行</w:t>
            </w:r>
            <w:r>
              <w:rPr>
                <w:color w:val="auto"/>
              </w:rPr>
              <w:t>办法》（</w:t>
            </w:r>
            <w:r>
              <w:rPr>
                <w:rFonts w:hint="eastAsia"/>
                <w:color w:val="auto"/>
              </w:rPr>
              <w:t>国环规环评[2017]4号</w:t>
            </w:r>
            <w:r>
              <w:rPr>
                <w:color w:val="auto"/>
              </w:rPr>
              <w:t>）、《河南省建设项目环境保护条例》及《关于进一步优化建设项目“三同时”管理工作的通知》（豫环文〔2014〕207号）</w:t>
            </w:r>
            <w:r>
              <w:rPr>
                <w:rFonts w:hint="eastAsia"/>
                <w:color w:val="auto"/>
              </w:rPr>
              <w:t>、《建设项目竣工环境保护验收技术指南 污染影响类》</w:t>
            </w:r>
            <w:r>
              <w:rPr>
                <w:color w:val="auto"/>
              </w:rPr>
              <w:t>等</w:t>
            </w:r>
            <w:r>
              <w:rPr>
                <w:rFonts w:hint="eastAsia"/>
                <w:color w:val="auto"/>
              </w:rPr>
              <w:t>文件</w:t>
            </w:r>
            <w:r>
              <w:rPr>
                <w:color w:val="auto"/>
              </w:rPr>
              <w:t>要求</w:t>
            </w:r>
            <w:r>
              <w:rPr>
                <w:rFonts w:hint="eastAsia"/>
                <w:color w:val="auto"/>
              </w:rPr>
              <w:t>，</w:t>
            </w:r>
            <w:r>
              <w:rPr>
                <w:color w:val="auto"/>
              </w:rPr>
              <w:t>需保证</w:t>
            </w:r>
            <w:r>
              <w:rPr>
                <w:rFonts w:hint="eastAsia"/>
                <w:color w:val="auto"/>
              </w:rPr>
              <w:t>建设项目</w:t>
            </w:r>
            <w:r>
              <w:rPr>
                <w:color w:val="auto"/>
              </w:rPr>
              <w:t>环境保护设施已按批准的环境影响评价文件</w:t>
            </w:r>
            <w:r>
              <w:rPr>
                <w:rFonts w:hint="eastAsia"/>
                <w:color w:val="auto"/>
              </w:rPr>
              <w:t>及其批复文件</w:t>
            </w:r>
            <w:r>
              <w:rPr>
                <w:color w:val="auto"/>
              </w:rPr>
              <w:t>的要求建成和落实；</w:t>
            </w:r>
          </w:p>
          <w:p>
            <w:pPr>
              <w:pStyle w:val="36"/>
              <w:spacing w:line="300" w:lineRule="exact"/>
              <w:jc w:val="both"/>
              <w:rPr>
                <w:color w:val="auto"/>
              </w:rPr>
            </w:pPr>
            <w:r>
              <w:rPr>
                <w:rFonts w:eastAsia="微软雅黑"/>
                <w:color w:val="auto"/>
              </w:rPr>
              <w:t xml:space="preserve">▪ </w:t>
            </w:r>
            <w:r>
              <w:rPr>
                <w:color w:val="auto"/>
              </w:rPr>
              <w:t>建设项目</w:t>
            </w:r>
            <w:r>
              <w:rPr>
                <w:rFonts w:hint="eastAsia"/>
                <w:color w:val="auto"/>
              </w:rPr>
              <w:t>竣工后，建设单位应当如实查验、监测、记载建设项目环境保护设施的建设和高度情况，编制验收监测（调查）报告</w:t>
            </w:r>
            <w:r>
              <w:rPr>
                <w:color w:val="auto"/>
              </w:rPr>
              <w:t>；</w:t>
            </w:r>
          </w:p>
          <w:p>
            <w:pPr>
              <w:pStyle w:val="36"/>
              <w:spacing w:line="300" w:lineRule="exact"/>
              <w:jc w:val="both"/>
              <w:rPr>
                <w:color w:val="auto"/>
              </w:rPr>
            </w:pPr>
            <w:r>
              <w:rPr>
                <w:rFonts w:eastAsia="微软雅黑"/>
                <w:color w:val="auto"/>
              </w:rPr>
              <w:t xml:space="preserve">▪ </w:t>
            </w:r>
            <w:r>
              <w:rPr>
                <w:color w:val="auto"/>
              </w:rPr>
              <w:t>环境保护设施安装质量符合国家和有关部门的专业工程验收规范、规程和检验评定标准；</w:t>
            </w:r>
          </w:p>
          <w:p>
            <w:pPr>
              <w:pStyle w:val="36"/>
              <w:spacing w:line="300" w:lineRule="exact"/>
              <w:jc w:val="both"/>
              <w:rPr>
                <w:color w:val="auto"/>
              </w:rPr>
            </w:pPr>
            <w:r>
              <w:rPr>
                <w:rFonts w:eastAsia="微软雅黑"/>
                <w:color w:val="auto"/>
              </w:rPr>
              <w:t xml:space="preserve">▪ </w:t>
            </w:r>
            <w:r>
              <w:rPr>
                <w:color w:val="auto"/>
              </w:rPr>
              <w:t>污染物排放符合环境影响评价文件中提出的污染物排放标准要求</w:t>
            </w:r>
          </w:p>
          <w:p>
            <w:pPr>
              <w:pStyle w:val="36"/>
              <w:spacing w:line="300" w:lineRule="exact"/>
              <w:jc w:val="both"/>
              <w:rPr>
                <w:color w:val="auto"/>
              </w:rPr>
            </w:pPr>
            <w:r>
              <w:rPr>
                <w:rFonts w:eastAsia="微软雅黑"/>
                <w:color w:val="auto"/>
              </w:rPr>
              <w:t xml:space="preserve">▪ </w:t>
            </w:r>
            <w:r>
              <w:rPr>
                <w:color w:val="auto"/>
              </w:rPr>
              <w:t>主要污染物排放总量符合环境影响评价文件中提出的总量控制指标的要求</w:t>
            </w:r>
          </w:p>
          <w:p>
            <w:pPr>
              <w:pStyle w:val="36"/>
              <w:spacing w:line="300" w:lineRule="exact"/>
              <w:jc w:val="both"/>
              <w:rPr>
                <w:color w:val="auto"/>
              </w:rPr>
            </w:pPr>
            <w:r>
              <w:rPr>
                <w:rFonts w:eastAsia="微软雅黑"/>
                <w:color w:val="auto"/>
              </w:rPr>
              <w:t xml:space="preserve">▪ </w:t>
            </w:r>
            <w:r>
              <w:rPr>
                <w:color w:val="auto"/>
              </w:rPr>
              <w:t>环境影响评价文件中提出需对环境保护敏感目标进行环境影响验证，对清洁生产进行指标考核，或者对施工期环境保护措施落实情况进行环境监理的，已按规定要求完成；</w:t>
            </w:r>
          </w:p>
          <w:p>
            <w:pPr>
              <w:pStyle w:val="36"/>
              <w:spacing w:line="300" w:lineRule="exact"/>
              <w:jc w:val="both"/>
              <w:rPr>
                <w:color w:val="auto"/>
                <w:szCs w:val="22"/>
              </w:rPr>
            </w:pPr>
            <w:r>
              <w:rPr>
                <w:rFonts w:eastAsia="微软雅黑"/>
                <w:color w:val="auto"/>
              </w:rPr>
              <w:t>▪</w:t>
            </w:r>
            <w:r>
              <w:rPr>
                <w:rFonts w:hint="eastAsia"/>
                <w:color w:val="auto"/>
                <w:szCs w:val="22"/>
              </w:rPr>
              <w:t xml:space="preserve"> 需要对建设项目配套建设的环境保护设施进行调试的，建设单位应当确保调试期间污染物排放符合国家和地方有关污染物排放标准和排污许可等相关管理规定；</w:t>
            </w:r>
          </w:p>
          <w:p>
            <w:pPr>
              <w:pStyle w:val="36"/>
              <w:spacing w:line="300" w:lineRule="exact"/>
              <w:jc w:val="both"/>
              <w:rPr>
                <w:color w:val="auto"/>
              </w:rPr>
            </w:pPr>
            <w:r>
              <w:rPr>
                <w:rFonts w:hint="eastAsia"/>
                <w:color w:val="auto"/>
                <w:szCs w:val="22"/>
              </w:rPr>
              <w:t>▪ 环境保护设施未与主体工程同时建成的，或者应当取得排污许可证但未取得的，建设单位不得对建设项目环境保护设施进行调试。</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13" w:type="dxa"/>
            <w:tcBorders>
              <w:top w:val="single" w:color="auto" w:sz="6" w:space="0"/>
              <w:bottom w:val="single" w:color="auto" w:sz="6" w:space="0"/>
            </w:tcBorders>
            <w:vAlign w:val="center"/>
          </w:tcPr>
          <w:p>
            <w:pPr>
              <w:pStyle w:val="36"/>
              <w:spacing w:line="240" w:lineRule="auto"/>
              <w:rPr>
                <w:color w:val="auto"/>
              </w:rPr>
            </w:pPr>
            <w:r>
              <w:rPr>
                <w:color w:val="auto"/>
              </w:rPr>
              <w:t>运行期</w:t>
            </w:r>
          </w:p>
          <w:p>
            <w:pPr>
              <w:pStyle w:val="36"/>
              <w:spacing w:line="240" w:lineRule="auto"/>
              <w:rPr>
                <w:color w:val="auto"/>
              </w:rPr>
            </w:pPr>
            <w:r>
              <w:rPr>
                <w:color w:val="auto"/>
              </w:rPr>
              <w:t>管理</w:t>
            </w:r>
          </w:p>
        </w:tc>
        <w:tc>
          <w:tcPr>
            <w:tcW w:w="8161" w:type="dxa"/>
            <w:tcBorders>
              <w:top w:val="single" w:color="auto" w:sz="6" w:space="0"/>
              <w:bottom w:val="single" w:color="auto" w:sz="6" w:space="0"/>
            </w:tcBorders>
            <w:vAlign w:val="center"/>
          </w:tcPr>
          <w:p>
            <w:pPr>
              <w:pStyle w:val="36"/>
              <w:spacing w:line="300" w:lineRule="exact"/>
              <w:jc w:val="both"/>
              <w:rPr>
                <w:color w:val="auto"/>
              </w:rPr>
            </w:pPr>
            <w:r>
              <w:rPr>
                <w:rFonts w:eastAsia="微软雅黑"/>
                <w:color w:val="auto"/>
              </w:rPr>
              <w:t xml:space="preserve">▪ </w:t>
            </w:r>
            <w:r>
              <w:rPr>
                <w:color w:val="auto"/>
              </w:rPr>
              <w:t>制定切实可行的环保管理制度和条例；</w:t>
            </w:r>
          </w:p>
          <w:p>
            <w:pPr>
              <w:pStyle w:val="36"/>
              <w:spacing w:line="300" w:lineRule="exact"/>
              <w:jc w:val="both"/>
              <w:rPr>
                <w:color w:val="auto"/>
              </w:rPr>
            </w:pPr>
            <w:r>
              <w:rPr>
                <w:rFonts w:eastAsia="微软雅黑"/>
                <w:color w:val="auto"/>
              </w:rPr>
              <w:t xml:space="preserve">▪ </w:t>
            </w:r>
            <w:r>
              <w:rPr>
                <w:color w:val="auto"/>
              </w:rPr>
              <w:t>把污染源监督和“三废”排放纳入日常管理工作，并落实到车间、班组和岗位，进行全方位管理；</w:t>
            </w:r>
          </w:p>
          <w:p>
            <w:pPr>
              <w:pStyle w:val="36"/>
              <w:spacing w:line="300" w:lineRule="exact"/>
              <w:jc w:val="both"/>
              <w:rPr>
                <w:color w:val="auto"/>
              </w:rPr>
            </w:pPr>
            <w:r>
              <w:rPr>
                <w:rFonts w:eastAsia="微软雅黑"/>
                <w:color w:val="auto"/>
              </w:rPr>
              <w:t xml:space="preserve">▪ </w:t>
            </w:r>
            <w:r>
              <w:rPr>
                <w:color w:val="auto"/>
              </w:rPr>
              <w:t>领导和检查该公司的环保监测和统计工作，建立环保档案，按时完成各种环保报表。掌握全厂污染动态，提出改善措施；</w:t>
            </w:r>
          </w:p>
          <w:p>
            <w:pPr>
              <w:pStyle w:val="36"/>
              <w:spacing w:line="300" w:lineRule="exact"/>
              <w:jc w:val="both"/>
              <w:rPr>
                <w:color w:val="auto"/>
              </w:rPr>
            </w:pPr>
            <w:r>
              <w:rPr>
                <w:rFonts w:eastAsia="微软雅黑"/>
                <w:color w:val="auto"/>
              </w:rPr>
              <w:t xml:space="preserve">▪ </w:t>
            </w:r>
            <w:r>
              <w:rPr>
                <w:color w:val="auto"/>
              </w:rPr>
              <w:t>检查监督全公司环保设备的运行和维护，保证环保设施的正常运行；</w:t>
            </w:r>
          </w:p>
          <w:p>
            <w:pPr>
              <w:pStyle w:val="36"/>
              <w:spacing w:line="300" w:lineRule="exact"/>
              <w:jc w:val="both"/>
              <w:rPr>
                <w:color w:val="auto"/>
              </w:rPr>
            </w:pPr>
            <w:r>
              <w:rPr>
                <w:rFonts w:eastAsia="微软雅黑"/>
                <w:color w:val="auto"/>
              </w:rPr>
              <w:t xml:space="preserve">▪ </w:t>
            </w:r>
            <w:r>
              <w:rPr>
                <w:color w:val="auto"/>
              </w:rPr>
              <w:t>实施有效的“三废”综合利用开发措施，加强监督使“三废”真正得到回收利用；</w:t>
            </w:r>
          </w:p>
          <w:p>
            <w:pPr>
              <w:pStyle w:val="36"/>
              <w:spacing w:line="300" w:lineRule="exact"/>
              <w:jc w:val="both"/>
              <w:rPr>
                <w:color w:val="auto"/>
              </w:rPr>
            </w:pPr>
            <w:r>
              <w:rPr>
                <w:rFonts w:eastAsia="微软雅黑"/>
                <w:color w:val="auto"/>
              </w:rPr>
              <w:t xml:space="preserve">▪ </w:t>
            </w:r>
            <w:r>
              <w:rPr>
                <w:color w:val="auto"/>
              </w:rPr>
              <w:t>按照责、权、利实行奖罚制度，对违反法规和制度行为根据情节给予处罚，对有功人员给予奖励；</w:t>
            </w:r>
          </w:p>
          <w:p>
            <w:pPr>
              <w:pStyle w:val="36"/>
              <w:spacing w:line="300" w:lineRule="exact"/>
              <w:jc w:val="both"/>
              <w:rPr>
                <w:color w:val="auto"/>
              </w:rPr>
            </w:pPr>
            <w:r>
              <w:rPr>
                <w:rFonts w:eastAsia="微软雅黑"/>
                <w:color w:val="auto"/>
              </w:rPr>
              <w:t xml:space="preserve">▪ </w:t>
            </w:r>
            <w:r>
              <w:rPr>
                <w:color w:val="auto"/>
              </w:rPr>
              <w:t>收集、整理和推广环保技术和经验，对运行中出现的环保问题及时解决；</w:t>
            </w:r>
          </w:p>
          <w:p>
            <w:pPr>
              <w:pStyle w:val="36"/>
              <w:spacing w:line="300" w:lineRule="exact"/>
              <w:jc w:val="both"/>
              <w:rPr>
                <w:color w:val="auto"/>
              </w:rPr>
            </w:pPr>
            <w:r>
              <w:rPr>
                <w:rFonts w:eastAsia="微软雅黑"/>
                <w:color w:val="auto"/>
              </w:rPr>
              <w:t xml:space="preserve">▪ </w:t>
            </w:r>
            <w:r>
              <w:rPr>
                <w:color w:val="auto"/>
              </w:rPr>
              <w:t>做好应急事故处理准备，</w:t>
            </w:r>
            <w:r>
              <w:rPr>
                <w:rFonts w:hint="eastAsia"/>
                <w:color w:val="auto"/>
              </w:rPr>
              <w:t>发布突发环境事件应急预案，</w:t>
            </w:r>
            <w:r>
              <w:rPr>
                <w:color w:val="auto"/>
              </w:rPr>
              <w:t>参与环境污染事故调查和处理；</w:t>
            </w:r>
          </w:p>
          <w:p>
            <w:pPr>
              <w:pStyle w:val="36"/>
              <w:spacing w:line="300" w:lineRule="exact"/>
              <w:jc w:val="both"/>
              <w:rPr>
                <w:rFonts w:eastAsia="微软雅黑"/>
                <w:color w:val="auto"/>
              </w:rPr>
            </w:pPr>
            <w:r>
              <w:rPr>
                <w:rFonts w:eastAsia="微软雅黑"/>
                <w:color w:val="auto"/>
              </w:rPr>
              <w:t>▪</w:t>
            </w:r>
            <w:r>
              <w:rPr>
                <w:color w:val="auto"/>
                <w:szCs w:val="22"/>
              </w:rPr>
              <w:t xml:space="preserve"> </w:t>
            </w:r>
            <w:r>
              <w:rPr>
                <w:rFonts w:hint="eastAsia"/>
                <w:color w:val="auto"/>
                <w:szCs w:val="22"/>
              </w:rPr>
              <w:t>根据环评要求，开展环境影响后评价；</w:t>
            </w:r>
          </w:p>
          <w:p>
            <w:pPr>
              <w:pStyle w:val="36"/>
              <w:spacing w:line="300" w:lineRule="exact"/>
              <w:jc w:val="both"/>
              <w:rPr>
                <w:color w:val="auto"/>
              </w:rPr>
            </w:pPr>
            <w:r>
              <w:rPr>
                <w:rFonts w:eastAsia="微软雅黑"/>
                <w:color w:val="auto"/>
              </w:rPr>
              <w:t xml:space="preserve">▪ </w:t>
            </w:r>
            <w:r>
              <w:rPr>
                <w:color w:val="auto"/>
              </w:rPr>
              <w:t>配合当地或上级环保主管部门，认真贯彻落实国家有关环保法规和行业主管部门的环保规定。</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86" w:hRule="atLeast"/>
        </w:trPr>
        <w:tc>
          <w:tcPr>
            <w:tcW w:w="1013" w:type="dxa"/>
            <w:tcBorders>
              <w:top w:val="single" w:color="auto" w:sz="6" w:space="0"/>
            </w:tcBorders>
            <w:vAlign w:val="center"/>
          </w:tcPr>
          <w:p>
            <w:pPr>
              <w:pStyle w:val="36"/>
              <w:spacing w:line="240" w:lineRule="auto"/>
              <w:rPr>
                <w:color w:val="auto"/>
              </w:rPr>
            </w:pPr>
            <w:r>
              <w:rPr>
                <w:color w:val="auto"/>
              </w:rPr>
              <w:t>清洁生产管理</w:t>
            </w:r>
          </w:p>
        </w:tc>
        <w:tc>
          <w:tcPr>
            <w:tcW w:w="8161" w:type="dxa"/>
            <w:tcBorders>
              <w:top w:val="single" w:color="auto" w:sz="6" w:space="0"/>
            </w:tcBorders>
            <w:vAlign w:val="center"/>
          </w:tcPr>
          <w:p>
            <w:pPr>
              <w:pStyle w:val="36"/>
              <w:spacing w:line="240" w:lineRule="auto"/>
              <w:jc w:val="both"/>
              <w:rPr>
                <w:color w:val="auto"/>
              </w:rPr>
            </w:pPr>
            <w:r>
              <w:rPr>
                <w:color w:val="auto"/>
              </w:rPr>
              <w:t>▪ 组织协调并监督实施本次评价中所提出的清洁生产内容；</w:t>
            </w:r>
          </w:p>
          <w:p>
            <w:pPr>
              <w:pStyle w:val="36"/>
              <w:spacing w:line="240" w:lineRule="auto"/>
              <w:jc w:val="both"/>
              <w:rPr>
                <w:color w:val="auto"/>
              </w:rPr>
            </w:pPr>
            <w:r>
              <w:rPr>
                <w:color w:val="auto"/>
              </w:rPr>
              <w:t xml:space="preserve">▪ </w:t>
            </w:r>
            <w:r>
              <w:rPr>
                <w:rFonts w:hint="eastAsia"/>
                <w:color w:val="auto"/>
              </w:rPr>
              <w:t>组织开展清洁生产审核</w:t>
            </w:r>
          </w:p>
          <w:p>
            <w:pPr>
              <w:pStyle w:val="36"/>
              <w:spacing w:line="240" w:lineRule="auto"/>
              <w:jc w:val="both"/>
              <w:rPr>
                <w:color w:val="auto"/>
              </w:rPr>
            </w:pPr>
            <w:r>
              <w:rPr>
                <w:color w:val="auto"/>
              </w:rPr>
              <w:t>▪ 组织经常性对企业职工的清洁生产教育和培训；</w:t>
            </w:r>
          </w:p>
          <w:p>
            <w:pPr>
              <w:pStyle w:val="36"/>
              <w:spacing w:line="240" w:lineRule="auto"/>
              <w:jc w:val="both"/>
              <w:rPr>
                <w:color w:val="auto"/>
              </w:rPr>
            </w:pPr>
            <w:r>
              <w:rPr>
                <w:color w:val="auto"/>
              </w:rPr>
              <w:t xml:space="preserve">▪ </w:t>
            </w:r>
            <w:r>
              <w:rPr>
                <w:rFonts w:hint="eastAsia"/>
                <w:color w:val="auto"/>
              </w:rPr>
              <w:t>组织落实减污、增效、节能、降耗的清洁生产方案</w:t>
            </w:r>
            <w:r>
              <w:rPr>
                <w:color w:val="auto"/>
              </w:rPr>
              <w:t>；</w:t>
            </w:r>
          </w:p>
          <w:p>
            <w:pPr>
              <w:pStyle w:val="36"/>
              <w:spacing w:line="240" w:lineRule="auto"/>
              <w:jc w:val="both"/>
              <w:rPr>
                <w:color w:val="auto"/>
              </w:rPr>
            </w:pPr>
            <w:r>
              <w:rPr>
                <w:color w:val="auto"/>
              </w:rPr>
              <w:t>▪ 负责清洁生产活动的日常管理。</w:t>
            </w:r>
          </w:p>
        </w:tc>
      </w:tr>
    </w:tbl>
    <w:p>
      <w:pPr>
        <w:pStyle w:val="5"/>
      </w:pPr>
      <w:r>
        <w:t>环境管理制度要求</w:t>
      </w:r>
    </w:p>
    <w:p>
      <w:r>
        <w:t>（1）建设项目环境影响评价与“三同时”制度</w:t>
      </w:r>
    </w:p>
    <w:p>
      <w:r>
        <w:t>严格执行《中华人民共和国</w:t>
      </w:r>
      <w:r>
        <w:rPr>
          <w:rFonts w:hint="eastAsia"/>
        </w:rPr>
        <w:t>环境保护</w:t>
      </w:r>
      <w:r>
        <w:t>法》</w:t>
      </w:r>
      <w:r>
        <w:rPr>
          <w:rFonts w:hint="eastAsia"/>
        </w:rPr>
        <w:t>、</w:t>
      </w:r>
      <w:r>
        <w:t>《中华人民共和国环境影响评价法》、国务院《建设项目环境保护管理条例》等法律法规，所有新建、扩建和技术改造项目，必须在开工建设前完成环境影响评价和环境影响评价文件的审批。建设项目环境影响评价文件经批准后，项目的性质、规模、地点</w:t>
      </w:r>
      <w:r>
        <w:rPr>
          <w:rFonts w:hint="eastAsia"/>
        </w:rPr>
        <w:t>、</w:t>
      </w:r>
      <w:r>
        <w:t>生产工艺</w:t>
      </w:r>
      <w:r>
        <w:rPr>
          <w:rFonts w:hint="eastAsia"/>
        </w:rPr>
        <w:t>、环保措施</w:t>
      </w:r>
      <w:r>
        <w:t>发生重大变化的，应当重新报批</w:t>
      </w:r>
      <w:r>
        <w:rPr>
          <w:rFonts w:hint="eastAsia"/>
        </w:rPr>
        <w:t>环评文件</w:t>
      </w:r>
      <w:r>
        <w:t>。环境影响评价文件自批准之日起满5年，建设项目方开工建设的，其环境影响评价文件应当报原审批机关重新审核。</w:t>
      </w:r>
    </w:p>
    <w:p>
      <w:r>
        <w:t>建设项目环境影响评价文件通过环保部门审批后，项目方可开工建设。建设项目的防治污染和保护环境设施必须与主体工程同时设计、同时施工、同时投产使用。</w:t>
      </w:r>
    </w:p>
    <w:p>
      <w:r>
        <w:t>（2）排污许可证制度</w:t>
      </w:r>
    </w:p>
    <w:p>
      <w:r>
        <w:t>严格执行排污许可证制度，企业排污状况发生重大变化时，及时向环境保护行政主管部门报告，按照环境行政主管部门核定的年度污染物排放总量指标，严格考核，确保持证排污，不超量排污。</w:t>
      </w:r>
    </w:p>
    <w:p>
      <w:r>
        <w:t>（3）总量控制及污染物减排制度</w:t>
      </w:r>
    </w:p>
    <w:p>
      <w:r>
        <w:t>对照环保部门下达的污染物总量指标和污染物削减任务，制订污染物削减方案，落实清洁生产审核、建设项目环保“以新带老”制度、产业结构调整和产业换代升级等总量削减措施，确保使总量得到有效控制，保证污染物减排指标的完成。</w:t>
      </w:r>
    </w:p>
    <w:p>
      <w:r>
        <w:t>（4）达标排放制度</w:t>
      </w:r>
    </w:p>
    <w:p>
      <w:r>
        <w:t>依据国家及地区相关法律法规要求，规范化建设</w:t>
      </w:r>
      <w:r>
        <w:rPr>
          <w:rFonts w:hint="eastAsia"/>
        </w:rPr>
        <w:t>废水</w:t>
      </w:r>
      <w:r>
        <w:t>排</w:t>
      </w:r>
      <w:r>
        <w:rPr>
          <w:rFonts w:hint="eastAsia"/>
        </w:rPr>
        <w:t>放</w:t>
      </w:r>
      <w:r>
        <w:t>口、废气排放口。确保污染治理设施长期、稳定、有效运行，不得擅自拆除或闲置污染治理设施，不得故意非正常使用污染治理设施，确保污染物达标排放。固体废弃物堆放应设置暂存处，暂存处必须符合“四防”(防火、防扬散、防雨淋、防渗漏)要求，并设置标志牌。污染治理设施的管理必须与相应的生产活动一起纳入到日常管理工作的范畴，落实责任人、操作人员、维修人员、运行经费、设备的备品备件和其他原辅材料。</w:t>
      </w:r>
    </w:p>
    <w:p>
      <w:r>
        <w:rPr>
          <w:rFonts w:hint="eastAsia"/>
        </w:rPr>
        <w:t>（5</w:t>
      </w:r>
      <w:r>
        <w:t>）</w:t>
      </w:r>
      <w:bookmarkStart w:id="287" w:name="OLE_LINK1"/>
      <w:r>
        <w:rPr>
          <w:rFonts w:hint="eastAsia"/>
        </w:rPr>
        <w:t>环境</w:t>
      </w:r>
      <w:r>
        <w:t>信息公开制度</w:t>
      </w:r>
      <w:bookmarkEnd w:id="287"/>
    </w:p>
    <w:p>
      <w:r>
        <w:rPr>
          <w:rFonts w:hint="eastAsia"/>
        </w:rPr>
        <w:t>按照《企业事业单位环境信息公开办法》按时</w:t>
      </w:r>
      <w:r>
        <w:t>公开企业</w:t>
      </w:r>
      <w:r>
        <w:rPr>
          <w:rFonts w:hint="eastAsia"/>
        </w:rPr>
        <w:t>基础信息、排污信息、防治污染设施的建设和运行情况、建设项目环境影响评价及其他环境保护行政许可情况、突发环境事件应急预案、其他应当公开的环境信息等</w:t>
      </w:r>
      <w:r>
        <w:t>，接受公众监督</w:t>
      </w:r>
      <w:r>
        <w:rPr>
          <w:rFonts w:hint="eastAsia"/>
        </w:rPr>
        <w:t>。</w:t>
      </w:r>
    </w:p>
    <w:p>
      <w:r>
        <w:t>（6）环保奖惩制度</w:t>
      </w:r>
    </w:p>
    <w:p>
      <w:r>
        <w:t>各级管理人员都应树立保护环境的理念，企业应设置环境保护奖惩制度，对爱护环保治理设施、节约原料、降低燃料使用量、改善与保护环境作出贡献的人员给予物质和精神奖励；对环保观念淡薄，不按环保要求进行管理，造成环保设施损坏、环境污染事故及原材料浪费者给予经济制裁和必要的行政处分。</w:t>
      </w:r>
    </w:p>
    <w:p>
      <w:r>
        <w:t>（7）污染处理设施及在线监控装置运行管理制度</w:t>
      </w:r>
    </w:p>
    <w:p>
      <w:r>
        <w:t>制定污染治理设施运行操作规程与管理制度，完善化验室建设和管理制度。由专职人员负责全厂污染处理设施的正常运行、维护及排污状况的监测分析。每天应查看运行记录，对发现的运转设备及安全方面的问题要按照环保组织体系及时报告，采取相应应急</w:t>
      </w:r>
      <w:r>
        <w:rPr>
          <w:rFonts w:hint="eastAsia"/>
        </w:rPr>
        <w:t>措施</w:t>
      </w:r>
      <w:r>
        <w:t>，并及时抢修，做好记录，保证设备完好率。</w:t>
      </w:r>
    </w:p>
    <w:p>
      <w:r>
        <w:t>（8）环境宣传教育制度</w:t>
      </w:r>
    </w:p>
    <w:p>
      <w:r>
        <w:t>将职工日常环保知识教育纳入企业管理工作体系中。企业应以各种形式，定期对职工进行环保、安全生产教育，并给予相应考核。教育内容应结合企业生产实际情况及典型案例，有针对性的让职工了解企业环保情况、各类污染物排放情况、污染治理工艺及运行情况。企业环境风险应急、常见环保事故的处理及救治也应作为重点内容进行教育。</w:t>
      </w:r>
    </w:p>
    <w:p>
      <w:r>
        <w:t>（9）环境风险应急与报告制度</w:t>
      </w:r>
    </w:p>
    <w:p>
      <w:r>
        <w:rPr>
          <w:rFonts w:hint="eastAsia"/>
        </w:rPr>
        <w:t>发布企业突发环境事件</w:t>
      </w:r>
      <w:r>
        <w:t>应急预案，并</w:t>
      </w:r>
      <w:r>
        <w:rPr>
          <w:rFonts w:hint="eastAsia"/>
        </w:rPr>
        <w:t>定期</w:t>
      </w:r>
      <w:r>
        <w:t>进行演练。成立应急救援指挥部，分管领导任指挥，车间成立应急救援</w:t>
      </w:r>
      <w:r>
        <w:rPr>
          <w:rFonts w:hint="eastAsia"/>
        </w:rPr>
        <w:t>工作</w:t>
      </w:r>
      <w:r>
        <w:t>小组，负责防护器材的配给和现场救援，厂内各职能部门对化学毒物管理、事故急救，事故污染物处理各负其责。发生突发环境事件应在第一时间及时向所在地环境保护行政主管部门报告。主要内容包括</w:t>
      </w:r>
      <w:r>
        <w:rPr>
          <w:rFonts w:hint="eastAsia"/>
        </w:rPr>
        <w:t>：</w:t>
      </w:r>
      <w:r>
        <w:t>突发环境事件的类型、发生时间、地点、初步原因、主要污染物质和数量、人员受害情况等。</w:t>
      </w:r>
    </w:p>
    <w:p>
      <w:r>
        <w:t>以上制度建议应作为企业基本制度，以企业内部文件形式下发到各车间、部门；纳入环境保护管理档案；在企业内公示；在</w:t>
      </w:r>
      <w:r>
        <w:rPr>
          <w:rFonts w:hint="eastAsia"/>
        </w:rPr>
        <w:t>各职能</w:t>
      </w:r>
      <w:r>
        <w:t>部门、</w:t>
      </w:r>
      <w:r>
        <w:rPr>
          <w:rFonts w:hint="eastAsia"/>
        </w:rPr>
        <w:t>生产</w:t>
      </w:r>
      <w:r>
        <w:t>车间张贴；在日常生产中贯彻落实到位。</w:t>
      </w:r>
    </w:p>
    <w:p>
      <w:pPr>
        <w:pStyle w:val="5"/>
      </w:pPr>
      <w:r>
        <w:t>环境管理各阶段具体要求</w:t>
      </w:r>
    </w:p>
    <w:p>
      <w:pPr>
        <w:pStyle w:val="14"/>
      </w:pPr>
      <w:r>
        <w:t>环境管理应贯穿于建设项目从立项到运营的整个过程，并对建设项目的不同阶段制定相应的环保条例，规定不同阶段的环保内容，明确不同部门的工作职责，详见</w:t>
      </w:r>
      <w:r>
        <w:rPr>
          <w:rFonts w:hint="eastAsia"/>
        </w:rPr>
        <w:t>表10.1-2</w:t>
      </w:r>
      <w:r>
        <w:t>。</w:t>
      </w:r>
    </w:p>
    <w:p>
      <w:pPr>
        <w:pStyle w:val="76"/>
        <w:ind w:firstLine="482"/>
        <w:rPr>
          <w:rFonts w:cs="Times New Roman"/>
        </w:rPr>
      </w:pPr>
      <w:r>
        <w:rPr>
          <w:rFonts w:hint="eastAsia" w:cs="Times New Roman"/>
        </w:rPr>
        <w:t>表10.1-2</w:t>
      </w:r>
      <w:r>
        <w:rPr>
          <w:rFonts w:cs="Times New Roman"/>
        </w:rPr>
        <w:t xml:space="preserve"> </w:t>
      </w:r>
      <w:r>
        <w:rPr>
          <w:rFonts w:hint="eastAsia" w:cs="Times New Roman"/>
        </w:rPr>
        <w:t xml:space="preserve">            </w:t>
      </w:r>
      <w:r>
        <w:rPr>
          <w:rFonts w:cs="Times New Roman"/>
        </w:rPr>
        <w:t xml:space="preserve"> 建设项目环境管理各阶段具体要求</w:t>
      </w:r>
    </w:p>
    <w:tbl>
      <w:tblPr>
        <w:tblStyle w:val="21"/>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866"/>
        <w:gridCol w:w="83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40" w:hRule="atLeast"/>
          <w:tblHeader/>
        </w:trPr>
        <w:tc>
          <w:tcPr>
            <w:tcW w:w="472" w:type="pct"/>
            <w:tcBorders>
              <w:bottom w:val="single" w:color="auto" w:sz="6" w:space="0"/>
              <w:right w:val="single" w:color="auto" w:sz="6" w:space="0"/>
              <w:tl2br w:val="nil"/>
              <w:tr2bl w:val="nil"/>
            </w:tcBorders>
            <w:vAlign w:val="center"/>
          </w:tcPr>
          <w:p>
            <w:pPr>
              <w:pStyle w:val="36"/>
              <w:spacing w:line="276" w:lineRule="auto"/>
              <w:rPr>
                <w:b/>
                <w:bCs/>
                <w:color w:val="auto"/>
              </w:rPr>
            </w:pPr>
            <w:r>
              <w:rPr>
                <w:b/>
                <w:bCs/>
                <w:color w:val="auto"/>
              </w:rPr>
              <w:t>阶段</w:t>
            </w:r>
          </w:p>
        </w:tc>
        <w:tc>
          <w:tcPr>
            <w:tcW w:w="4527" w:type="pct"/>
            <w:tcBorders>
              <w:left w:val="single" w:color="auto" w:sz="6" w:space="0"/>
              <w:bottom w:val="single" w:color="auto" w:sz="6" w:space="0"/>
              <w:tl2br w:val="nil"/>
              <w:tr2bl w:val="nil"/>
            </w:tcBorders>
          </w:tcPr>
          <w:p>
            <w:pPr>
              <w:pStyle w:val="36"/>
              <w:spacing w:line="276" w:lineRule="auto"/>
              <w:rPr>
                <w:b/>
                <w:bCs/>
                <w:color w:val="auto"/>
              </w:rPr>
            </w:pPr>
            <w:r>
              <w:rPr>
                <w:b/>
                <w:bCs/>
                <w:color w:val="auto"/>
              </w:rPr>
              <w:t>工作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689" w:hRule="atLeast"/>
        </w:trPr>
        <w:tc>
          <w:tcPr>
            <w:tcW w:w="472" w:type="pct"/>
            <w:tcBorders>
              <w:top w:val="single" w:color="auto" w:sz="6" w:space="0"/>
              <w:bottom w:val="single" w:color="auto" w:sz="6" w:space="0"/>
              <w:right w:val="single" w:color="auto" w:sz="6" w:space="0"/>
              <w:tl2br w:val="nil"/>
              <w:tr2bl w:val="nil"/>
            </w:tcBorders>
            <w:vAlign w:val="center"/>
          </w:tcPr>
          <w:p>
            <w:pPr>
              <w:pStyle w:val="36"/>
              <w:spacing w:line="276" w:lineRule="auto"/>
              <w:rPr>
                <w:color w:val="auto"/>
              </w:rPr>
            </w:pPr>
            <w:r>
              <w:rPr>
                <w:color w:val="auto"/>
              </w:rPr>
              <w:t>可研</w:t>
            </w:r>
            <w:r>
              <w:rPr>
                <w:rFonts w:hint="eastAsia"/>
                <w:color w:val="auto"/>
              </w:rPr>
              <w:t>设计</w:t>
            </w:r>
            <w:r>
              <w:rPr>
                <w:color w:val="auto"/>
              </w:rPr>
              <w:t>阶段</w:t>
            </w:r>
          </w:p>
        </w:tc>
        <w:tc>
          <w:tcPr>
            <w:tcW w:w="4527" w:type="pct"/>
            <w:tcBorders>
              <w:top w:val="single" w:color="auto" w:sz="6" w:space="0"/>
              <w:left w:val="single" w:color="auto" w:sz="6" w:space="0"/>
              <w:tl2br w:val="nil"/>
              <w:tr2bl w:val="nil"/>
            </w:tcBorders>
          </w:tcPr>
          <w:p>
            <w:pPr>
              <w:pStyle w:val="36"/>
              <w:spacing w:line="276" w:lineRule="auto"/>
              <w:jc w:val="left"/>
              <w:rPr>
                <w:rFonts w:eastAsia="微软雅黑"/>
                <w:color w:val="auto"/>
              </w:rPr>
            </w:pPr>
            <w:r>
              <w:rPr>
                <w:rFonts w:eastAsia="微软雅黑"/>
                <w:color w:val="auto"/>
              </w:rPr>
              <w:t xml:space="preserve">▪ </w:t>
            </w:r>
            <w:r>
              <w:rPr>
                <w:color w:val="auto"/>
              </w:rPr>
              <w:t>根据拟建项目的性质、规模、厂址、环境现状等有关资料，对项目建成后可能造成的环境影响进行</w:t>
            </w:r>
            <w:r>
              <w:rPr>
                <w:rFonts w:hint="eastAsia"/>
                <w:color w:val="auto"/>
              </w:rPr>
              <w:t>预估；</w:t>
            </w:r>
          </w:p>
          <w:p>
            <w:pPr>
              <w:pStyle w:val="36"/>
              <w:spacing w:line="276" w:lineRule="auto"/>
              <w:jc w:val="left"/>
              <w:rPr>
                <w:color w:val="auto"/>
              </w:rPr>
            </w:pPr>
            <w:r>
              <w:rPr>
                <w:rFonts w:eastAsia="微软雅黑"/>
                <w:color w:val="auto"/>
              </w:rPr>
              <w:t xml:space="preserve">▪ </w:t>
            </w:r>
            <w:r>
              <w:rPr>
                <w:color w:val="auto"/>
              </w:rPr>
              <w:t>委托评价单位进行环境影响评价工作</w:t>
            </w:r>
            <w:r>
              <w:rPr>
                <w:rFonts w:hint="eastAsia"/>
                <w:color w:val="auto"/>
              </w:rPr>
              <w:t>，</w:t>
            </w:r>
            <w:r>
              <w:rPr>
                <w:color w:val="auto"/>
              </w:rPr>
              <w:t>对环评提出的环保问题</w:t>
            </w:r>
            <w:r>
              <w:rPr>
                <w:rFonts w:hint="eastAsia"/>
                <w:color w:val="auto"/>
              </w:rPr>
              <w:t>及</w:t>
            </w:r>
            <w:r>
              <w:rPr>
                <w:color w:val="auto"/>
              </w:rPr>
              <w:t>需要补充的环保措施</w:t>
            </w:r>
            <w:r>
              <w:rPr>
                <w:rFonts w:hint="eastAsia"/>
                <w:color w:val="auto"/>
              </w:rPr>
              <w:t>、</w:t>
            </w:r>
            <w:r>
              <w:rPr>
                <w:color w:val="auto"/>
              </w:rPr>
              <w:t>设施作出反馈，</w:t>
            </w:r>
            <w:r>
              <w:rPr>
                <w:rFonts w:hint="eastAsia"/>
                <w:color w:val="auto"/>
              </w:rPr>
              <w:t>并</w:t>
            </w:r>
            <w:r>
              <w:rPr>
                <w:color w:val="auto"/>
              </w:rPr>
              <w:t>纳入到</w:t>
            </w:r>
            <w:r>
              <w:rPr>
                <w:rFonts w:hint="eastAsia"/>
                <w:color w:val="auto"/>
              </w:rPr>
              <w:t>设计</w:t>
            </w:r>
            <w:r>
              <w:rPr>
                <w:color w:val="auto"/>
              </w:rPr>
              <w:t>中</w:t>
            </w:r>
            <w:r>
              <w:rPr>
                <w:rFonts w:hint="eastAsia"/>
                <w:color w:val="auto"/>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930" w:hRule="atLeast"/>
        </w:trPr>
        <w:tc>
          <w:tcPr>
            <w:tcW w:w="472" w:type="pct"/>
            <w:tcBorders>
              <w:top w:val="single" w:color="auto" w:sz="6" w:space="0"/>
              <w:bottom w:val="single" w:color="auto" w:sz="6" w:space="0"/>
              <w:right w:val="single" w:color="auto" w:sz="6" w:space="0"/>
              <w:tl2br w:val="nil"/>
              <w:tr2bl w:val="nil"/>
            </w:tcBorders>
            <w:vAlign w:val="center"/>
          </w:tcPr>
          <w:p>
            <w:pPr>
              <w:pStyle w:val="36"/>
              <w:spacing w:line="276" w:lineRule="auto"/>
              <w:rPr>
                <w:color w:val="auto"/>
              </w:rPr>
            </w:pPr>
            <w:r>
              <w:rPr>
                <w:color w:val="auto"/>
              </w:rPr>
              <w:t>施工阶段</w:t>
            </w:r>
          </w:p>
        </w:tc>
        <w:tc>
          <w:tcPr>
            <w:tcW w:w="4527" w:type="pct"/>
            <w:tcBorders>
              <w:top w:val="single" w:color="auto" w:sz="6" w:space="0"/>
              <w:left w:val="single" w:color="auto" w:sz="6" w:space="0"/>
              <w:tl2br w:val="nil"/>
              <w:tr2bl w:val="nil"/>
            </w:tcBorders>
          </w:tcPr>
          <w:p>
            <w:pPr>
              <w:pStyle w:val="36"/>
              <w:spacing w:line="276" w:lineRule="auto"/>
              <w:jc w:val="both"/>
              <w:rPr>
                <w:color w:val="auto"/>
              </w:rPr>
            </w:pPr>
            <w:bookmarkStart w:id="288" w:name="OLE_LINK18"/>
            <w:r>
              <w:rPr>
                <w:rFonts w:eastAsia="微软雅黑"/>
                <w:color w:val="auto"/>
              </w:rPr>
              <w:t>▪</w:t>
            </w:r>
            <w:bookmarkEnd w:id="288"/>
            <w:r>
              <w:rPr>
                <w:rFonts w:eastAsia="微软雅黑"/>
                <w:color w:val="auto"/>
              </w:rPr>
              <w:t xml:space="preserve"> </w:t>
            </w:r>
            <w:r>
              <w:rPr>
                <w:color w:val="auto"/>
              </w:rPr>
              <w:t>选择环保业绩优秀的施工承包方，并在承包合同中明确规定有关环境保护条款；</w:t>
            </w:r>
          </w:p>
          <w:p>
            <w:pPr>
              <w:pStyle w:val="36"/>
              <w:spacing w:line="276" w:lineRule="auto"/>
              <w:jc w:val="both"/>
              <w:rPr>
                <w:color w:val="auto"/>
              </w:rPr>
            </w:pPr>
            <w:r>
              <w:rPr>
                <w:rFonts w:eastAsia="微软雅黑"/>
                <w:color w:val="auto"/>
              </w:rPr>
              <w:t xml:space="preserve">▪ </w:t>
            </w:r>
            <w:r>
              <w:rPr>
                <w:color w:val="auto"/>
              </w:rPr>
              <w:t>施工承包方应明确管理人员、职责等，按照其承包施工段的环保要求制定施工计划</w:t>
            </w:r>
            <w:r>
              <w:rPr>
                <w:rFonts w:hint="eastAsia"/>
                <w:color w:val="auto"/>
              </w:rPr>
              <w:t>；</w:t>
            </w:r>
          </w:p>
          <w:p>
            <w:pPr>
              <w:pStyle w:val="36"/>
              <w:spacing w:line="276" w:lineRule="auto"/>
              <w:jc w:val="both"/>
              <w:rPr>
                <w:color w:val="auto"/>
              </w:rPr>
            </w:pPr>
            <w:r>
              <w:rPr>
                <w:rFonts w:eastAsia="微软雅黑"/>
                <w:color w:val="auto"/>
              </w:rPr>
              <w:t xml:space="preserve">▪ </w:t>
            </w:r>
            <w:r>
              <w:rPr>
                <w:color w:val="auto"/>
              </w:rPr>
              <w:t>在施工作业之前，对全体施工人员进行培训，包括环保知识、意识和能力的培训；</w:t>
            </w:r>
          </w:p>
          <w:p>
            <w:pPr>
              <w:pStyle w:val="36"/>
              <w:spacing w:line="276" w:lineRule="auto"/>
              <w:jc w:val="both"/>
              <w:rPr>
                <w:color w:val="auto"/>
              </w:rPr>
            </w:pPr>
            <w:r>
              <w:rPr>
                <w:rFonts w:eastAsia="微软雅黑"/>
                <w:color w:val="auto"/>
              </w:rPr>
              <w:t xml:space="preserve">▪ </w:t>
            </w:r>
            <w:r>
              <w:rPr>
                <w:color w:val="auto"/>
              </w:rPr>
              <w:t>建议对该工程实施工程环境监督机制，并纳入到整体工程监理当中；</w:t>
            </w:r>
          </w:p>
          <w:p>
            <w:pPr>
              <w:pStyle w:val="36"/>
              <w:spacing w:line="276" w:lineRule="auto"/>
              <w:jc w:val="both"/>
              <w:rPr>
                <w:color w:val="auto"/>
              </w:rPr>
            </w:pPr>
            <w:r>
              <w:rPr>
                <w:rFonts w:eastAsia="微软雅黑"/>
                <w:color w:val="auto"/>
              </w:rPr>
              <w:t xml:space="preserve">▪ </w:t>
            </w:r>
            <w:r>
              <w:rPr>
                <w:color w:val="auto"/>
              </w:rPr>
              <w:t>依法执行环保设施与主体工程“三同时”制度</w:t>
            </w:r>
            <w:r>
              <w:rPr>
                <w:rFonts w:hint="eastAsia"/>
                <w:color w:val="auto"/>
              </w:rPr>
              <w:t>；</w:t>
            </w:r>
          </w:p>
          <w:p>
            <w:pPr>
              <w:pStyle w:val="36"/>
              <w:spacing w:line="276" w:lineRule="auto"/>
              <w:jc w:val="both"/>
              <w:rPr>
                <w:color w:val="auto"/>
              </w:rPr>
            </w:pPr>
            <w:r>
              <w:rPr>
                <w:rFonts w:eastAsia="微软雅黑"/>
                <w:color w:val="auto"/>
              </w:rPr>
              <w:t xml:space="preserve">▪ </w:t>
            </w:r>
            <w:r>
              <w:rPr>
                <w:color w:val="auto"/>
              </w:rPr>
              <w:t>保护施工现场</w:t>
            </w:r>
            <w:r>
              <w:rPr>
                <w:color w:val="auto"/>
                <w:szCs w:val="22"/>
              </w:rPr>
              <w:t>周围</w:t>
            </w:r>
            <w:r>
              <w:rPr>
                <w:color w:val="auto"/>
              </w:rPr>
              <w:t>的环境，防止对自然环境造成不应有的破坏，防止和减轻粉尘、噪声、震动等对居民区的污染和危害</w:t>
            </w:r>
            <w:r>
              <w:rPr>
                <w:rFonts w:hint="eastAsia"/>
                <w:color w:val="auto"/>
              </w:rPr>
              <w:t>；</w:t>
            </w:r>
          </w:p>
          <w:p>
            <w:pPr>
              <w:pStyle w:val="36"/>
              <w:spacing w:line="276" w:lineRule="auto"/>
              <w:jc w:val="both"/>
              <w:rPr>
                <w:color w:val="auto"/>
                <w:szCs w:val="22"/>
              </w:rPr>
            </w:pPr>
            <w:r>
              <w:rPr>
                <w:color w:val="auto"/>
                <w:szCs w:val="22"/>
              </w:rPr>
              <w:t>▪</w:t>
            </w:r>
            <w:r>
              <w:rPr>
                <w:rFonts w:hint="eastAsia"/>
                <w:color w:val="auto"/>
                <w:szCs w:val="22"/>
              </w:rPr>
              <w:t xml:space="preserve"> </w:t>
            </w:r>
            <w:r>
              <w:rPr>
                <w:color w:val="auto"/>
                <w:szCs w:val="22"/>
              </w:rPr>
              <w:t>按照</w:t>
            </w:r>
            <w:r>
              <w:rPr>
                <w:rFonts w:hint="eastAsia"/>
                <w:color w:val="auto"/>
                <w:szCs w:val="22"/>
              </w:rPr>
              <w:t>6个100%的要求减少施工过程扬尘污染；</w:t>
            </w:r>
          </w:p>
          <w:p>
            <w:pPr>
              <w:pStyle w:val="36"/>
              <w:spacing w:line="276" w:lineRule="auto"/>
              <w:jc w:val="both"/>
              <w:rPr>
                <w:color w:val="auto"/>
              </w:rPr>
            </w:pPr>
            <w:r>
              <w:rPr>
                <w:rFonts w:eastAsia="微软雅黑"/>
                <w:color w:val="auto"/>
              </w:rPr>
              <w:t xml:space="preserve">▪ </w:t>
            </w:r>
            <w:r>
              <w:rPr>
                <w:color w:val="auto"/>
              </w:rPr>
              <w:t>项目竣工后，施工单位应该修整和复原在建设过程中破坏的环境</w:t>
            </w:r>
            <w:r>
              <w:rPr>
                <w:rFonts w:hint="eastAsia"/>
                <w:color w:val="auto"/>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87" w:hRule="atLeast"/>
        </w:trPr>
        <w:tc>
          <w:tcPr>
            <w:tcW w:w="472" w:type="pct"/>
            <w:tcBorders>
              <w:top w:val="single" w:color="auto" w:sz="6" w:space="0"/>
              <w:bottom w:val="single" w:color="auto" w:sz="6" w:space="0"/>
              <w:right w:val="single" w:color="auto" w:sz="6" w:space="0"/>
              <w:tl2br w:val="nil"/>
              <w:tr2bl w:val="nil"/>
            </w:tcBorders>
            <w:vAlign w:val="center"/>
          </w:tcPr>
          <w:p>
            <w:pPr>
              <w:pStyle w:val="36"/>
              <w:spacing w:line="276" w:lineRule="auto"/>
              <w:rPr>
                <w:color w:val="auto"/>
              </w:rPr>
            </w:pPr>
            <w:r>
              <w:rPr>
                <w:rFonts w:hint="eastAsia"/>
                <w:color w:val="auto"/>
              </w:rPr>
              <w:t>竣工验收</w:t>
            </w:r>
            <w:r>
              <w:rPr>
                <w:color w:val="auto"/>
              </w:rPr>
              <w:t>阶段</w:t>
            </w:r>
          </w:p>
        </w:tc>
        <w:tc>
          <w:tcPr>
            <w:tcW w:w="4527" w:type="pct"/>
            <w:tcBorders>
              <w:top w:val="single" w:color="auto" w:sz="6" w:space="0"/>
              <w:left w:val="single" w:color="auto" w:sz="6" w:space="0"/>
              <w:tl2br w:val="nil"/>
              <w:tr2bl w:val="nil"/>
            </w:tcBorders>
          </w:tcPr>
          <w:p>
            <w:pPr>
              <w:pStyle w:val="36"/>
              <w:spacing w:line="276" w:lineRule="auto"/>
              <w:jc w:val="left"/>
              <w:rPr>
                <w:color w:val="auto"/>
                <w:szCs w:val="22"/>
              </w:rPr>
            </w:pPr>
            <w:r>
              <w:rPr>
                <w:rFonts w:eastAsia="微软雅黑"/>
                <w:color w:val="auto"/>
              </w:rPr>
              <w:t xml:space="preserve">▪ </w:t>
            </w:r>
            <w:r>
              <w:rPr>
                <w:rFonts w:hint="eastAsia"/>
                <w:color w:val="auto"/>
                <w:szCs w:val="22"/>
              </w:rPr>
              <w:t>进行多方技术论证，完善工艺方案；</w:t>
            </w:r>
          </w:p>
          <w:p>
            <w:pPr>
              <w:pStyle w:val="36"/>
              <w:spacing w:line="276" w:lineRule="auto"/>
              <w:jc w:val="left"/>
              <w:rPr>
                <w:color w:val="auto"/>
                <w:szCs w:val="22"/>
              </w:rPr>
            </w:pPr>
            <w:r>
              <w:rPr>
                <w:rFonts w:hint="eastAsia"/>
                <w:color w:val="auto"/>
                <w:szCs w:val="22"/>
              </w:rPr>
              <w:t>▪ 严格设计、施工、监理，保证工程质量；</w:t>
            </w:r>
          </w:p>
          <w:p>
            <w:pPr>
              <w:pStyle w:val="36"/>
              <w:spacing w:line="276" w:lineRule="auto"/>
              <w:jc w:val="left"/>
              <w:rPr>
                <w:color w:val="auto"/>
                <w:szCs w:val="22"/>
              </w:rPr>
            </w:pPr>
            <w:r>
              <w:rPr>
                <w:rFonts w:hint="eastAsia"/>
                <w:color w:val="auto"/>
                <w:szCs w:val="22"/>
              </w:rPr>
              <w:t>▪ 建立生产工序管理和生产运转卡；</w:t>
            </w:r>
          </w:p>
          <w:p>
            <w:pPr>
              <w:pStyle w:val="36"/>
              <w:spacing w:line="276" w:lineRule="auto"/>
              <w:jc w:val="left"/>
              <w:rPr>
                <w:color w:val="auto"/>
                <w:szCs w:val="22"/>
              </w:rPr>
            </w:pPr>
            <w:r>
              <w:rPr>
                <w:rFonts w:hint="eastAsia"/>
                <w:color w:val="auto"/>
                <w:szCs w:val="22"/>
              </w:rPr>
              <w:t>▪ 编制竣工验收报告，向社会公开，并向所在地县级以上环境保护主管部门报送相关信息，接受监督检查；</w:t>
            </w:r>
          </w:p>
          <w:p>
            <w:pPr>
              <w:pStyle w:val="36"/>
              <w:spacing w:line="276" w:lineRule="auto"/>
              <w:jc w:val="left"/>
              <w:rPr>
                <w:color w:val="auto"/>
                <w:szCs w:val="22"/>
              </w:rPr>
            </w:pPr>
            <w:r>
              <w:rPr>
                <w:rFonts w:hint="eastAsia"/>
                <w:color w:val="auto"/>
                <w:szCs w:val="22"/>
              </w:rPr>
              <w:t>▪ 登陆全国建设项目竣工环境保护验收信息平台，填报建设项目基本信息、环境保护设施验收情况等相关信息，环境保护主管部门对上述信息予以公开；</w:t>
            </w:r>
          </w:p>
          <w:p>
            <w:pPr>
              <w:pStyle w:val="36"/>
              <w:spacing w:line="276" w:lineRule="auto"/>
              <w:jc w:val="left"/>
              <w:rPr>
                <w:color w:val="auto"/>
              </w:rPr>
            </w:pPr>
            <w:r>
              <w:rPr>
                <w:rFonts w:hint="eastAsia"/>
                <w:color w:val="auto"/>
                <w:szCs w:val="22"/>
              </w:rPr>
              <w:t>▪ 建设单位应净验收报告以及其他档案资料存档备查。</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309" w:hRule="atLeast"/>
        </w:trPr>
        <w:tc>
          <w:tcPr>
            <w:tcW w:w="472" w:type="pct"/>
            <w:tcBorders>
              <w:top w:val="single" w:color="auto" w:sz="6" w:space="0"/>
              <w:bottom w:val="single" w:color="auto" w:sz="6" w:space="0"/>
              <w:right w:val="single" w:color="auto" w:sz="6" w:space="0"/>
              <w:tl2br w:val="nil"/>
              <w:tr2bl w:val="nil"/>
            </w:tcBorders>
            <w:vAlign w:val="center"/>
          </w:tcPr>
          <w:p>
            <w:pPr>
              <w:pStyle w:val="36"/>
              <w:spacing w:line="276" w:lineRule="auto"/>
              <w:rPr>
                <w:color w:val="auto"/>
              </w:rPr>
            </w:pPr>
            <w:r>
              <w:rPr>
                <w:color w:val="auto"/>
              </w:rPr>
              <w:t>规模生产阶段</w:t>
            </w:r>
          </w:p>
        </w:tc>
        <w:tc>
          <w:tcPr>
            <w:tcW w:w="4527" w:type="pct"/>
            <w:tcBorders>
              <w:top w:val="single" w:color="auto" w:sz="6" w:space="0"/>
              <w:left w:val="single" w:color="auto" w:sz="6" w:space="0"/>
              <w:tl2br w:val="nil"/>
              <w:tr2bl w:val="nil"/>
            </w:tcBorders>
          </w:tcPr>
          <w:p>
            <w:pPr>
              <w:pStyle w:val="36"/>
              <w:spacing w:line="276" w:lineRule="auto"/>
              <w:jc w:val="left"/>
              <w:rPr>
                <w:color w:val="auto"/>
              </w:rPr>
            </w:pPr>
            <w:r>
              <w:rPr>
                <w:rFonts w:eastAsia="微软雅黑"/>
                <w:color w:val="auto"/>
              </w:rPr>
              <w:t xml:space="preserve">▪ </w:t>
            </w:r>
            <w:r>
              <w:rPr>
                <w:color w:val="auto"/>
              </w:rPr>
              <w:t>定期进行环保安全检查和召开有关会议；</w:t>
            </w:r>
          </w:p>
          <w:p>
            <w:pPr>
              <w:pStyle w:val="36"/>
              <w:spacing w:line="276" w:lineRule="auto"/>
              <w:jc w:val="left"/>
              <w:rPr>
                <w:color w:val="auto"/>
              </w:rPr>
            </w:pPr>
            <w:r>
              <w:rPr>
                <w:rFonts w:eastAsia="微软雅黑"/>
                <w:color w:val="auto"/>
              </w:rPr>
              <w:t xml:space="preserve">▪ </w:t>
            </w:r>
            <w:r>
              <w:rPr>
                <w:color w:val="auto"/>
              </w:rPr>
              <w:t>对领导和职工特别是环保人员进行环保安全方面的培训；</w:t>
            </w:r>
          </w:p>
          <w:p>
            <w:pPr>
              <w:pStyle w:val="36"/>
              <w:spacing w:line="276" w:lineRule="auto"/>
              <w:jc w:val="left"/>
              <w:rPr>
                <w:color w:val="auto"/>
              </w:rPr>
            </w:pPr>
            <w:r>
              <w:rPr>
                <w:rFonts w:eastAsia="微软雅黑"/>
                <w:color w:val="auto"/>
              </w:rPr>
              <w:t xml:space="preserve">▪ </w:t>
            </w:r>
            <w:r>
              <w:rPr>
                <w:color w:val="auto"/>
              </w:rPr>
              <w:t>制定完备的岗位责任制，明确规定各类人员的职责，有关环保职责及安全、事故预防措施应纳入岗位责任制中；</w:t>
            </w:r>
          </w:p>
          <w:p>
            <w:pPr>
              <w:pStyle w:val="36"/>
              <w:spacing w:line="276" w:lineRule="auto"/>
              <w:jc w:val="left"/>
              <w:rPr>
                <w:color w:val="auto"/>
              </w:rPr>
            </w:pPr>
            <w:r>
              <w:rPr>
                <w:rFonts w:eastAsia="微软雅黑"/>
                <w:color w:val="auto"/>
              </w:rPr>
              <w:t xml:space="preserve">▪ </w:t>
            </w:r>
            <w:r>
              <w:rPr>
                <w:color w:val="auto"/>
              </w:rPr>
              <w:t>制定各种可能发生事故的应急计划，定期进行演练；配备各种必要的维护、抢修器材和设备，保证在发生事故时能及时到位；</w:t>
            </w:r>
          </w:p>
          <w:p>
            <w:pPr>
              <w:pStyle w:val="36"/>
              <w:spacing w:line="276" w:lineRule="auto"/>
              <w:jc w:val="left"/>
              <w:rPr>
                <w:color w:val="auto"/>
              </w:rPr>
            </w:pPr>
            <w:r>
              <w:rPr>
                <w:rFonts w:eastAsia="微软雅黑"/>
                <w:color w:val="auto"/>
              </w:rPr>
              <w:t xml:space="preserve">▪ </w:t>
            </w:r>
            <w:r>
              <w:rPr>
                <w:color w:val="auto"/>
              </w:rPr>
              <w:t>主管环保的人员应参加生产调度和管理工作会议，针对生产运行中存在的环境污染问题，向主管领导和生产部门提出建议和技术处理措施；</w:t>
            </w:r>
          </w:p>
          <w:p>
            <w:pPr>
              <w:pStyle w:val="36"/>
              <w:spacing w:line="276" w:lineRule="auto"/>
              <w:jc w:val="left"/>
              <w:rPr>
                <w:color w:val="auto"/>
              </w:rPr>
            </w:pPr>
            <w:bookmarkStart w:id="289" w:name="OLE_LINK22"/>
            <w:r>
              <w:rPr>
                <w:rFonts w:eastAsia="微软雅黑"/>
                <w:color w:val="auto"/>
              </w:rPr>
              <w:t xml:space="preserve">▪ </w:t>
            </w:r>
            <w:bookmarkEnd w:id="289"/>
            <w:r>
              <w:rPr>
                <w:color w:val="auto"/>
              </w:rPr>
              <w:t>按照环境监测计划，对污染物排放状况及周边环境质量状况进行监控</w:t>
            </w:r>
            <w:r>
              <w:rPr>
                <w:rFonts w:hint="eastAsia"/>
                <w:color w:val="auto"/>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340" w:hRule="atLeast"/>
        </w:trPr>
        <w:tc>
          <w:tcPr>
            <w:tcW w:w="472" w:type="pct"/>
            <w:tcBorders>
              <w:top w:val="single" w:color="auto" w:sz="6" w:space="0"/>
              <w:right w:val="single" w:color="auto" w:sz="6" w:space="0"/>
              <w:tl2br w:val="nil"/>
              <w:tr2bl w:val="nil"/>
            </w:tcBorders>
            <w:vAlign w:val="center"/>
          </w:tcPr>
          <w:p>
            <w:pPr>
              <w:pStyle w:val="36"/>
              <w:spacing w:line="276" w:lineRule="auto"/>
              <w:jc w:val="both"/>
              <w:rPr>
                <w:color w:val="auto"/>
              </w:rPr>
            </w:pPr>
            <w:r>
              <w:rPr>
                <w:rFonts w:hint="eastAsia"/>
                <w:color w:val="auto"/>
              </w:rPr>
              <w:t>事故风险管理</w:t>
            </w:r>
          </w:p>
        </w:tc>
        <w:tc>
          <w:tcPr>
            <w:tcW w:w="4527" w:type="pct"/>
            <w:tcBorders>
              <w:top w:val="single" w:color="auto" w:sz="6" w:space="0"/>
              <w:left w:val="single" w:color="auto" w:sz="6" w:space="0"/>
              <w:tl2br w:val="nil"/>
              <w:tr2bl w:val="nil"/>
            </w:tcBorders>
          </w:tcPr>
          <w:p>
            <w:pPr>
              <w:pStyle w:val="36"/>
              <w:spacing w:line="276" w:lineRule="auto"/>
              <w:jc w:val="both"/>
              <w:rPr>
                <w:color w:val="auto"/>
              </w:rPr>
            </w:pPr>
            <w:r>
              <w:rPr>
                <w:color w:val="auto"/>
              </w:rPr>
              <w:t xml:space="preserve">▪ </w:t>
            </w:r>
            <w:r>
              <w:rPr>
                <w:rFonts w:hint="eastAsia"/>
                <w:color w:val="auto"/>
              </w:rPr>
              <w:t>按照制定</w:t>
            </w:r>
            <w:r>
              <w:rPr>
                <w:color w:val="auto"/>
              </w:rPr>
              <w:t>的风险应急预案及时作出响应，</w:t>
            </w:r>
            <w:r>
              <w:rPr>
                <w:rFonts w:hint="eastAsia"/>
                <w:color w:val="auto"/>
              </w:rPr>
              <w:t>立即组织抢险救援、人员疏散、现场控制与保护、医疗救护、交通管制等应急工作；</w:t>
            </w:r>
          </w:p>
          <w:p>
            <w:pPr>
              <w:pStyle w:val="36"/>
              <w:spacing w:line="276" w:lineRule="auto"/>
              <w:jc w:val="both"/>
              <w:rPr>
                <w:color w:val="auto"/>
              </w:rPr>
            </w:pPr>
            <w:r>
              <w:rPr>
                <w:rFonts w:eastAsia="微软雅黑"/>
                <w:color w:val="auto"/>
              </w:rPr>
              <w:t xml:space="preserve">▪ </w:t>
            </w:r>
            <w:r>
              <w:rPr>
                <w:rFonts w:hint="eastAsia"/>
                <w:color w:val="auto"/>
              </w:rPr>
              <w:t>快速、准确、如实上报事故地点和应急救援情况，对可能引发重大以上事故的险情，或者其它灾害因素可能引发事故灾难的也应及时上报；</w:t>
            </w:r>
          </w:p>
          <w:p>
            <w:pPr>
              <w:pStyle w:val="36"/>
              <w:spacing w:line="276" w:lineRule="auto"/>
              <w:jc w:val="both"/>
              <w:rPr>
                <w:color w:val="auto"/>
              </w:rPr>
            </w:pPr>
            <w:r>
              <w:rPr>
                <w:rFonts w:eastAsia="微软雅黑"/>
                <w:color w:val="auto"/>
              </w:rPr>
              <w:t xml:space="preserve">▪ </w:t>
            </w:r>
            <w:r>
              <w:rPr>
                <w:rFonts w:hint="eastAsia"/>
                <w:color w:val="auto"/>
              </w:rPr>
              <w:t>准确掌握本公司应急救援处置能力，当自身应急力量不足以控制紧急事态时，立即向当地应急救援机构求助；</w:t>
            </w:r>
          </w:p>
          <w:p>
            <w:pPr>
              <w:pStyle w:val="36"/>
              <w:spacing w:line="276" w:lineRule="auto"/>
              <w:jc w:val="left"/>
              <w:rPr>
                <w:rFonts w:eastAsia="微软雅黑"/>
                <w:color w:val="auto"/>
              </w:rPr>
            </w:pPr>
            <w:r>
              <w:rPr>
                <w:color w:val="auto"/>
              </w:rPr>
              <w:t xml:space="preserve">▪ </w:t>
            </w:r>
            <w:r>
              <w:rPr>
                <w:rFonts w:hint="eastAsia"/>
                <w:color w:val="auto"/>
              </w:rPr>
              <w:t>现场应急终结后，保护现场，为事故调查、善后恢复做好准备。</w:t>
            </w:r>
          </w:p>
        </w:tc>
      </w:tr>
      <w:bookmarkEnd w:id="286"/>
    </w:tbl>
    <w:p>
      <w:pPr>
        <w:pStyle w:val="5"/>
      </w:pPr>
      <w:bookmarkStart w:id="290" w:name="OLE_LINK9"/>
      <w:bookmarkStart w:id="291" w:name="OLE_LINK15"/>
      <w:r>
        <w:t>环境管理台账要求</w:t>
      </w:r>
    </w:p>
    <w:bookmarkEnd w:id="290"/>
    <w:bookmarkEnd w:id="291"/>
    <w:p>
      <w:pPr>
        <w:autoSpaceDE w:val="0"/>
        <w:autoSpaceDN w:val="0"/>
        <w:adjustRightInd w:val="0"/>
        <w:snapToGrid w:val="0"/>
      </w:pPr>
      <w:r>
        <w:t>环境管理应贯穿于建设项目全过程，深入到生产过程的各个环节，建设单位应编制并实施环境管理手册和程序文件，完善环境管理台账。</w:t>
      </w:r>
    </w:p>
    <w:p>
      <w:pPr>
        <w:autoSpaceDE w:val="0"/>
        <w:autoSpaceDN w:val="0"/>
        <w:adjustRightInd w:val="0"/>
        <w:snapToGrid w:val="0"/>
        <w:rPr>
          <w:kern w:val="0"/>
          <w:szCs w:val="28"/>
        </w:rPr>
      </w:pPr>
      <w:bookmarkStart w:id="292" w:name="OLE_LINK11"/>
      <w:bookmarkStart w:id="293" w:name="OLE_LINK10"/>
      <w:r>
        <w:rPr>
          <w:kern w:val="0"/>
          <w:szCs w:val="28"/>
        </w:rPr>
        <w:t>项目建设及投产运行后，应建立各主要污染种类、数量、浓度、排放方式、排放去向、达标情况的台帐，并按环保部门要求及时上报</w:t>
      </w:r>
      <w:bookmarkEnd w:id="292"/>
      <w:bookmarkEnd w:id="293"/>
      <w:r>
        <w:rPr>
          <w:kern w:val="0"/>
          <w:szCs w:val="28"/>
        </w:rPr>
        <w:t>。环境管理台账记录的方式，包括电子台账、纸质台账等</w:t>
      </w:r>
    </w:p>
    <w:p>
      <w:r>
        <w:t>建议应包含的环境管理程序及台账有以下几项：</w:t>
      </w:r>
    </w:p>
    <w:p>
      <w:pPr>
        <w:pStyle w:val="7"/>
        <w:ind w:firstLine="560"/>
        <w:rPr>
          <w:color w:val="auto"/>
        </w:rPr>
      </w:pPr>
      <w:r>
        <w:rPr>
          <w:color w:val="auto"/>
        </w:rPr>
        <w:t>生产设施运行检修管理程序及台账；</w:t>
      </w:r>
    </w:p>
    <w:p>
      <w:pPr>
        <w:pStyle w:val="7"/>
        <w:ind w:firstLine="560"/>
        <w:rPr>
          <w:color w:val="auto"/>
        </w:rPr>
      </w:pPr>
      <w:r>
        <w:rPr>
          <w:color w:val="auto"/>
        </w:rPr>
        <w:t>废水及其污染治理设施管理程序及台账；</w:t>
      </w:r>
    </w:p>
    <w:p>
      <w:pPr>
        <w:pStyle w:val="7"/>
        <w:ind w:firstLine="560"/>
        <w:rPr>
          <w:color w:val="auto"/>
        </w:rPr>
      </w:pPr>
      <w:bookmarkStart w:id="294" w:name="OLE_LINK12"/>
      <w:bookmarkStart w:id="295" w:name="OLE_LINK13"/>
      <w:r>
        <w:rPr>
          <w:color w:val="auto"/>
        </w:rPr>
        <w:t>废气及其污染治理设施管理程序及台账；</w:t>
      </w:r>
    </w:p>
    <w:p>
      <w:pPr>
        <w:pStyle w:val="7"/>
        <w:ind w:firstLine="560"/>
        <w:rPr>
          <w:color w:val="auto"/>
        </w:rPr>
      </w:pPr>
      <w:r>
        <w:rPr>
          <w:color w:val="auto"/>
        </w:rPr>
        <w:t>固体废弃物及其污染治理设施管理程序及台账；</w:t>
      </w:r>
    </w:p>
    <w:p>
      <w:pPr>
        <w:pStyle w:val="7"/>
        <w:ind w:firstLine="560"/>
        <w:rPr>
          <w:color w:val="auto"/>
        </w:rPr>
      </w:pPr>
      <w:r>
        <w:rPr>
          <w:color w:val="auto"/>
        </w:rPr>
        <w:t>环境噪声污染防治管理程序及台账；</w:t>
      </w:r>
    </w:p>
    <w:p>
      <w:pPr>
        <w:pStyle w:val="7"/>
        <w:ind w:firstLine="560"/>
        <w:rPr>
          <w:color w:val="auto"/>
        </w:rPr>
      </w:pPr>
      <w:r>
        <w:rPr>
          <w:color w:val="auto"/>
        </w:rPr>
        <w:t>危险化学品管理程序及台账；</w:t>
      </w:r>
    </w:p>
    <w:bookmarkEnd w:id="294"/>
    <w:bookmarkEnd w:id="295"/>
    <w:p>
      <w:pPr>
        <w:pStyle w:val="7"/>
        <w:ind w:firstLine="560"/>
        <w:rPr>
          <w:color w:val="auto"/>
        </w:rPr>
      </w:pPr>
      <w:r>
        <w:rPr>
          <w:color w:val="auto"/>
        </w:rPr>
        <w:t>突发性环境污染事故管理程序及台账；</w:t>
      </w:r>
    </w:p>
    <w:p>
      <w:pPr>
        <w:pStyle w:val="7"/>
        <w:ind w:firstLine="560"/>
        <w:rPr>
          <w:color w:val="auto"/>
        </w:rPr>
      </w:pPr>
      <w:r>
        <w:rPr>
          <w:color w:val="auto"/>
        </w:rPr>
        <w:t>环境保护档案及公众环保意见反馈管理程序及台账；</w:t>
      </w:r>
    </w:p>
    <w:p>
      <w:pPr>
        <w:pStyle w:val="7"/>
        <w:ind w:firstLine="560"/>
        <w:rPr>
          <w:color w:val="auto"/>
        </w:rPr>
      </w:pPr>
      <w:r>
        <w:rPr>
          <w:color w:val="auto"/>
        </w:rPr>
        <w:t>环保工作自检及持续改进管理程序及台账；</w:t>
      </w:r>
    </w:p>
    <w:p>
      <w:pPr>
        <w:pStyle w:val="7"/>
        <w:ind w:firstLine="560"/>
        <w:rPr>
          <w:color w:val="auto"/>
        </w:rPr>
      </w:pPr>
      <w:r>
        <w:rPr>
          <w:color w:val="auto"/>
        </w:rPr>
        <w:t>污染源及环境质量监控管理程序及台账。</w:t>
      </w:r>
    </w:p>
    <w:p>
      <w:pPr>
        <w:pStyle w:val="4"/>
      </w:pPr>
      <w:r>
        <w:t>污染物排放管理</w:t>
      </w:r>
    </w:p>
    <w:p>
      <w:pPr>
        <w:pStyle w:val="5"/>
      </w:pPr>
      <w:r>
        <w:t>污染源排放清单</w:t>
      </w:r>
    </w:p>
    <w:p>
      <w:pPr>
        <w:pStyle w:val="27"/>
        <w:ind w:firstLine="560"/>
      </w:pPr>
      <w:r>
        <w:t>本项目</w:t>
      </w:r>
      <w:r>
        <w:rPr>
          <w:rFonts w:hint="eastAsia"/>
        </w:rPr>
        <w:t>完成后，</w:t>
      </w:r>
      <w:r>
        <w:t>废水污染物排放清单见</w:t>
      </w:r>
      <w:r>
        <w:rPr>
          <w:rFonts w:hint="eastAsia"/>
        </w:rPr>
        <w:t>表10.2-1</w:t>
      </w:r>
      <w:r>
        <w:t>，大气污染物排放清单见</w:t>
      </w:r>
      <w:r>
        <w:rPr>
          <w:rFonts w:hint="eastAsia"/>
        </w:rPr>
        <w:t>表10.2-2</w:t>
      </w:r>
      <w:r>
        <w:t>，固体废物产生及处置清单见</w:t>
      </w:r>
      <w:r>
        <w:rPr>
          <w:rFonts w:hint="eastAsia"/>
        </w:rPr>
        <w:t>表10.2-3</w:t>
      </w:r>
      <w:r>
        <w:t>，噪声排放清单见</w:t>
      </w:r>
      <w:r>
        <w:rPr>
          <w:rFonts w:hint="eastAsia"/>
        </w:rPr>
        <w:t>表10.2-4</w:t>
      </w:r>
      <w:r>
        <w:t>。</w:t>
      </w:r>
    </w:p>
    <w:p>
      <w:pPr>
        <w:pStyle w:val="27"/>
        <w:ind w:firstLine="560"/>
      </w:pPr>
    </w:p>
    <w:p>
      <w:pPr>
        <w:pStyle w:val="27"/>
        <w:ind w:firstLine="560"/>
      </w:pPr>
    </w:p>
    <w:p>
      <w:pPr>
        <w:pStyle w:val="27"/>
        <w:ind w:firstLine="560"/>
      </w:pPr>
    </w:p>
    <w:p>
      <w:pPr>
        <w:pStyle w:val="27"/>
        <w:ind w:firstLine="560"/>
        <w:sectPr>
          <w:headerReference r:id="rId21" w:type="first"/>
          <w:headerReference r:id="rId19" w:type="default"/>
          <w:footerReference r:id="rId22" w:type="default"/>
          <w:headerReference r:id="rId20" w:type="even"/>
          <w:pgSz w:w="11906" w:h="16838"/>
          <w:pgMar w:top="1474" w:right="1474" w:bottom="1474" w:left="1474" w:header="851" w:footer="851" w:gutter="0"/>
          <w:pgNumType w:chapStyle="1"/>
          <w:cols w:space="425" w:num="1"/>
          <w:docGrid w:type="lines" w:linePitch="312" w:charSpace="0"/>
        </w:sectPr>
      </w:pPr>
    </w:p>
    <w:p>
      <w:pPr>
        <w:pStyle w:val="76"/>
        <w:ind w:firstLine="482"/>
        <w:rPr>
          <w:rFonts w:cs="Times New Roman"/>
        </w:rPr>
      </w:pPr>
      <w:r>
        <w:rPr>
          <w:rFonts w:hint="eastAsia" w:cs="Times New Roman"/>
        </w:rPr>
        <w:t>表10</w:t>
      </w:r>
      <w:r>
        <w:rPr>
          <w:rFonts w:cs="Times New Roman"/>
        </w:rPr>
        <w:t xml:space="preserve">.2-1 </w:t>
      </w:r>
      <w:r>
        <w:rPr>
          <w:rFonts w:hint="eastAsia" w:cs="Times New Roman"/>
        </w:rPr>
        <w:t xml:space="preserve">           </w:t>
      </w:r>
      <w:r>
        <w:rPr>
          <w:rFonts w:cs="Times New Roman"/>
        </w:rPr>
        <w:t xml:space="preserve"> 废水</w:t>
      </w:r>
      <w:r>
        <w:rPr>
          <w:rFonts w:hint="eastAsia" w:cs="Times New Roman"/>
        </w:rPr>
        <w:t>总排口</w:t>
      </w:r>
      <w:r>
        <w:rPr>
          <w:rFonts w:cs="Times New Roman"/>
        </w:rPr>
        <w:t>污染物排放清单</w:t>
      </w:r>
    </w:p>
    <w:tbl>
      <w:tblPr>
        <w:tblStyle w:val="21"/>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09"/>
        <w:gridCol w:w="1185"/>
        <w:gridCol w:w="1111"/>
        <w:gridCol w:w="915"/>
        <w:gridCol w:w="1292"/>
        <w:gridCol w:w="967"/>
        <w:gridCol w:w="777"/>
        <w:gridCol w:w="205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Merge w:val="restart"/>
            <w:vAlign w:val="center"/>
          </w:tcPr>
          <w:p>
            <w:pPr>
              <w:pStyle w:val="55"/>
              <w:snapToGrid w:val="0"/>
              <w:spacing w:line="240" w:lineRule="atLeast"/>
              <w:ind w:firstLine="0" w:firstLineChars="0"/>
              <w:rPr>
                <w:b/>
                <w:spacing w:val="0"/>
                <w:sz w:val="21"/>
              </w:rPr>
            </w:pPr>
            <w:r>
              <w:rPr>
                <w:b/>
                <w:spacing w:val="0"/>
                <w:sz w:val="21"/>
              </w:rPr>
              <w:t>序号</w:t>
            </w:r>
          </w:p>
        </w:tc>
        <w:tc>
          <w:tcPr>
            <w:tcW w:w="657" w:type="pct"/>
            <w:vMerge w:val="restart"/>
            <w:vAlign w:val="center"/>
          </w:tcPr>
          <w:p>
            <w:pPr>
              <w:pStyle w:val="55"/>
              <w:snapToGrid w:val="0"/>
              <w:spacing w:line="240" w:lineRule="atLeast"/>
              <w:ind w:firstLine="0" w:firstLineChars="0"/>
              <w:rPr>
                <w:b/>
                <w:spacing w:val="0"/>
                <w:sz w:val="21"/>
              </w:rPr>
            </w:pPr>
            <w:r>
              <w:rPr>
                <w:b/>
                <w:spacing w:val="0"/>
                <w:sz w:val="21"/>
              </w:rPr>
              <w:t>废水(液)</w:t>
            </w:r>
          </w:p>
          <w:p>
            <w:pPr>
              <w:pStyle w:val="55"/>
              <w:snapToGrid w:val="0"/>
              <w:spacing w:line="240" w:lineRule="atLeast"/>
              <w:ind w:firstLine="0" w:firstLineChars="0"/>
              <w:rPr>
                <w:b/>
                <w:spacing w:val="0"/>
                <w:sz w:val="21"/>
              </w:rPr>
            </w:pPr>
            <w:r>
              <w:rPr>
                <w:b/>
                <w:spacing w:val="0"/>
                <w:sz w:val="21"/>
              </w:rPr>
              <w:t>名称</w:t>
            </w:r>
          </w:p>
        </w:tc>
        <w:tc>
          <w:tcPr>
            <w:tcW w:w="616" w:type="pct"/>
            <w:vMerge w:val="restart"/>
            <w:vAlign w:val="center"/>
          </w:tcPr>
          <w:p>
            <w:pPr>
              <w:pStyle w:val="55"/>
              <w:snapToGrid w:val="0"/>
              <w:spacing w:line="240" w:lineRule="atLeast"/>
              <w:ind w:firstLine="0" w:firstLineChars="0"/>
              <w:rPr>
                <w:b/>
                <w:spacing w:val="0"/>
                <w:sz w:val="21"/>
              </w:rPr>
            </w:pPr>
            <w:r>
              <w:rPr>
                <w:b/>
                <w:spacing w:val="0"/>
                <w:sz w:val="21"/>
              </w:rPr>
              <w:t>废水量</w:t>
            </w:r>
          </w:p>
          <w:p>
            <w:pPr>
              <w:pStyle w:val="55"/>
              <w:snapToGrid w:val="0"/>
              <w:spacing w:line="240" w:lineRule="atLeast"/>
              <w:ind w:firstLine="0" w:firstLineChars="0"/>
              <w:rPr>
                <w:b/>
                <w:bCs/>
                <w:spacing w:val="0"/>
                <w:sz w:val="21"/>
              </w:rPr>
            </w:pPr>
            <w:r>
              <w:rPr>
                <w:b/>
                <w:spacing w:val="0"/>
                <w:sz w:val="21"/>
              </w:rPr>
              <w:t>(m</w:t>
            </w:r>
            <w:r>
              <w:rPr>
                <w:b/>
                <w:spacing w:val="0"/>
                <w:sz w:val="21"/>
                <w:vertAlign w:val="superscript"/>
              </w:rPr>
              <w:t>3</w:t>
            </w:r>
            <w:r>
              <w:rPr>
                <w:b/>
                <w:spacing w:val="0"/>
                <w:sz w:val="21"/>
              </w:rPr>
              <w:t>/h)</w:t>
            </w:r>
          </w:p>
        </w:tc>
        <w:tc>
          <w:tcPr>
            <w:tcW w:w="1223" w:type="pct"/>
            <w:gridSpan w:val="2"/>
            <w:vAlign w:val="center"/>
          </w:tcPr>
          <w:p>
            <w:pPr>
              <w:pStyle w:val="55"/>
              <w:snapToGrid w:val="0"/>
              <w:spacing w:line="240" w:lineRule="atLeast"/>
              <w:ind w:firstLine="0" w:firstLineChars="0"/>
              <w:rPr>
                <w:b/>
                <w:spacing w:val="0"/>
                <w:sz w:val="21"/>
              </w:rPr>
            </w:pPr>
            <w:r>
              <w:rPr>
                <w:b/>
                <w:spacing w:val="0"/>
                <w:sz w:val="21"/>
              </w:rPr>
              <w:t>组成特征</w:t>
            </w:r>
          </w:p>
        </w:tc>
        <w:tc>
          <w:tcPr>
            <w:tcW w:w="967" w:type="pct"/>
            <w:gridSpan w:val="2"/>
            <w:vAlign w:val="center"/>
          </w:tcPr>
          <w:p>
            <w:pPr>
              <w:pStyle w:val="55"/>
              <w:snapToGrid w:val="0"/>
              <w:spacing w:line="240" w:lineRule="atLeast"/>
              <w:ind w:firstLine="0" w:firstLineChars="0"/>
              <w:rPr>
                <w:b/>
                <w:spacing w:val="0"/>
                <w:sz w:val="21"/>
              </w:rPr>
            </w:pPr>
            <w:r>
              <w:rPr>
                <w:b/>
                <w:spacing w:val="0"/>
                <w:sz w:val="21"/>
              </w:rPr>
              <w:t>排放特性</w:t>
            </w:r>
          </w:p>
        </w:tc>
        <w:tc>
          <w:tcPr>
            <w:tcW w:w="1141" w:type="pct"/>
            <w:vMerge w:val="restart"/>
            <w:vAlign w:val="center"/>
          </w:tcPr>
          <w:p>
            <w:pPr>
              <w:pStyle w:val="55"/>
              <w:snapToGrid w:val="0"/>
              <w:spacing w:line="240" w:lineRule="atLeast"/>
              <w:ind w:firstLine="0" w:firstLineChars="0"/>
              <w:rPr>
                <w:b/>
                <w:spacing w:val="0"/>
                <w:sz w:val="21"/>
              </w:rPr>
            </w:pPr>
            <w:r>
              <w:rPr>
                <w:b/>
                <w:spacing w:val="0"/>
                <w:sz w:val="21"/>
              </w:rPr>
              <w:t>排放方式及去向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Merge w:val="continue"/>
            <w:vAlign w:val="center"/>
          </w:tcPr>
          <w:p>
            <w:pPr>
              <w:pStyle w:val="55"/>
              <w:snapToGrid w:val="0"/>
              <w:spacing w:line="240" w:lineRule="atLeast"/>
              <w:ind w:firstLine="0" w:firstLineChars="0"/>
              <w:rPr>
                <w:b/>
                <w:spacing w:val="0"/>
                <w:sz w:val="21"/>
              </w:rPr>
            </w:pPr>
          </w:p>
        </w:tc>
        <w:tc>
          <w:tcPr>
            <w:tcW w:w="657" w:type="pct"/>
            <w:vMerge w:val="continue"/>
            <w:vAlign w:val="center"/>
          </w:tcPr>
          <w:p>
            <w:pPr>
              <w:pStyle w:val="55"/>
              <w:snapToGrid w:val="0"/>
              <w:spacing w:line="240" w:lineRule="atLeast"/>
              <w:ind w:firstLine="0" w:firstLineChars="0"/>
              <w:rPr>
                <w:b/>
                <w:spacing w:val="0"/>
                <w:sz w:val="21"/>
              </w:rPr>
            </w:pPr>
          </w:p>
        </w:tc>
        <w:tc>
          <w:tcPr>
            <w:tcW w:w="616" w:type="pct"/>
            <w:vMerge w:val="continue"/>
            <w:vAlign w:val="center"/>
          </w:tcPr>
          <w:p>
            <w:pPr>
              <w:pStyle w:val="55"/>
              <w:snapToGrid w:val="0"/>
              <w:spacing w:line="240" w:lineRule="atLeast"/>
              <w:ind w:firstLine="0" w:firstLineChars="0"/>
              <w:rPr>
                <w:b/>
                <w:spacing w:val="0"/>
                <w:sz w:val="21"/>
              </w:rPr>
            </w:pPr>
          </w:p>
        </w:tc>
        <w:tc>
          <w:tcPr>
            <w:tcW w:w="507" w:type="pct"/>
            <w:vAlign w:val="center"/>
          </w:tcPr>
          <w:p>
            <w:pPr>
              <w:pStyle w:val="55"/>
              <w:snapToGrid w:val="0"/>
              <w:spacing w:line="240" w:lineRule="atLeast"/>
              <w:ind w:firstLine="0" w:firstLineChars="0"/>
              <w:rPr>
                <w:b/>
                <w:spacing w:val="0"/>
                <w:sz w:val="21"/>
              </w:rPr>
            </w:pPr>
            <w:r>
              <w:rPr>
                <w:b/>
                <w:spacing w:val="0"/>
                <w:sz w:val="21"/>
              </w:rPr>
              <w:t>因子</w:t>
            </w:r>
          </w:p>
        </w:tc>
        <w:tc>
          <w:tcPr>
            <w:tcW w:w="716" w:type="pct"/>
            <w:vAlign w:val="center"/>
          </w:tcPr>
          <w:p>
            <w:pPr>
              <w:pStyle w:val="55"/>
              <w:snapToGrid w:val="0"/>
              <w:spacing w:line="240" w:lineRule="atLeast"/>
              <w:ind w:firstLine="0" w:firstLineChars="0"/>
              <w:rPr>
                <w:b/>
                <w:spacing w:val="0"/>
                <w:sz w:val="21"/>
              </w:rPr>
            </w:pPr>
            <w:r>
              <w:rPr>
                <w:b/>
                <w:spacing w:val="0"/>
                <w:sz w:val="21"/>
              </w:rPr>
              <w:t>产生浓度</w:t>
            </w:r>
          </w:p>
          <w:p>
            <w:pPr>
              <w:pStyle w:val="55"/>
              <w:snapToGrid w:val="0"/>
              <w:spacing w:line="240" w:lineRule="atLeast"/>
              <w:ind w:firstLine="0" w:firstLineChars="0"/>
              <w:rPr>
                <w:b/>
                <w:spacing w:val="0"/>
                <w:sz w:val="21"/>
              </w:rPr>
            </w:pPr>
            <w:r>
              <w:rPr>
                <w:b/>
                <w:spacing w:val="0"/>
                <w:sz w:val="21"/>
              </w:rPr>
              <w:t>（mg/L）</w:t>
            </w:r>
          </w:p>
        </w:tc>
        <w:tc>
          <w:tcPr>
            <w:tcW w:w="536" w:type="pct"/>
            <w:vAlign w:val="center"/>
          </w:tcPr>
          <w:p>
            <w:pPr>
              <w:pStyle w:val="55"/>
              <w:snapToGrid w:val="0"/>
              <w:spacing w:line="240" w:lineRule="atLeast"/>
              <w:ind w:firstLine="0" w:firstLineChars="0"/>
              <w:rPr>
                <w:b/>
                <w:spacing w:val="0"/>
                <w:sz w:val="21"/>
              </w:rPr>
            </w:pPr>
            <w:r>
              <w:rPr>
                <w:b/>
                <w:spacing w:val="0"/>
                <w:sz w:val="21"/>
              </w:rPr>
              <w:t>温度</w:t>
            </w:r>
          </w:p>
          <w:p>
            <w:pPr>
              <w:pStyle w:val="55"/>
              <w:snapToGrid w:val="0"/>
              <w:spacing w:line="240" w:lineRule="atLeast"/>
              <w:ind w:firstLine="0" w:firstLineChars="0"/>
              <w:rPr>
                <w:b/>
                <w:spacing w:val="0"/>
                <w:sz w:val="21"/>
              </w:rPr>
            </w:pPr>
            <w:r>
              <w:rPr>
                <w:b/>
                <w:spacing w:val="0"/>
                <w:sz w:val="21"/>
              </w:rPr>
              <w:t>(℃)</w:t>
            </w:r>
          </w:p>
        </w:tc>
        <w:tc>
          <w:tcPr>
            <w:tcW w:w="430" w:type="pct"/>
            <w:vAlign w:val="center"/>
          </w:tcPr>
          <w:p>
            <w:pPr>
              <w:pStyle w:val="55"/>
              <w:snapToGrid w:val="0"/>
              <w:spacing w:line="240" w:lineRule="atLeast"/>
              <w:ind w:firstLine="0" w:firstLineChars="0"/>
              <w:rPr>
                <w:b/>
                <w:spacing w:val="0"/>
                <w:sz w:val="21"/>
              </w:rPr>
            </w:pPr>
            <w:r>
              <w:rPr>
                <w:b/>
                <w:spacing w:val="0"/>
                <w:sz w:val="21"/>
              </w:rPr>
              <w:t>规律</w:t>
            </w:r>
          </w:p>
        </w:tc>
        <w:tc>
          <w:tcPr>
            <w:tcW w:w="1141" w:type="pct"/>
            <w:vMerge w:val="continue"/>
            <w:vAlign w:val="center"/>
          </w:tcPr>
          <w:p>
            <w:pPr>
              <w:pStyle w:val="55"/>
              <w:snapToGrid w:val="0"/>
              <w:spacing w:line="240" w:lineRule="atLeast"/>
              <w:ind w:firstLine="0" w:firstLineChars="0"/>
              <w:rPr>
                <w:spacing w:val="0"/>
                <w:sz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Align w:val="center"/>
          </w:tcPr>
          <w:p>
            <w:pPr>
              <w:pStyle w:val="53"/>
              <w:snapToGrid w:val="0"/>
              <w:spacing w:line="240" w:lineRule="atLeast"/>
              <w:ind w:firstLine="0" w:firstLineChars="0"/>
              <w:jc w:val="center"/>
              <w:rPr>
                <w:rFonts w:eastAsia="宋体"/>
                <w:b w:val="0"/>
                <w:snapToGrid w:val="0"/>
                <w:spacing w:val="0"/>
                <w:kern w:val="0"/>
                <w:sz w:val="21"/>
                <w:szCs w:val="21"/>
              </w:rPr>
            </w:pPr>
            <w:r>
              <w:rPr>
                <w:rFonts w:eastAsia="宋体"/>
                <w:b w:val="0"/>
                <w:spacing w:val="0"/>
                <w:sz w:val="21"/>
                <w:szCs w:val="21"/>
              </w:rPr>
              <w:t>W</w:t>
            </w:r>
            <w:r>
              <w:rPr>
                <w:rFonts w:eastAsia="宋体"/>
                <w:b w:val="0"/>
                <w:spacing w:val="0"/>
                <w:sz w:val="21"/>
                <w:szCs w:val="21"/>
                <w:vertAlign w:val="subscript"/>
              </w:rPr>
              <w:t>3</w:t>
            </w:r>
          </w:p>
        </w:tc>
        <w:tc>
          <w:tcPr>
            <w:tcW w:w="657" w:type="pct"/>
            <w:vAlign w:val="center"/>
          </w:tcPr>
          <w:p>
            <w:pPr>
              <w:pStyle w:val="53"/>
              <w:snapToGrid w:val="0"/>
              <w:spacing w:line="240" w:lineRule="atLeast"/>
              <w:ind w:firstLine="0" w:firstLineChars="0"/>
              <w:jc w:val="left"/>
              <w:rPr>
                <w:rFonts w:eastAsia="宋体"/>
                <w:b w:val="0"/>
                <w:bCs/>
                <w:snapToGrid w:val="0"/>
                <w:spacing w:val="0"/>
                <w:kern w:val="0"/>
                <w:sz w:val="21"/>
                <w:szCs w:val="21"/>
              </w:rPr>
            </w:pPr>
            <w:r>
              <w:rPr>
                <w:rFonts w:eastAsia="宋体"/>
                <w:b w:val="0"/>
                <w:bCs/>
                <w:spacing w:val="0"/>
                <w:kern w:val="0"/>
                <w:sz w:val="21"/>
                <w:szCs w:val="21"/>
              </w:rPr>
              <w:t>尾气洗涤塔外排水</w:t>
            </w:r>
          </w:p>
        </w:tc>
        <w:tc>
          <w:tcPr>
            <w:tcW w:w="616" w:type="pct"/>
            <w:vAlign w:val="center"/>
          </w:tcPr>
          <w:p>
            <w:pPr>
              <w:pStyle w:val="55"/>
              <w:snapToGrid w:val="0"/>
              <w:spacing w:line="240" w:lineRule="atLeast"/>
              <w:ind w:firstLine="0" w:firstLineChars="0"/>
              <w:rPr>
                <w:spacing w:val="0"/>
                <w:sz w:val="21"/>
              </w:rPr>
            </w:pPr>
            <w:r>
              <w:rPr>
                <w:spacing w:val="0"/>
                <w:sz w:val="21"/>
              </w:rPr>
              <w:t>0.47</w:t>
            </w:r>
          </w:p>
        </w:tc>
        <w:tc>
          <w:tcPr>
            <w:tcW w:w="507" w:type="pct"/>
            <w:vAlign w:val="center"/>
          </w:tcPr>
          <w:p>
            <w:pPr>
              <w:autoSpaceDE w:val="0"/>
              <w:autoSpaceDN w:val="0"/>
              <w:snapToGrid w:val="0"/>
              <w:spacing w:line="240" w:lineRule="atLeast"/>
              <w:ind w:firstLine="0" w:firstLineChars="0"/>
              <w:jc w:val="center"/>
              <w:rPr>
                <w:sz w:val="21"/>
                <w:szCs w:val="21"/>
              </w:rPr>
            </w:pPr>
            <w:r>
              <w:rPr>
                <w:sz w:val="21"/>
                <w:szCs w:val="21"/>
              </w:rPr>
              <w:t>COD</w:t>
            </w:r>
          </w:p>
          <w:p>
            <w:pPr>
              <w:autoSpaceDE w:val="0"/>
              <w:autoSpaceDN w:val="0"/>
              <w:snapToGrid w:val="0"/>
              <w:spacing w:line="240" w:lineRule="atLeast"/>
              <w:ind w:firstLine="0" w:firstLineChars="0"/>
              <w:jc w:val="center"/>
              <w:rPr>
                <w:sz w:val="21"/>
                <w:szCs w:val="21"/>
                <w:vertAlign w:val="subscript"/>
              </w:rPr>
            </w:pPr>
            <w:r>
              <w:rPr>
                <w:sz w:val="21"/>
                <w:szCs w:val="21"/>
              </w:rPr>
              <w:t>BOD</w:t>
            </w:r>
            <w:r>
              <w:rPr>
                <w:sz w:val="21"/>
                <w:szCs w:val="21"/>
                <w:vertAlign w:val="subscript"/>
              </w:rPr>
              <w:t>5</w:t>
            </w:r>
          </w:p>
          <w:p>
            <w:pPr>
              <w:autoSpaceDE w:val="0"/>
              <w:autoSpaceDN w:val="0"/>
              <w:snapToGrid w:val="0"/>
              <w:spacing w:line="240" w:lineRule="atLeast"/>
              <w:ind w:firstLine="0" w:firstLineChars="0"/>
              <w:jc w:val="center"/>
              <w:rPr>
                <w:sz w:val="21"/>
                <w:szCs w:val="21"/>
              </w:rPr>
            </w:pPr>
            <w:r>
              <w:rPr>
                <w:sz w:val="21"/>
                <w:szCs w:val="21"/>
              </w:rPr>
              <w:t>SS</w:t>
            </w:r>
          </w:p>
          <w:p>
            <w:pPr>
              <w:autoSpaceDE w:val="0"/>
              <w:autoSpaceDN w:val="0"/>
              <w:snapToGrid w:val="0"/>
              <w:spacing w:line="240" w:lineRule="atLeast"/>
              <w:ind w:firstLine="0" w:firstLineChars="0"/>
              <w:jc w:val="center"/>
              <w:rPr>
                <w:sz w:val="21"/>
                <w:szCs w:val="21"/>
              </w:rPr>
            </w:pPr>
            <w:r>
              <w:rPr>
                <w:sz w:val="21"/>
                <w:szCs w:val="21"/>
              </w:rPr>
              <w:t>NH</w:t>
            </w:r>
            <w:r>
              <w:rPr>
                <w:sz w:val="21"/>
                <w:szCs w:val="21"/>
                <w:vertAlign w:val="subscript"/>
              </w:rPr>
              <w:t>3</w:t>
            </w:r>
            <w:r>
              <w:rPr>
                <w:sz w:val="21"/>
                <w:szCs w:val="21"/>
              </w:rPr>
              <w:t>-N</w:t>
            </w:r>
          </w:p>
        </w:tc>
        <w:tc>
          <w:tcPr>
            <w:tcW w:w="716" w:type="pct"/>
            <w:vAlign w:val="center"/>
          </w:tcPr>
          <w:p>
            <w:pPr>
              <w:autoSpaceDE w:val="0"/>
              <w:autoSpaceDN w:val="0"/>
              <w:snapToGrid w:val="0"/>
              <w:spacing w:line="240" w:lineRule="atLeast"/>
              <w:ind w:firstLine="0" w:firstLineChars="0"/>
              <w:jc w:val="center"/>
              <w:rPr>
                <w:sz w:val="21"/>
                <w:szCs w:val="21"/>
              </w:rPr>
            </w:pPr>
            <w:r>
              <w:rPr>
                <w:sz w:val="21"/>
                <w:szCs w:val="21"/>
              </w:rPr>
              <w:t>12000</w:t>
            </w:r>
          </w:p>
          <w:p>
            <w:pPr>
              <w:autoSpaceDE w:val="0"/>
              <w:autoSpaceDN w:val="0"/>
              <w:snapToGrid w:val="0"/>
              <w:spacing w:line="240" w:lineRule="atLeast"/>
              <w:ind w:firstLine="0" w:firstLineChars="0"/>
              <w:jc w:val="center"/>
              <w:rPr>
                <w:sz w:val="21"/>
                <w:szCs w:val="21"/>
              </w:rPr>
            </w:pPr>
            <w:r>
              <w:rPr>
                <w:sz w:val="21"/>
                <w:szCs w:val="21"/>
              </w:rPr>
              <w:t>5500</w:t>
            </w:r>
          </w:p>
          <w:p>
            <w:pPr>
              <w:autoSpaceDE w:val="0"/>
              <w:autoSpaceDN w:val="0"/>
              <w:snapToGrid w:val="0"/>
              <w:spacing w:line="240" w:lineRule="atLeast"/>
              <w:ind w:firstLine="0" w:firstLineChars="0"/>
              <w:jc w:val="center"/>
              <w:rPr>
                <w:sz w:val="21"/>
                <w:szCs w:val="21"/>
              </w:rPr>
            </w:pPr>
            <w:r>
              <w:rPr>
                <w:sz w:val="21"/>
                <w:szCs w:val="21"/>
              </w:rPr>
              <w:t>150</w:t>
            </w:r>
          </w:p>
          <w:p>
            <w:pPr>
              <w:autoSpaceDE w:val="0"/>
              <w:autoSpaceDN w:val="0"/>
              <w:snapToGrid w:val="0"/>
              <w:spacing w:line="240" w:lineRule="atLeast"/>
              <w:ind w:firstLine="0" w:firstLineChars="0"/>
              <w:jc w:val="center"/>
              <w:rPr>
                <w:sz w:val="21"/>
                <w:szCs w:val="21"/>
              </w:rPr>
            </w:pPr>
            <w:r>
              <w:rPr>
                <w:sz w:val="21"/>
                <w:szCs w:val="21"/>
              </w:rPr>
              <w:t>5</w:t>
            </w:r>
          </w:p>
        </w:tc>
        <w:tc>
          <w:tcPr>
            <w:tcW w:w="536" w:type="pct"/>
            <w:vAlign w:val="center"/>
          </w:tcPr>
          <w:p>
            <w:pPr>
              <w:snapToGrid w:val="0"/>
              <w:spacing w:line="240" w:lineRule="atLeast"/>
              <w:ind w:firstLine="0" w:firstLineChars="0"/>
              <w:jc w:val="center"/>
              <w:rPr>
                <w:sz w:val="21"/>
                <w:szCs w:val="21"/>
              </w:rPr>
            </w:pPr>
            <w:r>
              <w:rPr>
                <w:sz w:val="21"/>
                <w:szCs w:val="21"/>
              </w:rPr>
              <w:t>常温</w:t>
            </w:r>
          </w:p>
        </w:tc>
        <w:tc>
          <w:tcPr>
            <w:tcW w:w="430" w:type="pct"/>
            <w:vAlign w:val="center"/>
          </w:tcPr>
          <w:p>
            <w:pPr>
              <w:snapToGrid w:val="0"/>
              <w:spacing w:line="240" w:lineRule="atLeast"/>
              <w:ind w:firstLine="0" w:firstLineChars="0"/>
              <w:jc w:val="center"/>
              <w:rPr>
                <w:sz w:val="21"/>
                <w:szCs w:val="21"/>
              </w:rPr>
            </w:pPr>
            <w:r>
              <w:rPr>
                <w:sz w:val="21"/>
                <w:szCs w:val="21"/>
              </w:rPr>
              <w:t>连续</w:t>
            </w:r>
          </w:p>
        </w:tc>
        <w:tc>
          <w:tcPr>
            <w:tcW w:w="1141" w:type="pct"/>
            <w:vMerge w:val="restart"/>
            <w:vAlign w:val="center"/>
          </w:tcPr>
          <w:p>
            <w:pPr>
              <w:snapToGrid w:val="0"/>
              <w:spacing w:line="240" w:lineRule="atLeast"/>
              <w:ind w:firstLine="0" w:firstLineChars="0"/>
              <w:rPr>
                <w:sz w:val="21"/>
                <w:szCs w:val="21"/>
              </w:rPr>
            </w:pPr>
            <w:r>
              <w:rPr>
                <w:sz w:val="21"/>
                <w:szCs w:val="21"/>
              </w:rPr>
              <w:t>废水排入厂区现有30万吨甲醇项目污水处理站处理，处理达标后排入濮阳市第二污水处理厂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Align w:val="center"/>
          </w:tcPr>
          <w:p>
            <w:pPr>
              <w:pStyle w:val="53"/>
              <w:snapToGrid w:val="0"/>
              <w:spacing w:line="240" w:lineRule="atLeast"/>
              <w:ind w:firstLine="0" w:firstLineChars="0"/>
              <w:jc w:val="center"/>
              <w:rPr>
                <w:rFonts w:eastAsia="宋体"/>
                <w:b w:val="0"/>
                <w:spacing w:val="0"/>
                <w:sz w:val="21"/>
                <w:szCs w:val="21"/>
              </w:rPr>
            </w:pPr>
            <w:r>
              <w:rPr>
                <w:rFonts w:eastAsia="宋体"/>
                <w:b w:val="0"/>
                <w:spacing w:val="0"/>
                <w:sz w:val="21"/>
                <w:szCs w:val="21"/>
              </w:rPr>
              <w:t>W</w:t>
            </w:r>
            <w:r>
              <w:rPr>
                <w:rFonts w:eastAsia="宋体"/>
                <w:b w:val="0"/>
                <w:spacing w:val="0"/>
                <w:sz w:val="21"/>
                <w:szCs w:val="21"/>
                <w:vertAlign w:val="subscript"/>
              </w:rPr>
              <w:t>4</w:t>
            </w:r>
          </w:p>
        </w:tc>
        <w:tc>
          <w:tcPr>
            <w:tcW w:w="657" w:type="pct"/>
            <w:vAlign w:val="center"/>
          </w:tcPr>
          <w:p>
            <w:pPr>
              <w:pStyle w:val="53"/>
              <w:snapToGrid w:val="0"/>
              <w:spacing w:line="240" w:lineRule="atLeast"/>
              <w:ind w:firstLine="0" w:firstLineChars="0"/>
              <w:jc w:val="left"/>
              <w:rPr>
                <w:rFonts w:eastAsia="宋体"/>
                <w:b w:val="0"/>
                <w:bCs/>
                <w:spacing w:val="0"/>
                <w:kern w:val="0"/>
                <w:sz w:val="21"/>
                <w:szCs w:val="21"/>
              </w:rPr>
            </w:pPr>
            <w:r>
              <w:rPr>
                <w:rFonts w:eastAsia="宋体"/>
                <w:b w:val="0"/>
                <w:snapToGrid w:val="0"/>
                <w:spacing w:val="0"/>
                <w:kern w:val="0"/>
                <w:sz w:val="21"/>
                <w:szCs w:val="21"/>
              </w:rPr>
              <w:t>真空系统废水</w:t>
            </w:r>
          </w:p>
        </w:tc>
        <w:tc>
          <w:tcPr>
            <w:tcW w:w="616" w:type="pct"/>
            <w:vAlign w:val="center"/>
          </w:tcPr>
          <w:p>
            <w:pPr>
              <w:pStyle w:val="55"/>
              <w:snapToGrid w:val="0"/>
              <w:spacing w:line="240" w:lineRule="atLeast"/>
              <w:ind w:firstLine="0" w:firstLineChars="0"/>
              <w:rPr>
                <w:spacing w:val="0"/>
                <w:sz w:val="21"/>
              </w:rPr>
            </w:pPr>
            <w:r>
              <w:rPr>
                <w:spacing w:val="0"/>
                <w:sz w:val="21"/>
              </w:rPr>
              <w:t>0.5</w:t>
            </w:r>
          </w:p>
        </w:tc>
        <w:tc>
          <w:tcPr>
            <w:tcW w:w="507" w:type="pct"/>
            <w:vAlign w:val="center"/>
          </w:tcPr>
          <w:p>
            <w:pPr>
              <w:autoSpaceDE w:val="0"/>
              <w:autoSpaceDN w:val="0"/>
              <w:snapToGrid w:val="0"/>
              <w:spacing w:line="240" w:lineRule="atLeast"/>
              <w:ind w:firstLine="0" w:firstLineChars="0"/>
              <w:jc w:val="center"/>
              <w:rPr>
                <w:sz w:val="21"/>
                <w:szCs w:val="21"/>
              </w:rPr>
            </w:pPr>
            <w:r>
              <w:rPr>
                <w:sz w:val="21"/>
                <w:szCs w:val="21"/>
              </w:rPr>
              <w:t>COD</w:t>
            </w:r>
          </w:p>
          <w:p>
            <w:pPr>
              <w:autoSpaceDE w:val="0"/>
              <w:autoSpaceDN w:val="0"/>
              <w:snapToGrid w:val="0"/>
              <w:spacing w:line="240" w:lineRule="atLeast"/>
              <w:ind w:firstLine="0" w:firstLineChars="0"/>
              <w:jc w:val="center"/>
              <w:rPr>
                <w:sz w:val="21"/>
                <w:szCs w:val="21"/>
                <w:vertAlign w:val="subscript"/>
              </w:rPr>
            </w:pPr>
            <w:r>
              <w:rPr>
                <w:sz w:val="21"/>
                <w:szCs w:val="21"/>
              </w:rPr>
              <w:t>BOD</w:t>
            </w:r>
            <w:r>
              <w:rPr>
                <w:sz w:val="21"/>
                <w:szCs w:val="21"/>
                <w:vertAlign w:val="subscript"/>
              </w:rPr>
              <w:t>5</w:t>
            </w:r>
          </w:p>
          <w:p>
            <w:pPr>
              <w:autoSpaceDE w:val="0"/>
              <w:autoSpaceDN w:val="0"/>
              <w:snapToGrid w:val="0"/>
              <w:spacing w:line="240" w:lineRule="atLeast"/>
              <w:ind w:firstLine="0" w:firstLineChars="0"/>
              <w:jc w:val="center"/>
              <w:rPr>
                <w:sz w:val="21"/>
                <w:szCs w:val="21"/>
              </w:rPr>
            </w:pPr>
            <w:r>
              <w:rPr>
                <w:sz w:val="21"/>
                <w:szCs w:val="21"/>
              </w:rPr>
              <w:t>SS</w:t>
            </w:r>
          </w:p>
          <w:p>
            <w:pPr>
              <w:autoSpaceDE w:val="0"/>
              <w:autoSpaceDN w:val="0"/>
              <w:snapToGrid w:val="0"/>
              <w:spacing w:line="240" w:lineRule="atLeast"/>
              <w:ind w:firstLine="0" w:firstLineChars="0"/>
              <w:jc w:val="center"/>
              <w:rPr>
                <w:sz w:val="21"/>
                <w:szCs w:val="21"/>
              </w:rPr>
            </w:pPr>
            <w:r>
              <w:rPr>
                <w:sz w:val="21"/>
                <w:szCs w:val="21"/>
              </w:rPr>
              <w:t>NH</w:t>
            </w:r>
            <w:r>
              <w:rPr>
                <w:sz w:val="21"/>
                <w:szCs w:val="21"/>
                <w:vertAlign w:val="subscript"/>
              </w:rPr>
              <w:t>3</w:t>
            </w:r>
            <w:r>
              <w:rPr>
                <w:sz w:val="21"/>
                <w:szCs w:val="21"/>
              </w:rPr>
              <w:t>-N</w:t>
            </w:r>
          </w:p>
        </w:tc>
        <w:tc>
          <w:tcPr>
            <w:tcW w:w="716" w:type="pct"/>
            <w:vAlign w:val="center"/>
          </w:tcPr>
          <w:p>
            <w:pPr>
              <w:autoSpaceDE w:val="0"/>
              <w:autoSpaceDN w:val="0"/>
              <w:snapToGrid w:val="0"/>
              <w:spacing w:line="240" w:lineRule="atLeast"/>
              <w:ind w:firstLine="0" w:firstLineChars="0"/>
              <w:jc w:val="center"/>
              <w:rPr>
                <w:sz w:val="21"/>
                <w:szCs w:val="21"/>
              </w:rPr>
            </w:pPr>
            <w:r>
              <w:rPr>
                <w:sz w:val="21"/>
                <w:szCs w:val="21"/>
              </w:rPr>
              <w:t>4000</w:t>
            </w:r>
          </w:p>
          <w:p>
            <w:pPr>
              <w:autoSpaceDE w:val="0"/>
              <w:autoSpaceDN w:val="0"/>
              <w:snapToGrid w:val="0"/>
              <w:spacing w:line="240" w:lineRule="atLeast"/>
              <w:ind w:firstLine="0" w:firstLineChars="0"/>
              <w:jc w:val="center"/>
              <w:rPr>
                <w:sz w:val="21"/>
                <w:szCs w:val="21"/>
              </w:rPr>
            </w:pPr>
            <w:r>
              <w:rPr>
                <w:sz w:val="21"/>
                <w:szCs w:val="21"/>
              </w:rPr>
              <w:t>1800</w:t>
            </w:r>
          </w:p>
          <w:p>
            <w:pPr>
              <w:autoSpaceDE w:val="0"/>
              <w:autoSpaceDN w:val="0"/>
              <w:snapToGrid w:val="0"/>
              <w:spacing w:line="240" w:lineRule="atLeast"/>
              <w:ind w:firstLine="0" w:firstLineChars="0"/>
              <w:jc w:val="center"/>
              <w:rPr>
                <w:sz w:val="21"/>
                <w:szCs w:val="21"/>
              </w:rPr>
            </w:pPr>
            <w:r>
              <w:rPr>
                <w:sz w:val="21"/>
                <w:szCs w:val="21"/>
              </w:rPr>
              <w:t>150</w:t>
            </w:r>
          </w:p>
          <w:p>
            <w:pPr>
              <w:autoSpaceDE w:val="0"/>
              <w:autoSpaceDN w:val="0"/>
              <w:snapToGrid w:val="0"/>
              <w:spacing w:line="240" w:lineRule="atLeast"/>
              <w:ind w:firstLine="0" w:firstLineChars="0"/>
              <w:jc w:val="center"/>
              <w:rPr>
                <w:sz w:val="21"/>
                <w:szCs w:val="21"/>
              </w:rPr>
            </w:pPr>
            <w:r>
              <w:rPr>
                <w:sz w:val="21"/>
                <w:szCs w:val="21"/>
              </w:rPr>
              <w:t>5</w:t>
            </w:r>
          </w:p>
        </w:tc>
        <w:tc>
          <w:tcPr>
            <w:tcW w:w="536" w:type="pct"/>
            <w:vAlign w:val="center"/>
          </w:tcPr>
          <w:p>
            <w:pPr>
              <w:snapToGrid w:val="0"/>
              <w:spacing w:line="240" w:lineRule="atLeast"/>
              <w:ind w:firstLine="0" w:firstLineChars="0"/>
              <w:jc w:val="center"/>
              <w:rPr>
                <w:sz w:val="21"/>
                <w:szCs w:val="21"/>
              </w:rPr>
            </w:pPr>
            <w:r>
              <w:rPr>
                <w:sz w:val="21"/>
                <w:szCs w:val="21"/>
              </w:rPr>
              <w:t>常温</w:t>
            </w:r>
          </w:p>
        </w:tc>
        <w:tc>
          <w:tcPr>
            <w:tcW w:w="430" w:type="pct"/>
            <w:vAlign w:val="center"/>
          </w:tcPr>
          <w:p>
            <w:pPr>
              <w:snapToGrid w:val="0"/>
              <w:spacing w:line="240" w:lineRule="atLeast"/>
              <w:ind w:firstLine="0" w:firstLineChars="0"/>
              <w:jc w:val="center"/>
              <w:rPr>
                <w:sz w:val="21"/>
                <w:szCs w:val="21"/>
              </w:rPr>
            </w:pPr>
            <w:r>
              <w:rPr>
                <w:sz w:val="21"/>
                <w:szCs w:val="21"/>
              </w:rPr>
              <w:t>连续</w:t>
            </w:r>
          </w:p>
        </w:tc>
        <w:tc>
          <w:tcPr>
            <w:tcW w:w="1141" w:type="pct"/>
            <w:vMerge w:val="continue"/>
            <w:vAlign w:val="center"/>
          </w:tcPr>
          <w:p>
            <w:pPr>
              <w:snapToGrid w:val="0"/>
              <w:spacing w:line="240" w:lineRule="atLeast"/>
              <w:ind w:firstLine="0" w:firstLineChars="0"/>
              <w:rPr>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Align w:val="center"/>
          </w:tcPr>
          <w:p>
            <w:pPr>
              <w:pStyle w:val="53"/>
              <w:snapToGrid w:val="0"/>
              <w:spacing w:line="240" w:lineRule="atLeast"/>
              <w:ind w:firstLine="0" w:firstLineChars="0"/>
              <w:jc w:val="center"/>
              <w:rPr>
                <w:rFonts w:eastAsia="宋体"/>
                <w:b w:val="0"/>
                <w:spacing w:val="0"/>
                <w:sz w:val="21"/>
                <w:szCs w:val="21"/>
              </w:rPr>
            </w:pPr>
            <w:r>
              <w:rPr>
                <w:rFonts w:eastAsia="宋体"/>
                <w:b w:val="0"/>
                <w:spacing w:val="0"/>
                <w:sz w:val="21"/>
                <w:szCs w:val="21"/>
              </w:rPr>
              <w:t>W</w:t>
            </w:r>
            <w:r>
              <w:rPr>
                <w:rFonts w:eastAsia="宋体"/>
                <w:b w:val="0"/>
                <w:spacing w:val="0"/>
                <w:sz w:val="21"/>
                <w:szCs w:val="21"/>
                <w:vertAlign w:val="subscript"/>
              </w:rPr>
              <w:t>7</w:t>
            </w:r>
          </w:p>
        </w:tc>
        <w:tc>
          <w:tcPr>
            <w:tcW w:w="657" w:type="pct"/>
            <w:vAlign w:val="center"/>
          </w:tcPr>
          <w:p>
            <w:pPr>
              <w:pStyle w:val="53"/>
              <w:snapToGrid w:val="0"/>
              <w:spacing w:line="240" w:lineRule="atLeast"/>
              <w:ind w:firstLine="0" w:firstLineChars="0"/>
              <w:jc w:val="left"/>
              <w:rPr>
                <w:rFonts w:eastAsia="宋体"/>
                <w:b w:val="0"/>
                <w:bCs/>
                <w:snapToGrid w:val="0"/>
                <w:spacing w:val="0"/>
                <w:kern w:val="0"/>
                <w:sz w:val="21"/>
                <w:szCs w:val="21"/>
              </w:rPr>
            </w:pPr>
            <w:r>
              <w:rPr>
                <w:rFonts w:eastAsia="宋体"/>
                <w:b w:val="0"/>
                <w:bCs/>
                <w:spacing w:val="0"/>
                <w:sz w:val="21"/>
                <w:szCs w:val="21"/>
              </w:rPr>
              <w:t>地面冲洗废水</w:t>
            </w:r>
          </w:p>
        </w:tc>
        <w:tc>
          <w:tcPr>
            <w:tcW w:w="616" w:type="pct"/>
            <w:vAlign w:val="center"/>
          </w:tcPr>
          <w:p>
            <w:pPr>
              <w:pStyle w:val="55"/>
              <w:snapToGrid w:val="0"/>
              <w:spacing w:line="240" w:lineRule="atLeast"/>
              <w:ind w:firstLine="0" w:firstLineChars="0"/>
              <w:rPr>
                <w:spacing w:val="0"/>
                <w:sz w:val="21"/>
              </w:rPr>
            </w:pPr>
            <w:r>
              <w:rPr>
                <w:spacing w:val="0"/>
                <w:sz w:val="21"/>
              </w:rPr>
              <w:t>0.25</w:t>
            </w:r>
          </w:p>
        </w:tc>
        <w:tc>
          <w:tcPr>
            <w:tcW w:w="507" w:type="pct"/>
            <w:vAlign w:val="center"/>
          </w:tcPr>
          <w:p>
            <w:pPr>
              <w:autoSpaceDE w:val="0"/>
              <w:autoSpaceDN w:val="0"/>
              <w:snapToGrid w:val="0"/>
              <w:spacing w:line="240" w:lineRule="atLeast"/>
              <w:ind w:firstLine="0" w:firstLineChars="0"/>
              <w:jc w:val="center"/>
              <w:rPr>
                <w:sz w:val="21"/>
                <w:szCs w:val="21"/>
              </w:rPr>
            </w:pPr>
            <w:r>
              <w:rPr>
                <w:sz w:val="21"/>
                <w:szCs w:val="21"/>
              </w:rPr>
              <w:t>COD</w:t>
            </w:r>
          </w:p>
          <w:p>
            <w:pPr>
              <w:autoSpaceDE w:val="0"/>
              <w:autoSpaceDN w:val="0"/>
              <w:snapToGrid w:val="0"/>
              <w:spacing w:line="240" w:lineRule="atLeast"/>
              <w:ind w:firstLine="0" w:firstLineChars="0"/>
              <w:jc w:val="center"/>
              <w:rPr>
                <w:sz w:val="21"/>
                <w:szCs w:val="21"/>
                <w:vertAlign w:val="subscript"/>
              </w:rPr>
            </w:pPr>
            <w:r>
              <w:rPr>
                <w:sz w:val="21"/>
                <w:szCs w:val="21"/>
              </w:rPr>
              <w:t>BOD</w:t>
            </w:r>
            <w:r>
              <w:rPr>
                <w:sz w:val="21"/>
                <w:szCs w:val="21"/>
                <w:vertAlign w:val="subscript"/>
              </w:rPr>
              <w:t>5</w:t>
            </w:r>
          </w:p>
          <w:p>
            <w:pPr>
              <w:autoSpaceDE w:val="0"/>
              <w:autoSpaceDN w:val="0"/>
              <w:snapToGrid w:val="0"/>
              <w:spacing w:line="240" w:lineRule="atLeast"/>
              <w:ind w:firstLine="0" w:firstLineChars="0"/>
              <w:jc w:val="center"/>
              <w:rPr>
                <w:sz w:val="21"/>
                <w:szCs w:val="21"/>
              </w:rPr>
            </w:pPr>
            <w:r>
              <w:rPr>
                <w:sz w:val="21"/>
                <w:szCs w:val="21"/>
              </w:rPr>
              <w:t>SS</w:t>
            </w:r>
          </w:p>
          <w:p>
            <w:pPr>
              <w:autoSpaceDE w:val="0"/>
              <w:autoSpaceDN w:val="0"/>
              <w:snapToGrid w:val="0"/>
              <w:spacing w:line="240" w:lineRule="atLeast"/>
              <w:ind w:firstLine="0" w:firstLineChars="0"/>
              <w:jc w:val="center"/>
              <w:rPr>
                <w:sz w:val="21"/>
                <w:szCs w:val="21"/>
              </w:rPr>
            </w:pPr>
            <w:r>
              <w:rPr>
                <w:sz w:val="21"/>
                <w:szCs w:val="21"/>
              </w:rPr>
              <w:t>NH</w:t>
            </w:r>
            <w:r>
              <w:rPr>
                <w:sz w:val="21"/>
                <w:szCs w:val="21"/>
                <w:vertAlign w:val="subscript"/>
              </w:rPr>
              <w:t>3</w:t>
            </w:r>
            <w:r>
              <w:rPr>
                <w:sz w:val="21"/>
                <w:szCs w:val="21"/>
              </w:rPr>
              <w:t>-N</w:t>
            </w:r>
          </w:p>
        </w:tc>
        <w:tc>
          <w:tcPr>
            <w:tcW w:w="716" w:type="pct"/>
            <w:vAlign w:val="center"/>
          </w:tcPr>
          <w:p>
            <w:pPr>
              <w:autoSpaceDE w:val="0"/>
              <w:autoSpaceDN w:val="0"/>
              <w:snapToGrid w:val="0"/>
              <w:spacing w:line="240" w:lineRule="atLeast"/>
              <w:ind w:firstLine="0" w:firstLineChars="0"/>
              <w:jc w:val="center"/>
              <w:rPr>
                <w:sz w:val="21"/>
                <w:szCs w:val="21"/>
              </w:rPr>
            </w:pPr>
            <w:r>
              <w:rPr>
                <w:sz w:val="21"/>
                <w:szCs w:val="21"/>
              </w:rPr>
              <w:t>600</w:t>
            </w:r>
          </w:p>
          <w:p>
            <w:pPr>
              <w:autoSpaceDE w:val="0"/>
              <w:autoSpaceDN w:val="0"/>
              <w:snapToGrid w:val="0"/>
              <w:spacing w:line="240" w:lineRule="atLeast"/>
              <w:ind w:firstLine="0" w:firstLineChars="0"/>
              <w:jc w:val="center"/>
              <w:rPr>
                <w:sz w:val="21"/>
                <w:szCs w:val="21"/>
              </w:rPr>
            </w:pPr>
            <w:r>
              <w:rPr>
                <w:sz w:val="21"/>
                <w:szCs w:val="21"/>
              </w:rPr>
              <w:t>200</w:t>
            </w:r>
          </w:p>
          <w:p>
            <w:pPr>
              <w:autoSpaceDE w:val="0"/>
              <w:autoSpaceDN w:val="0"/>
              <w:snapToGrid w:val="0"/>
              <w:spacing w:line="240" w:lineRule="atLeast"/>
              <w:ind w:firstLine="0" w:firstLineChars="0"/>
              <w:jc w:val="center"/>
              <w:rPr>
                <w:sz w:val="21"/>
                <w:szCs w:val="21"/>
              </w:rPr>
            </w:pPr>
            <w:r>
              <w:rPr>
                <w:sz w:val="21"/>
                <w:szCs w:val="21"/>
              </w:rPr>
              <w:t>200</w:t>
            </w:r>
          </w:p>
          <w:p>
            <w:pPr>
              <w:autoSpaceDE w:val="0"/>
              <w:autoSpaceDN w:val="0"/>
              <w:snapToGrid w:val="0"/>
              <w:spacing w:line="240" w:lineRule="atLeast"/>
              <w:ind w:firstLine="0" w:firstLineChars="0"/>
              <w:jc w:val="center"/>
              <w:rPr>
                <w:sz w:val="21"/>
                <w:szCs w:val="21"/>
              </w:rPr>
            </w:pPr>
            <w:r>
              <w:rPr>
                <w:sz w:val="21"/>
                <w:szCs w:val="21"/>
              </w:rPr>
              <w:t>5</w:t>
            </w:r>
          </w:p>
        </w:tc>
        <w:tc>
          <w:tcPr>
            <w:tcW w:w="536" w:type="pct"/>
            <w:vAlign w:val="center"/>
          </w:tcPr>
          <w:p>
            <w:pPr>
              <w:snapToGrid w:val="0"/>
              <w:spacing w:line="240" w:lineRule="atLeast"/>
              <w:ind w:firstLine="0" w:firstLineChars="0"/>
              <w:jc w:val="center"/>
              <w:rPr>
                <w:sz w:val="21"/>
                <w:szCs w:val="21"/>
              </w:rPr>
            </w:pPr>
            <w:r>
              <w:rPr>
                <w:sz w:val="21"/>
                <w:szCs w:val="21"/>
              </w:rPr>
              <w:t>常温</w:t>
            </w:r>
          </w:p>
        </w:tc>
        <w:tc>
          <w:tcPr>
            <w:tcW w:w="430" w:type="pct"/>
            <w:vAlign w:val="center"/>
          </w:tcPr>
          <w:p>
            <w:pPr>
              <w:snapToGrid w:val="0"/>
              <w:spacing w:line="240" w:lineRule="atLeast"/>
              <w:ind w:firstLine="0" w:firstLineChars="0"/>
              <w:jc w:val="center"/>
              <w:rPr>
                <w:sz w:val="21"/>
                <w:szCs w:val="21"/>
              </w:rPr>
            </w:pPr>
            <w:r>
              <w:rPr>
                <w:sz w:val="21"/>
                <w:szCs w:val="21"/>
              </w:rPr>
              <w:t>间歇</w:t>
            </w:r>
          </w:p>
        </w:tc>
        <w:tc>
          <w:tcPr>
            <w:tcW w:w="1141" w:type="pct"/>
            <w:vMerge w:val="continue"/>
            <w:vAlign w:val="center"/>
          </w:tcPr>
          <w:p>
            <w:pPr>
              <w:snapToGrid w:val="0"/>
              <w:spacing w:line="240" w:lineRule="atLeast"/>
              <w:ind w:firstLine="0" w:firstLineChars="0"/>
              <w:rPr>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Align w:val="center"/>
          </w:tcPr>
          <w:p>
            <w:pPr>
              <w:pStyle w:val="53"/>
              <w:snapToGrid w:val="0"/>
              <w:spacing w:line="240" w:lineRule="atLeast"/>
              <w:ind w:firstLine="0" w:firstLineChars="0"/>
              <w:jc w:val="center"/>
              <w:rPr>
                <w:rFonts w:eastAsia="宋体"/>
                <w:b w:val="0"/>
                <w:snapToGrid w:val="0"/>
                <w:spacing w:val="0"/>
                <w:kern w:val="0"/>
                <w:sz w:val="21"/>
                <w:szCs w:val="21"/>
              </w:rPr>
            </w:pPr>
            <w:r>
              <w:rPr>
                <w:rFonts w:eastAsia="宋体"/>
                <w:b w:val="0"/>
                <w:spacing w:val="0"/>
                <w:sz w:val="21"/>
                <w:szCs w:val="21"/>
              </w:rPr>
              <w:t>W</w:t>
            </w:r>
            <w:r>
              <w:rPr>
                <w:rFonts w:eastAsia="宋体"/>
                <w:b w:val="0"/>
                <w:spacing w:val="0"/>
                <w:sz w:val="21"/>
                <w:szCs w:val="21"/>
                <w:vertAlign w:val="subscript"/>
              </w:rPr>
              <w:t>5</w:t>
            </w:r>
          </w:p>
        </w:tc>
        <w:tc>
          <w:tcPr>
            <w:tcW w:w="657" w:type="pct"/>
            <w:vAlign w:val="center"/>
          </w:tcPr>
          <w:p>
            <w:pPr>
              <w:pStyle w:val="53"/>
              <w:snapToGrid w:val="0"/>
              <w:spacing w:line="240" w:lineRule="atLeast"/>
              <w:ind w:firstLine="0" w:firstLineChars="0"/>
              <w:jc w:val="left"/>
              <w:rPr>
                <w:rFonts w:eastAsia="宋体"/>
                <w:b w:val="0"/>
                <w:snapToGrid w:val="0"/>
                <w:spacing w:val="0"/>
                <w:kern w:val="0"/>
                <w:sz w:val="21"/>
                <w:szCs w:val="21"/>
              </w:rPr>
            </w:pPr>
            <w:r>
              <w:rPr>
                <w:rFonts w:eastAsia="宋体"/>
                <w:b w:val="0"/>
                <w:snapToGrid w:val="0"/>
                <w:spacing w:val="0"/>
                <w:kern w:val="0"/>
                <w:sz w:val="21"/>
                <w:szCs w:val="21"/>
              </w:rPr>
              <w:t>循环冷却排污水</w:t>
            </w:r>
          </w:p>
        </w:tc>
        <w:tc>
          <w:tcPr>
            <w:tcW w:w="616" w:type="pct"/>
            <w:vAlign w:val="center"/>
          </w:tcPr>
          <w:p>
            <w:pPr>
              <w:pStyle w:val="55"/>
              <w:snapToGrid w:val="0"/>
              <w:spacing w:line="240" w:lineRule="atLeast"/>
              <w:ind w:firstLine="0" w:firstLineChars="0"/>
              <w:rPr>
                <w:spacing w:val="0"/>
                <w:sz w:val="21"/>
              </w:rPr>
            </w:pPr>
            <w:r>
              <w:rPr>
                <w:spacing w:val="0"/>
                <w:sz w:val="21"/>
              </w:rPr>
              <w:t>1.3</w:t>
            </w:r>
          </w:p>
        </w:tc>
        <w:tc>
          <w:tcPr>
            <w:tcW w:w="507" w:type="pct"/>
            <w:vAlign w:val="center"/>
          </w:tcPr>
          <w:p>
            <w:pPr>
              <w:autoSpaceDE w:val="0"/>
              <w:autoSpaceDN w:val="0"/>
              <w:snapToGrid w:val="0"/>
              <w:spacing w:line="240" w:lineRule="atLeast"/>
              <w:ind w:firstLine="0" w:firstLineChars="0"/>
              <w:jc w:val="center"/>
              <w:rPr>
                <w:sz w:val="21"/>
                <w:szCs w:val="21"/>
              </w:rPr>
            </w:pPr>
            <w:r>
              <w:rPr>
                <w:sz w:val="21"/>
                <w:szCs w:val="21"/>
              </w:rPr>
              <w:t xml:space="preserve">COD </w:t>
            </w:r>
          </w:p>
          <w:p>
            <w:pPr>
              <w:autoSpaceDE w:val="0"/>
              <w:autoSpaceDN w:val="0"/>
              <w:snapToGrid w:val="0"/>
              <w:spacing w:line="240" w:lineRule="atLeast"/>
              <w:ind w:firstLine="0" w:firstLineChars="0"/>
              <w:jc w:val="center"/>
              <w:rPr>
                <w:sz w:val="21"/>
                <w:szCs w:val="21"/>
                <w:vertAlign w:val="subscript"/>
              </w:rPr>
            </w:pPr>
            <w:r>
              <w:rPr>
                <w:sz w:val="21"/>
                <w:szCs w:val="21"/>
              </w:rPr>
              <w:t>BOD</w:t>
            </w:r>
            <w:r>
              <w:rPr>
                <w:sz w:val="21"/>
                <w:szCs w:val="21"/>
                <w:vertAlign w:val="subscript"/>
              </w:rPr>
              <w:t>5</w:t>
            </w:r>
          </w:p>
          <w:p>
            <w:pPr>
              <w:autoSpaceDE w:val="0"/>
              <w:autoSpaceDN w:val="0"/>
              <w:snapToGrid w:val="0"/>
              <w:spacing w:line="240" w:lineRule="atLeast"/>
              <w:ind w:firstLine="0" w:firstLineChars="0"/>
              <w:jc w:val="center"/>
              <w:rPr>
                <w:sz w:val="21"/>
                <w:szCs w:val="21"/>
              </w:rPr>
            </w:pPr>
            <w:r>
              <w:rPr>
                <w:sz w:val="21"/>
                <w:szCs w:val="21"/>
              </w:rPr>
              <w:t>SS</w:t>
            </w:r>
          </w:p>
          <w:p>
            <w:pPr>
              <w:pStyle w:val="55"/>
              <w:snapToGrid w:val="0"/>
              <w:spacing w:line="240" w:lineRule="atLeast"/>
              <w:ind w:firstLine="0" w:firstLineChars="0"/>
              <w:rPr>
                <w:spacing w:val="0"/>
                <w:sz w:val="21"/>
              </w:rPr>
            </w:pPr>
            <w:r>
              <w:rPr>
                <w:spacing w:val="0"/>
                <w:sz w:val="21"/>
              </w:rPr>
              <w:t>NH</w:t>
            </w:r>
            <w:r>
              <w:rPr>
                <w:spacing w:val="0"/>
                <w:sz w:val="21"/>
                <w:vertAlign w:val="subscript"/>
              </w:rPr>
              <w:t>3</w:t>
            </w:r>
            <w:r>
              <w:rPr>
                <w:spacing w:val="0"/>
                <w:sz w:val="21"/>
              </w:rPr>
              <w:t>-N</w:t>
            </w:r>
          </w:p>
        </w:tc>
        <w:tc>
          <w:tcPr>
            <w:tcW w:w="716" w:type="pct"/>
            <w:vAlign w:val="center"/>
          </w:tcPr>
          <w:p>
            <w:pPr>
              <w:autoSpaceDE w:val="0"/>
              <w:autoSpaceDN w:val="0"/>
              <w:snapToGrid w:val="0"/>
              <w:spacing w:line="240" w:lineRule="atLeast"/>
              <w:ind w:firstLine="0" w:firstLineChars="0"/>
              <w:jc w:val="center"/>
              <w:rPr>
                <w:sz w:val="21"/>
                <w:szCs w:val="21"/>
              </w:rPr>
            </w:pPr>
            <w:r>
              <w:rPr>
                <w:sz w:val="21"/>
                <w:szCs w:val="21"/>
              </w:rPr>
              <w:t>45</w:t>
            </w:r>
          </w:p>
          <w:p>
            <w:pPr>
              <w:snapToGrid w:val="0"/>
              <w:spacing w:line="240" w:lineRule="atLeast"/>
              <w:ind w:firstLine="0" w:firstLineChars="0"/>
              <w:jc w:val="center"/>
              <w:rPr>
                <w:sz w:val="21"/>
                <w:szCs w:val="21"/>
              </w:rPr>
            </w:pPr>
            <w:r>
              <w:rPr>
                <w:sz w:val="21"/>
                <w:szCs w:val="21"/>
              </w:rPr>
              <w:t>10</w:t>
            </w:r>
          </w:p>
          <w:p>
            <w:pPr>
              <w:snapToGrid w:val="0"/>
              <w:spacing w:line="240" w:lineRule="atLeast"/>
              <w:ind w:firstLine="0" w:firstLineChars="0"/>
              <w:jc w:val="center"/>
              <w:rPr>
                <w:sz w:val="21"/>
                <w:szCs w:val="21"/>
              </w:rPr>
            </w:pPr>
            <w:r>
              <w:rPr>
                <w:sz w:val="21"/>
                <w:szCs w:val="21"/>
              </w:rPr>
              <w:t>50</w:t>
            </w:r>
          </w:p>
          <w:p>
            <w:pPr>
              <w:pStyle w:val="55"/>
              <w:snapToGrid w:val="0"/>
              <w:spacing w:line="240" w:lineRule="atLeast"/>
              <w:ind w:firstLine="0" w:firstLineChars="0"/>
              <w:rPr>
                <w:spacing w:val="0"/>
                <w:sz w:val="21"/>
              </w:rPr>
            </w:pPr>
            <w:r>
              <w:rPr>
                <w:spacing w:val="0"/>
                <w:sz w:val="21"/>
              </w:rPr>
              <w:t>2</w:t>
            </w:r>
          </w:p>
        </w:tc>
        <w:tc>
          <w:tcPr>
            <w:tcW w:w="536" w:type="pct"/>
            <w:vAlign w:val="center"/>
          </w:tcPr>
          <w:p>
            <w:pPr>
              <w:snapToGrid w:val="0"/>
              <w:spacing w:line="240" w:lineRule="atLeast"/>
              <w:ind w:firstLine="0" w:firstLineChars="0"/>
              <w:jc w:val="center"/>
              <w:rPr>
                <w:sz w:val="21"/>
                <w:szCs w:val="21"/>
              </w:rPr>
            </w:pPr>
            <w:r>
              <w:rPr>
                <w:sz w:val="21"/>
                <w:szCs w:val="21"/>
              </w:rPr>
              <w:t>常温</w:t>
            </w:r>
          </w:p>
        </w:tc>
        <w:tc>
          <w:tcPr>
            <w:tcW w:w="430" w:type="pct"/>
            <w:vAlign w:val="center"/>
          </w:tcPr>
          <w:p>
            <w:pPr>
              <w:snapToGrid w:val="0"/>
              <w:spacing w:line="240" w:lineRule="atLeast"/>
              <w:ind w:firstLine="0" w:firstLineChars="0"/>
              <w:jc w:val="center"/>
              <w:rPr>
                <w:sz w:val="21"/>
                <w:szCs w:val="21"/>
              </w:rPr>
            </w:pPr>
            <w:r>
              <w:rPr>
                <w:sz w:val="21"/>
                <w:szCs w:val="21"/>
              </w:rPr>
              <w:t>连续</w:t>
            </w:r>
          </w:p>
        </w:tc>
        <w:tc>
          <w:tcPr>
            <w:tcW w:w="1141" w:type="pct"/>
            <w:vMerge w:val="restart"/>
            <w:vAlign w:val="center"/>
          </w:tcPr>
          <w:p>
            <w:pPr>
              <w:pStyle w:val="55"/>
              <w:snapToGrid w:val="0"/>
              <w:spacing w:line="240" w:lineRule="atLeast"/>
              <w:ind w:firstLine="0" w:firstLineChars="0"/>
              <w:jc w:val="both"/>
              <w:rPr>
                <w:spacing w:val="0"/>
                <w:sz w:val="21"/>
              </w:rPr>
            </w:pPr>
            <w:r>
              <w:rPr>
                <w:spacing w:val="0"/>
                <w:sz w:val="21"/>
              </w:rPr>
              <w:t>濮阳市第二污水处理厂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3" w:hRule="atLeast"/>
          <w:jc w:val="center"/>
        </w:trPr>
        <w:tc>
          <w:tcPr>
            <w:tcW w:w="393" w:type="pct"/>
            <w:vAlign w:val="center"/>
          </w:tcPr>
          <w:p>
            <w:pPr>
              <w:pStyle w:val="53"/>
              <w:snapToGrid w:val="0"/>
              <w:spacing w:line="240" w:lineRule="atLeast"/>
              <w:ind w:firstLine="0" w:firstLineChars="0"/>
              <w:jc w:val="center"/>
              <w:rPr>
                <w:rFonts w:eastAsia="宋体"/>
                <w:b w:val="0"/>
                <w:snapToGrid w:val="0"/>
                <w:spacing w:val="0"/>
                <w:kern w:val="0"/>
                <w:sz w:val="21"/>
                <w:szCs w:val="21"/>
              </w:rPr>
            </w:pPr>
            <w:r>
              <w:rPr>
                <w:rFonts w:eastAsia="宋体"/>
                <w:b w:val="0"/>
                <w:spacing w:val="0"/>
                <w:sz w:val="21"/>
                <w:szCs w:val="21"/>
              </w:rPr>
              <w:t>W</w:t>
            </w:r>
            <w:r>
              <w:rPr>
                <w:rFonts w:eastAsia="宋体"/>
                <w:b w:val="0"/>
                <w:spacing w:val="0"/>
                <w:sz w:val="21"/>
                <w:szCs w:val="21"/>
                <w:vertAlign w:val="subscript"/>
              </w:rPr>
              <w:t>6</w:t>
            </w:r>
          </w:p>
        </w:tc>
        <w:tc>
          <w:tcPr>
            <w:tcW w:w="657" w:type="pct"/>
            <w:vAlign w:val="center"/>
          </w:tcPr>
          <w:p>
            <w:pPr>
              <w:pStyle w:val="53"/>
              <w:snapToGrid w:val="0"/>
              <w:spacing w:line="240" w:lineRule="atLeast"/>
              <w:ind w:firstLine="0" w:firstLineChars="0"/>
              <w:jc w:val="left"/>
              <w:rPr>
                <w:rFonts w:eastAsia="宋体"/>
                <w:b w:val="0"/>
                <w:snapToGrid w:val="0"/>
                <w:spacing w:val="0"/>
                <w:kern w:val="0"/>
                <w:sz w:val="21"/>
                <w:szCs w:val="21"/>
              </w:rPr>
            </w:pPr>
            <w:r>
              <w:rPr>
                <w:rFonts w:eastAsia="宋体"/>
                <w:b w:val="0"/>
                <w:snapToGrid w:val="0"/>
                <w:spacing w:val="0"/>
                <w:kern w:val="0"/>
                <w:sz w:val="21"/>
                <w:szCs w:val="21"/>
              </w:rPr>
              <w:t>脱盐水站排水</w:t>
            </w:r>
          </w:p>
        </w:tc>
        <w:tc>
          <w:tcPr>
            <w:tcW w:w="616" w:type="pct"/>
            <w:vAlign w:val="center"/>
          </w:tcPr>
          <w:p>
            <w:pPr>
              <w:pStyle w:val="55"/>
              <w:snapToGrid w:val="0"/>
              <w:spacing w:line="240" w:lineRule="atLeast"/>
              <w:ind w:firstLine="0" w:firstLineChars="0"/>
              <w:rPr>
                <w:spacing w:val="0"/>
                <w:sz w:val="21"/>
              </w:rPr>
            </w:pPr>
            <w:r>
              <w:rPr>
                <w:spacing w:val="0"/>
                <w:sz w:val="21"/>
              </w:rPr>
              <w:t>0.24</w:t>
            </w:r>
          </w:p>
        </w:tc>
        <w:tc>
          <w:tcPr>
            <w:tcW w:w="507" w:type="pct"/>
            <w:vAlign w:val="center"/>
          </w:tcPr>
          <w:p>
            <w:pPr>
              <w:autoSpaceDE w:val="0"/>
              <w:autoSpaceDN w:val="0"/>
              <w:snapToGrid w:val="0"/>
              <w:spacing w:line="240" w:lineRule="atLeast"/>
              <w:ind w:firstLine="0" w:firstLineChars="0"/>
              <w:jc w:val="center"/>
              <w:rPr>
                <w:sz w:val="21"/>
                <w:szCs w:val="21"/>
              </w:rPr>
            </w:pPr>
            <w:r>
              <w:rPr>
                <w:sz w:val="21"/>
                <w:szCs w:val="21"/>
              </w:rPr>
              <w:t xml:space="preserve">COD </w:t>
            </w:r>
          </w:p>
          <w:p>
            <w:pPr>
              <w:autoSpaceDE w:val="0"/>
              <w:autoSpaceDN w:val="0"/>
              <w:snapToGrid w:val="0"/>
              <w:spacing w:line="240" w:lineRule="atLeast"/>
              <w:ind w:firstLine="0" w:firstLineChars="0"/>
              <w:jc w:val="center"/>
              <w:rPr>
                <w:sz w:val="21"/>
                <w:szCs w:val="21"/>
                <w:vertAlign w:val="subscript"/>
              </w:rPr>
            </w:pPr>
            <w:r>
              <w:rPr>
                <w:sz w:val="21"/>
                <w:szCs w:val="21"/>
              </w:rPr>
              <w:t>BOD</w:t>
            </w:r>
            <w:r>
              <w:rPr>
                <w:sz w:val="21"/>
                <w:szCs w:val="21"/>
                <w:vertAlign w:val="subscript"/>
              </w:rPr>
              <w:t>5</w:t>
            </w:r>
          </w:p>
          <w:p>
            <w:pPr>
              <w:autoSpaceDE w:val="0"/>
              <w:autoSpaceDN w:val="0"/>
              <w:snapToGrid w:val="0"/>
              <w:spacing w:line="240" w:lineRule="atLeast"/>
              <w:ind w:firstLine="0" w:firstLineChars="0"/>
              <w:jc w:val="center"/>
              <w:rPr>
                <w:sz w:val="21"/>
                <w:szCs w:val="21"/>
              </w:rPr>
            </w:pPr>
            <w:r>
              <w:rPr>
                <w:sz w:val="21"/>
                <w:szCs w:val="21"/>
              </w:rPr>
              <w:t>SS</w:t>
            </w:r>
          </w:p>
          <w:p>
            <w:pPr>
              <w:pStyle w:val="55"/>
              <w:snapToGrid w:val="0"/>
              <w:spacing w:line="240" w:lineRule="atLeast"/>
              <w:ind w:firstLine="0" w:firstLineChars="0"/>
              <w:rPr>
                <w:spacing w:val="0"/>
                <w:sz w:val="21"/>
              </w:rPr>
            </w:pPr>
            <w:r>
              <w:rPr>
                <w:spacing w:val="0"/>
                <w:sz w:val="21"/>
              </w:rPr>
              <w:t>NH</w:t>
            </w:r>
            <w:r>
              <w:rPr>
                <w:spacing w:val="0"/>
                <w:sz w:val="21"/>
                <w:vertAlign w:val="subscript"/>
              </w:rPr>
              <w:t>3</w:t>
            </w:r>
            <w:r>
              <w:rPr>
                <w:spacing w:val="0"/>
                <w:sz w:val="21"/>
              </w:rPr>
              <w:t>-N</w:t>
            </w:r>
          </w:p>
        </w:tc>
        <w:tc>
          <w:tcPr>
            <w:tcW w:w="716" w:type="pct"/>
            <w:vAlign w:val="center"/>
          </w:tcPr>
          <w:p>
            <w:pPr>
              <w:autoSpaceDE w:val="0"/>
              <w:autoSpaceDN w:val="0"/>
              <w:snapToGrid w:val="0"/>
              <w:spacing w:line="240" w:lineRule="atLeast"/>
              <w:ind w:firstLine="0" w:firstLineChars="0"/>
              <w:jc w:val="center"/>
              <w:rPr>
                <w:sz w:val="21"/>
                <w:szCs w:val="21"/>
              </w:rPr>
            </w:pPr>
            <w:r>
              <w:rPr>
                <w:sz w:val="21"/>
                <w:szCs w:val="21"/>
              </w:rPr>
              <w:t>45</w:t>
            </w:r>
          </w:p>
          <w:p>
            <w:pPr>
              <w:snapToGrid w:val="0"/>
              <w:spacing w:line="240" w:lineRule="atLeast"/>
              <w:ind w:firstLine="0" w:firstLineChars="0"/>
              <w:jc w:val="center"/>
              <w:rPr>
                <w:sz w:val="21"/>
                <w:szCs w:val="21"/>
              </w:rPr>
            </w:pPr>
            <w:r>
              <w:rPr>
                <w:sz w:val="21"/>
                <w:szCs w:val="21"/>
              </w:rPr>
              <w:t>10</w:t>
            </w:r>
          </w:p>
          <w:p>
            <w:pPr>
              <w:snapToGrid w:val="0"/>
              <w:spacing w:line="240" w:lineRule="atLeast"/>
              <w:ind w:firstLine="0" w:firstLineChars="0"/>
              <w:jc w:val="center"/>
              <w:rPr>
                <w:sz w:val="21"/>
                <w:szCs w:val="21"/>
              </w:rPr>
            </w:pPr>
            <w:r>
              <w:rPr>
                <w:sz w:val="21"/>
                <w:szCs w:val="21"/>
              </w:rPr>
              <w:t>30</w:t>
            </w:r>
          </w:p>
          <w:p>
            <w:pPr>
              <w:pStyle w:val="55"/>
              <w:snapToGrid w:val="0"/>
              <w:spacing w:line="240" w:lineRule="atLeast"/>
              <w:ind w:firstLine="0" w:firstLineChars="0"/>
              <w:rPr>
                <w:spacing w:val="0"/>
                <w:sz w:val="21"/>
              </w:rPr>
            </w:pPr>
            <w:r>
              <w:rPr>
                <w:spacing w:val="0"/>
                <w:sz w:val="21"/>
              </w:rPr>
              <w:t>2</w:t>
            </w:r>
          </w:p>
        </w:tc>
        <w:tc>
          <w:tcPr>
            <w:tcW w:w="536" w:type="pct"/>
            <w:vAlign w:val="center"/>
          </w:tcPr>
          <w:p>
            <w:pPr>
              <w:pStyle w:val="55"/>
              <w:snapToGrid w:val="0"/>
              <w:spacing w:line="240" w:lineRule="atLeast"/>
              <w:ind w:firstLine="0" w:firstLineChars="0"/>
              <w:rPr>
                <w:spacing w:val="0"/>
                <w:sz w:val="21"/>
              </w:rPr>
            </w:pPr>
            <w:r>
              <w:rPr>
                <w:spacing w:val="0"/>
                <w:sz w:val="21"/>
              </w:rPr>
              <w:t>常温</w:t>
            </w:r>
          </w:p>
        </w:tc>
        <w:tc>
          <w:tcPr>
            <w:tcW w:w="430" w:type="pct"/>
            <w:vAlign w:val="center"/>
          </w:tcPr>
          <w:p>
            <w:pPr>
              <w:pStyle w:val="55"/>
              <w:snapToGrid w:val="0"/>
              <w:spacing w:line="240" w:lineRule="atLeast"/>
              <w:ind w:firstLine="0" w:firstLineChars="0"/>
              <w:rPr>
                <w:spacing w:val="0"/>
                <w:sz w:val="21"/>
              </w:rPr>
            </w:pPr>
            <w:r>
              <w:rPr>
                <w:spacing w:val="0"/>
                <w:sz w:val="21"/>
              </w:rPr>
              <w:t>连续</w:t>
            </w:r>
          </w:p>
        </w:tc>
        <w:tc>
          <w:tcPr>
            <w:tcW w:w="1141" w:type="pct"/>
            <w:vMerge w:val="continue"/>
            <w:vAlign w:val="center"/>
          </w:tcPr>
          <w:p>
            <w:pPr>
              <w:pStyle w:val="55"/>
              <w:snapToGrid w:val="0"/>
              <w:spacing w:line="240" w:lineRule="atLeast"/>
              <w:ind w:firstLine="0" w:firstLineChars="0"/>
              <w:jc w:val="both"/>
              <w:rPr>
                <w:spacing w:val="0"/>
                <w:sz w:val="21"/>
              </w:rPr>
            </w:pPr>
          </w:p>
        </w:tc>
      </w:tr>
    </w:tbl>
    <w:p>
      <w:pPr>
        <w:pStyle w:val="76"/>
        <w:ind w:firstLine="482"/>
      </w:pPr>
      <w:r>
        <w:rPr>
          <w:rFonts w:hint="eastAsia"/>
        </w:rPr>
        <w:t>表10</w:t>
      </w:r>
      <w:r>
        <w:t>.2-</w:t>
      </w:r>
      <w:r>
        <w:rPr>
          <w:rFonts w:hint="eastAsia"/>
        </w:rPr>
        <w:t xml:space="preserve">2               </w:t>
      </w:r>
      <w:r>
        <w:t xml:space="preserve"> 大气污染物排放清单</w:t>
      </w:r>
    </w:p>
    <w:tbl>
      <w:tblPr>
        <w:tblStyle w:val="21"/>
        <w:tblW w:w="5000" w:type="pct"/>
        <w:jc w:val="right"/>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32"/>
        <w:gridCol w:w="1186"/>
        <w:gridCol w:w="1523"/>
        <w:gridCol w:w="887"/>
        <w:gridCol w:w="799"/>
        <w:gridCol w:w="999"/>
        <w:gridCol w:w="777"/>
        <w:gridCol w:w="1074"/>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Merge w:val="restart"/>
            <w:vAlign w:val="center"/>
          </w:tcPr>
          <w:p>
            <w:pPr>
              <w:pStyle w:val="36"/>
              <w:spacing w:line="240" w:lineRule="atLeast"/>
              <w:rPr>
                <w:b/>
                <w:bCs/>
                <w:color w:val="auto"/>
                <w:szCs w:val="21"/>
              </w:rPr>
            </w:pPr>
            <w:bookmarkStart w:id="296" w:name="_Ref342602209"/>
            <w:r>
              <w:rPr>
                <w:b/>
                <w:bCs/>
                <w:color w:val="auto"/>
                <w:szCs w:val="21"/>
              </w:rPr>
              <w:t>废气名称</w:t>
            </w:r>
          </w:p>
        </w:tc>
        <w:tc>
          <w:tcPr>
            <w:tcW w:w="658" w:type="pct"/>
            <w:vMerge w:val="restart"/>
            <w:vAlign w:val="center"/>
          </w:tcPr>
          <w:p>
            <w:pPr>
              <w:pStyle w:val="36"/>
              <w:spacing w:line="240" w:lineRule="atLeast"/>
              <w:rPr>
                <w:b/>
                <w:bCs/>
                <w:color w:val="auto"/>
                <w:szCs w:val="21"/>
              </w:rPr>
            </w:pPr>
            <w:r>
              <w:rPr>
                <w:b/>
                <w:bCs/>
                <w:color w:val="auto"/>
                <w:szCs w:val="21"/>
              </w:rPr>
              <w:t>产生源</w:t>
            </w:r>
          </w:p>
        </w:tc>
        <w:tc>
          <w:tcPr>
            <w:tcW w:w="845" w:type="pct"/>
            <w:vMerge w:val="restart"/>
            <w:vAlign w:val="center"/>
          </w:tcPr>
          <w:p>
            <w:pPr>
              <w:pStyle w:val="36"/>
              <w:spacing w:line="240" w:lineRule="atLeast"/>
              <w:rPr>
                <w:b/>
                <w:bCs/>
                <w:color w:val="auto"/>
                <w:szCs w:val="21"/>
              </w:rPr>
            </w:pPr>
            <w:r>
              <w:rPr>
                <w:b/>
                <w:bCs/>
                <w:color w:val="auto"/>
                <w:szCs w:val="21"/>
              </w:rPr>
              <w:t>处理措施</w:t>
            </w:r>
          </w:p>
        </w:tc>
        <w:tc>
          <w:tcPr>
            <w:tcW w:w="492" w:type="pct"/>
            <w:vMerge w:val="restart"/>
            <w:vAlign w:val="center"/>
          </w:tcPr>
          <w:p>
            <w:pPr>
              <w:pStyle w:val="36"/>
              <w:spacing w:line="240" w:lineRule="atLeast"/>
              <w:rPr>
                <w:b/>
                <w:bCs/>
                <w:color w:val="auto"/>
                <w:szCs w:val="21"/>
              </w:rPr>
            </w:pPr>
            <w:r>
              <w:rPr>
                <w:b/>
                <w:bCs/>
                <w:color w:val="auto"/>
                <w:szCs w:val="21"/>
              </w:rPr>
              <w:t>处理</w:t>
            </w:r>
          </w:p>
          <w:p>
            <w:pPr>
              <w:pStyle w:val="36"/>
              <w:spacing w:line="240" w:lineRule="atLeast"/>
              <w:rPr>
                <w:b/>
                <w:bCs/>
                <w:color w:val="auto"/>
                <w:szCs w:val="21"/>
              </w:rPr>
            </w:pPr>
            <w:r>
              <w:rPr>
                <w:b/>
                <w:bCs/>
                <w:color w:val="auto"/>
                <w:szCs w:val="21"/>
              </w:rPr>
              <w:t>效率</w:t>
            </w:r>
          </w:p>
          <w:p>
            <w:pPr>
              <w:pStyle w:val="36"/>
              <w:spacing w:line="240" w:lineRule="atLeast"/>
              <w:rPr>
                <w:b/>
                <w:bCs/>
                <w:color w:val="auto"/>
                <w:szCs w:val="21"/>
              </w:rPr>
            </w:pPr>
            <w:r>
              <w:rPr>
                <w:b/>
                <w:bCs/>
                <w:color w:val="auto"/>
                <w:szCs w:val="21"/>
              </w:rPr>
              <w:t>%</w:t>
            </w:r>
          </w:p>
        </w:tc>
        <w:tc>
          <w:tcPr>
            <w:tcW w:w="1428" w:type="pct"/>
            <w:gridSpan w:val="3"/>
            <w:vAlign w:val="center"/>
          </w:tcPr>
          <w:p>
            <w:pPr>
              <w:pStyle w:val="36"/>
              <w:spacing w:line="240" w:lineRule="atLeast"/>
              <w:rPr>
                <w:b/>
                <w:bCs/>
                <w:color w:val="auto"/>
                <w:szCs w:val="21"/>
              </w:rPr>
            </w:pPr>
            <w:r>
              <w:rPr>
                <w:b/>
                <w:bCs/>
                <w:color w:val="auto"/>
                <w:szCs w:val="21"/>
              </w:rPr>
              <w:t>排放情况</w:t>
            </w:r>
          </w:p>
        </w:tc>
        <w:tc>
          <w:tcPr>
            <w:tcW w:w="596" w:type="pct"/>
            <w:vMerge w:val="restart"/>
            <w:vAlign w:val="center"/>
          </w:tcPr>
          <w:p>
            <w:pPr>
              <w:pStyle w:val="36"/>
              <w:spacing w:line="240" w:lineRule="atLeast"/>
              <w:rPr>
                <w:b/>
                <w:bCs/>
                <w:color w:val="auto"/>
                <w:szCs w:val="21"/>
              </w:rPr>
            </w:pPr>
            <w:r>
              <w:rPr>
                <w:b/>
                <w:bCs/>
                <w:color w:val="auto"/>
                <w:szCs w:val="21"/>
              </w:rPr>
              <w:t>排放</w:t>
            </w:r>
          </w:p>
          <w:p>
            <w:pPr>
              <w:pStyle w:val="36"/>
              <w:spacing w:line="240" w:lineRule="atLeast"/>
              <w:rPr>
                <w:b/>
                <w:bCs/>
                <w:color w:val="auto"/>
                <w:szCs w:val="21"/>
              </w:rPr>
            </w:pPr>
            <w:r>
              <w:rPr>
                <w:b/>
                <w:bCs/>
                <w:color w:val="auto"/>
                <w:szCs w:val="21"/>
              </w:rPr>
              <w:t>标准mg/m</w:t>
            </w:r>
            <w:r>
              <w:rPr>
                <w:b/>
                <w:bCs/>
                <w:color w:val="auto"/>
                <w:szCs w:val="21"/>
                <w:vertAlign w:val="superscript"/>
              </w:rPr>
              <w:t>3</w:t>
            </w:r>
          </w:p>
        </w:tc>
        <w:tc>
          <w:tcPr>
            <w:tcW w:w="460" w:type="pct"/>
            <w:vMerge w:val="restart"/>
            <w:vAlign w:val="center"/>
          </w:tcPr>
          <w:p>
            <w:pPr>
              <w:pStyle w:val="54"/>
              <w:adjustRightInd w:val="0"/>
              <w:spacing w:line="240" w:lineRule="atLeast"/>
              <w:ind w:firstLine="0" w:firstLineChars="0"/>
              <w:rPr>
                <w:b/>
                <w:bCs/>
                <w:sz w:val="21"/>
                <w:szCs w:val="21"/>
              </w:rPr>
            </w:pPr>
            <w:r>
              <w:rPr>
                <w:b/>
                <w:bCs/>
                <w:sz w:val="21"/>
                <w:szCs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Merge w:val="continue"/>
            <w:vAlign w:val="center"/>
          </w:tcPr>
          <w:p>
            <w:pPr>
              <w:widowControl/>
              <w:adjustRightInd w:val="0"/>
              <w:spacing w:line="240" w:lineRule="atLeast"/>
              <w:ind w:firstLine="0" w:firstLineChars="0"/>
              <w:jc w:val="center"/>
              <w:rPr>
                <w:b/>
                <w:bCs/>
                <w:sz w:val="21"/>
                <w:szCs w:val="21"/>
              </w:rPr>
            </w:pPr>
          </w:p>
        </w:tc>
        <w:tc>
          <w:tcPr>
            <w:tcW w:w="658" w:type="pct"/>
            <w:vMerge w:val="continue"/>
            <w:vAlign w:val="center"/>
          </w:tcPr>
          <w:p>
            <w:pPr>
              <w:pStyle w:val="36"/>
              <w:spacing w:line="240" w:lineRule="atLeast"/>
              <w:rPr>
                <w:b/>
                <w:bCs/>
                <w:color w:val="auto"/>
                <w:szCs w:val="21"/>
              </w:rPr>
            </w:pPr>
          </w:p>
        </w:tc>
        <w:tc>
          <w:tcPr>
            <w:tcW w:w="845" w:type="pct"/>
            <w:vMerge w:val="continue"/>
            <w:vAlign w:val="center"/>
          </w:tcPr>
          <w:p>
            <w:pPr>
              <w:pStyle w:val="36"/>
              <w:spacing w:line="240" w:lineRule="atLeast"/>
              <w:rPr>
                <w:color w:val="auto"/>
                <w:szCs w:val="21"/>
              </w:rPr>
            </w:pPr>
          </w:p>
        </w:tc>
        <w:tc>
          <w:tcPr>
            <w:tcW w:w="492" w:type="pct"/>
            <w:vMerge w:val="continue"/>
            <w:vAlign w:val="center"/>
          </w:tcPr>
          <w:p>
            <w:pPr>
              <w:pStyle w:val="36"/>
              <w:spacing w:line="240" w:lineRule="atLeast"/>
              <w:rPr>
                <w:color w:val="auto"/>
                <w:szCs w:val="21"/>
              </w:rPr>
            </w:pPr>
          </w:p>
        </w:tc>
        <w:tc>
          <w:tcPr>
            <w:tcW w:w="443" w:type="pct"/>
            <w:vAlign w:val="center"/>
          </w:tcPr>
          <w:p>
            <w:pPr>
              <w:pStyle w:val="36"/>
              <w:spacing w:line="240" w:lineRule="atLeast"/>
              <w:rPr>
                <w:b/>
                <w:bCs/>
                <w:color w:val="auto"/>
                <w:szCs w:val="21"/>
              </w:rPr>
            </w:pPr>
            <w:r>
              <w:rPr>
                <w:b/>
                <w:bCs/>
                <w:color w:val="auto"/>
                <w:szCs w:val="21"/>
              </w:rPr>
              <w:t>浓度mg/m</w:t>
            </w:r>
            <w:r>
              <w:rPr>
                <w:b/>
                <w:bCs/>
                <w:color w:val="auto"/>
                <w:szCs w:val="21"/>
                <w:vertAlign w:val="superscript"/>
              </w:rPr>
              <w:t>3</w:t>
            </w:r>
          </w:p>
        </w:tc>
        <w:tc>
          <w:tcPr>
            <w:tcW w:w="554" w:type="pct"/>
            <w:vAlign w:val="center"/>
          </w:tcPr>
          <w:p>
            <w:pPr>
              <w:pStyle w:val="36"/>
              <w:spacing w:line="240" w:lineRule="atLeast"/>
              <w:rPr>
                <w:b/>
                <w:bCs/>
                <w:color w:val="auto"/>
                <w:szCs w:val="21"/>
              </w:rPr>
            </w:pPr>
            <w:r>
              <w:rPr>
                <w:b/>
                <w:bCs/>
                <w:color w:val="auto"/>
                <w:szCs w:val="21"/>
              </w:rPr>
              <w:t>速率</w:t>
            </w:r>
          </w:p>
          <w:p>
            <w:pPr>
              <w:pStyle w:val="36"/>
              <w:spacing w:line="240" w:lineRule="atLeast"/>
              <w:rPr>
                <w:b/>
                <w:bCs/>
                <w:color w:val="auto"/>
                <w:szCs w:val="21"/>
              </w:rPr>
            </w:pPr>
            <w:r>
              <w:rPr>
                <w:b/>
                <w:bCs/>
                <w:color w:val="auto"/>
                <w:szCs w:val="21"/>
              </w:rPr>
              <w:t>kg/h</w:t>
            </w:r>
          </w:p>
        </w:tc>
        <w:tc>
          <w:tcPr>
            <w:tcW w:w="429" w:type="pct"/>
            <w:vAlign w:val="center"/>
          </w:tcPr>
          <w:p>
            <w:pPr>
              <w:pStyle w:val="36"/>
              <w:spacing w:line="240" w:lineRule="atLeast"/>
              <w:rPr>
                <w:b/>
                <w:bCs/>
                <w:color w:val="auto"/>
                <w:szCs w:val="21"/>
              </w:rPr>
            </w:pPr>
            <w:r>
              <w:rPr>
                <w:b/>
                <w:bCs/>
                <w:color w:val="auto"/>
                <w:szCs w:val="21"/>
              </w:rPr>
              <w:t>排放量t/a</w:t>
            </w:r>
          </w:p>
        </w:tc>
        <w:tc>
          <w:tcPr>
            <w:tcW w:w="596" w:type="pct"/>
            <w:vMerge w:val="continue"/>
            <w:vAlign w:val="center"/>
          </w:tcPr>
          <w:p>
            <w:pPr>
              <w:widowControl/>
              <w:adjustRightInd w:val="0"/>
              <w:spacing w:line="240" w:lineRule="atLeast"/>
              <w:ind w:firstLine="0" w:firstLineChars="0"/>
              <w:jc w:val="center"/>
              <w:rPr>
                <w:sz w:val="21"/>
                <w:szCs w:val="21"/>
              </w:rPr>
            </w:pPr>
          </w:p>
        </w:tc>
        <w:tc>
          <w:tcPr>
            <w:tcW w:w="460" w:type="pct"/>
            <w:vMerge w:val="continue"/>
            <w:vAlign w:val="center"/>
          </w:tcPr>
          <w:p>
            <w:pPr>
              <w:widowControl/>
              <w:adjustRightInd w:val="0"/>
              <w:spacing w:line="240" w:lineRule="atLeast"/>
              <w:ind w:firstLine="0" w:firstLineChars="0"/>
              <w:jc w:val="center"/>
              <w:rPr>
                <w:sz w:val="21"/>
                <w:szCs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Align w:val="center"/>
          </w:tcPr>
          <w:p>
            <w:pPr>
              <w:pStyle w:val="36"/>
              <w:spacing w:line="240" w:lineRule="atLeast"/>
              <w:jc w:val="left"/>
              <w:rPr>
                <w:color w:val="auto"/>
                <w:szCs w:val="21"/>
                <w:vertAlign w:val="subscript"/>
              </w:rPr>
            </w:pPr>
            <w:r>
              <w:rPr>
                <w:color w:val="auto"/>
                <w:szCs w:val="21"/>
              </w:rPr>
              <w:t>G</w:t>
            </w:r>
            <w:r>
              <w:rPr>
                <w:color w:val="auto"/>
                <w:szCs w:val="21"/>
                <w:vertAlign w:val="subscript"/>
              </w:rPr>
              <w:t>1</w:t>
            </w:r>
            <w:r>
              <w:rPr>
                <w:color w:val="auto"/>
                <w:szCs w:val="21"/>
              </w:rPr>
              <w:t>反应氢气驰放气</w:t>
            </w:r>
          </w:p>
        </w:tc>
        <w:tc>
          <w:tcPr>
            <w:tcW w:w="658" w:type="pct"/>
            <w:vAlign w:val="center"/>
          </w:tcPr>
          <w:p>
            <w:pPr>
              <w:pStyle w:val="36"/>
              <w:spacing w:line="240" w:lineRule="atLeast"/>
              <w:rPr>
                <w:color w:val="auto"/>
                <w:szCs w:val="21"/>
              </w:rPr>
            </w:pPr>
            <w:r>
              <w:rPr>
                <w:color w:val="auto"/>
                <w:szCs w:val="21"/>
              </w:rPr>
              <w:t>合成反应釜</w:t>
            </w:r>
          </w:p>
        </w:tc>
        <w:tc>
          <w:tcPr>
            <w:tcW w:w="845" w:type="pct"/>
            <w:vAlign w:val="center"/>
          </w:tcPr>
          <w:p>
            <w:pPr>
              <w:pStyle w:val="36"/>
              <w:spacing w:line="240" w:lineRule="atLeast"/>
              <w:rPr>
                <w:color w:val="auto"/>
                <w:szCs w:val="21"/>
              </w:rPr>
            </w:pPr>
            <w:r>
              <w:rPr>
                <w:color w:val="auto"/>
                <w:szCs w:val="21"/>
              </w:rPr>
              <w:t>送现有火炬系统</w:t>
            </w:r>
          </w:p>
        </w:tc>
        <w:tc>
          <w:tcPr>
            <w:tcW w:w="492" w:type="pct"/>
            <w:vAlign w:val="center"/>
          </w:tcPr>
          <w:p>
            <w:pPr>
              <w:pStyle w:val="36"/>
              <w:spacing w:line="240" w:lineRule="atLeast"/>
              <w:rPr>
                <w:color w:val="auto"/>
                <w:szCs w:val="21"/>
              </w:rPr>
            </w:pPr>
            <w:r>
              <w:rPr>
                <w:color w:val="auto"/>
                <w:szCs w:val="21"/>
              </w:rPr>
              <w:t>/</w:t>
            </w:r>
          </w:p>
        </w:tc>
        <w:tc>
          <w:tcPr>
            <w:tcW w:w="443" w:type="pct"/>
            <w:vAlign w:val="center"/>
          </w:tcPr>
          <w:p>
            <w:pPr>
              <w:pStyle w:val="36"/>
              <w:spacing w:line="240" w:lineRule="atLeast"/>
              <w:rPr>
                <w:color w:val="auto"/>
                <w:szCs w:val="21"/>
              </w:rPr>
            </w:pPr>
            <w:r>
              <w:rPr>
                <w:color w:val="auto"/>
                <w:szCs w:val="21"/>
              </w:rPr>
              <w:t>/</w:t>
            </w:r>
          </w:p>
        </w:tc>
        <w:tc>
          <w:tcPr>
            <w:tcW w:w="554" w:type="pct"/>
            <w:vAlign w:val="center"/>
          </w:tcPr>
          <w:p>
            <w:pPr>
              <w:pStyle w:val="36"/>
              <w:spacing w:line="240" w:lineRule="atLeast"/>
              <w:rPr>
                <w:color w:val="auto"/>
                <w:szCs w:val="21"/>
              </w:rPr>
            </w:pPr>
            <w:r>
              <w:rPr>
                <w:color w:val="auto"/>
                <w:szCs w:val="21"/>
              </w:rPr>
              <w:t>/</w:t>
            </w:r>
          </w:p>
        </w:tc>
        <w:tc>
          <w:tcPr>
            <w:tcW w:w="429" w:type="pct"/>
            <w:vAlign w:val="center"/>
          </w:tcPr>
          <w:p>
            <w:pPr>
              <w:pStyle w:val="36"/>
              <w:spacing w:line="240" w:lineRule="atLeast"/>
              <w:rPr>
                <w:color w:val="auto"/>
                <w:szCs w:val="21"/>
              </w:rPr>
            </w:pPr>
            <w:r>
              <w:rPr>
                <w:color w:val="auto"/>
                <w:szCs w:val="21"/>
              </w:rPr>
              <w:t>/</w:t>
            </w:r>
          </w:p>
        </w:tc>
        <w:tc>
          <w:tcPr>
            <w:tcW w:w="596" w:type="pct"/>
            <w:vAlign w:val="center"/>
          </w:tcPr>
          <w:p>
            <w:pPr>
              <w:pStyle w:val="36"/>
              <w:spacing w:line="240" w:lineRule="atLeast"/>
              <w:rPr>
                <w:color w:val="auto"/>
                <w:szCs w:val="21"/>
              </w:rPr>
            </w:pPr>
            <w:r>
              <w:rPr>
                <w:color w:val="auto"/>
                <w:szCs w:val="21"/>
              </w:rPr>
              <w:t>/</w:t>
            </w:r>
          </w:p>
        </w:tc>
        <w:tc>
          <w:tcPr>
            <w:tcW w:w="460" w:type="pct"/>
            <w:vAlign w:val="center"/>
          </w:tcPr>
          <w:p>
            <w:pPr>
              <w:adjustRightInd w:val="0"/>
              <w:spacing w:line="240" w:lineRule="atLeast"/>
              <w:ind w:firstLine="0" w:firstLineChars="0"/>
              <w:jc w:val="center"/>
              <w:rPr>
                <w:sz w:val="21"/>
                <w:szCs w:val="21"/>
              </w:rPr>
            </w:pPr>
            <w:r>
              <w:rPr>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Align w:val="center"/>
          </w:tcPr>
          <w:p>
            <w:pPr>
              <w:pStyle w:val="36"/>
              <w:spacing w:line="240" w:lineRule="atLeast"/>
              <w:jc w:val="left"/>
              <w:rPr>
                <w:color w:val="auto"/>
                <w:szCs w:val="21"/>
              </w:rPr>
            </w:pPr>
            <w:r>
              <w:rPr>
                <w:color w:val="auto"/>
                <w:szCs w:val="21"/>
              </w:rPr>
              <w:t>G</w:t>
            </w:r>
            <w:r>
              <w:rPr>
                <w:color w:val="auto"/>
                <w:szCs w:val="21"/>
                <w:vertAlign w:val="subscript"/>
              </w:rPr>
              <w:t>2</w:t>
            </w:r>
            <w:r>
              <w:rPr>
                <w:color w:val="auto"/>
                <w:kern w:val="0"/>
                <w:szCs w:val="21"/>
              </w:rPr>
              <w:t>闪蒸不凝气</w:t>
            </w:r>
          </w:p>
        </w:tc>
        <w:tc>
          <w:tcPr>
            <w:tcW w:w="658" w:type="pct"/>
            <w:vAlign w:val="center"/>
          </w:tcPr>
          <w:p>
            <w:pPr>
              <w:pStyle w:val="36"/>
              <w:spacing w:line="240" w:lineRule="atLeast"/>
              <w:rPr>
                <w:color w:val="auto"/>
                <w:szCs w:val="21"/>
              </w:rPr>
            </w:pPr>
            <w:r>
              <w:rPr>
                <w:color w:val="auto"/>
                <w:szCs w:val="21"/>
              </w:rPr>
              <w:t>闪蒸汽冷凝罐</w:t>
            </w:r>
          </w:p>
        </w:tc>
        <w:tc>
          <w:tcPr>
            <w:tcW w:w="845" w:type="pct"/>
            <w:vAlign w:val="center"/>
          </w:tcPr>
          <w:p>
            <w:pPr>
              <w:pStyle w:val="36"/>
              <w:spacing w:line="240" w:lineRule="atLeast"/>
              <w:rPr>
                <w:color w:val="auto"/>
                <w:szCs w:val="21"/>
              </w:rPr>
            </w:pPr>
            <w:r>
              <w:rPr>
                <w:color w:val="auto"/>
                <w:szCs w:val="21"/>
              </w:rPr>
              <w:t>送现有火炬系统</w:t>
            </w:r>
          </w:p>
        </w:tc>
        <w:tc>
          <w:tcPr>
            <w:tcW w:w="492" w:type="pct"/>
            <w:vAlign w:val="center"/>
          </w:tcPr>
          <w:p>
            <w:pPr>
              <w:pStyle w:val="36"/>
              <w:spacing w:line="240" w:lineRule="atLeast"/>
              <w:rPr>
                <w:color w:val="auto"/>
                <w:szCs w:val="21"/>
              </w:rPr>
            </w:pPr>
            <w:r>
              <w:rPr>
                <w:color w:val="auto"/>
                <w:szCs w:val="21"/>
              </w:rPr>
              <w:t>/</w:t>
            </w:r>
          </w:p>
        </w:tc>
        <w:tc>
          <w:tcPr>
            <w:tcW w:w="443" w:type="pct"/>
            <w:vAlign w:val="center"/>
          </w:tcPr>
          <w:p>
            <w:pPr>
              <w:pStyle w:val="36"/>
              <w:spacing w:line="240" w:lineRule="atLeast"/>
              <w:rPr>
                <w:color w:val="auto"/>
                <w:szCs w:val="21"/>
              </w:rPr>
            </w:pPr>
            <w:r>
              <w:rPr>
                <w:color w:val="auto"/>
                <w:szCs w:val="21"/>
              </w:rPr>
              <w:t>/</w:t>
            </w:r>
          </w:p>
        </w:tc>
        <w:tc>
          <w:tcPr>
            <w:tcW w:w="554" w:type="pct"/>
            <w:vAlign w:val="center"/>
          </w:tcPr>
          <w:p>
            <w:pPr>
              <w:pStyle w:val="36"/>
              <w:spacing w:line="240" w:lineRule="atLeast"/>
              <w:rPr>
                <w:color w:val="auto"/>
                <w:szCs w:val="21"/>
              </w:rPr>
            </w:pPr>
            <w:r>
              <w:rPr>
                <w:color w:val="auto"/>
                <w:szCs w:val="21"/>
              </w:rPr>
              <w:t>/</w:t>
            </w:r>
          </w:p>
        </w:tc>
        <w:tc>
          <w:tcPr>
            <w:tcW w:w="429" w:type="pct"/>
            <w:vAlign w:val="center"/>
          </w:tcPr>
          <w:p>
            <w:pPr>
              <w:pStyle w:val="36"/>
              <w:spacing w:line="240" w:lineRule="atLeast"/>
              <w:rPr>
                <w:color w:val="auto"/>
                <w:szCs w:val="21"/>
              </w:rPr>
            </w:pPr>
            <w:r>
              <w:rPr>
                <w:color w:val="auto"/>
                <w:szCs w:val="21"/>
              </w:rPr>
              <w:t>/</w:t>
            </w:r>
          </w:p>
        </w:tc>
        <w:tc>
          <w:tcPr>
            <w:tcW w:w="596" w:type="pct"/>
            <w:vAlign w:val="center"/>
          </w:tcPr>
          <w:p>
            <w:pPr>
              <w:pStyle w:val="36"/>
              <w:spacing w:line="240" w:lineRule="atLeast"/>
              <w:rPr>
                <w:color w:val="auto"/>
                <w:szCs w:val="21"/>
              </w:rPr>
            </w:pPr>
            <w:r>
              <w:rPr>
                <w:color w:val="auto"/>
                <w:szCs w:val="21"/>
              </w:rPr>
              <w:t>/</w:t>
            </w:r>
          </w:p>
        </w:tc>
        <w:tc>
          <w:tcPr>
            <w:tcW w:w="460" w:type="pct"/>
            <w:vAlign w:val="center"/>
          </w:tcPr>
          <w:p>
            <w:pPr>
              <w:adjustRightInd w:val="0"/>
              <w:spacing w:line="240" w:lineRule="atLeast"/>
              <w:ind w:firstLine="0" w:firstLineChars="0"/>
              <w:jc w:val="center"/>
              <w:rPr>
                <w:sz w:val="21"/>
                <w:szCs w:val="21"/>
              </w:rPr>
            </w:pPr>
            <w:r>
              <w:rPr>
                <w:sz w:val="21"/>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Align w:val="center"/>
          </w:tcPr>
          <w:p>
            <w:pPr>
              <w:pStyle w:val="36"/>
              <w:spacing w:line="240" w:lineRule="atLeast"/>
              <w:jc w:val="left"/>
              <w:rPr>
                <w:color w:val="auto"/>
                <w:szCs w:val="21"/>
              </w:rPr>
            </w:pPr>
            <w:r>
              <w:rPr>
                <w:color w:val="auto"/>
                <w:szCs w:val="21"/>
              </w:rPr>
              <w:t>G</w:t>
            </w:r>
            <w:r>
              <w:rPr>
                <w:color w:val="auto"/>
                <w:szCs w:val="21"/>
                <w:vertAlign w:val="subscript"/>
              </w:rPr>
              <w:t>3</w:t>
            </w:r>
            <w:r>
              <w:rPr>
                <w:color w:val="auto"/>
                <w:kern w:val="0"/>
                <w:szCs w:val="21"/>
              </w:rPr>
              <w:t>真空泵尾气</w:t>
            </w:r>
          </w:p>
        </w:tc>
        <w:tc>
          <w:tcPr>
            <w:tcW w:w="658" w:type="pct"/>
            <w:vAlign w:val="center"/>
          </w:tcPr>
          <w:p>
            <w:pPr>
              <w:pStyle w:val="36"/>
              <w:spacing w:line="240" w:lineRule="atLeast"/>
              <w:rPr>
                <w:color w:val="auto"/>
                <w:szCs w:val="21"/>
              </w:rPr>
            </w:pPr>
            <w:r>
              <w:rPr>
                <w:color w:val="auto"/>
                <w:szCs w:val="21"/>
              </w:rPr>
              <w:t>精馏系统不凝气</w:t>
            </w:r>
          </w:p>
        </w:tc>
        <w:tc>
          <w:tcPr>
            <w:tcW w:w="845" w:type="pct"/>
            <w:vAlign w:val="center"/>
          </w:tcPr>
          <w:p>
            <w:pPr>
              <w:pStyle w:val="36"/>
              <w:spacing w:line="240" w:lineRule="atLeast"/>
              <w:rPr>
                <w:color w:val="auto"/>
                <w:szCs w:val="21"/>
              </w:rPr>
            </w:pPr>
            <w:r>
              <w:rPr>
                <w:color w:val="auto"/>
                <w:szCs w:val="21"/>
              </w:rPr>
              <w:t>尾气洗涤塔</w:t>
            </w:r>
            <w:r>
              <w:rPr>
                <w:rFonts w:hint="eastAsia"/>
                <w:color w:val="auto"/>
                <w:szCs w:val="21"/>
              </w:rPr>
              <w:t>+活性炭吸附罐</w:t>
            </w:r>
          </w:p>
        </w:tc>
        <w:tc>
          <w:tcPr>
            <w:tcW w:w="492" w:type="pct"/>
            <w:vAlign w:val="center"/>
          </w:tcPr>
          <w:p>
            <w:pPr>
              <w:pStyle w:val="36"/>
              <w:spacing w:line="240" w:lineRule="atLeast"/>
              <w:rPr>
                <w:color w:val="auto"/>
                <w:szCs w:val="21"/>
              </w:rPr>
            </w:pPr>
            <w:r>
              <w:rPr>
                <w:color w:val="auto"/>
                <w:szCs w:val="21"/>
              </w:rPr>
              <w:t>85</w:t>
            </w:r>
          </w:p>
        </w:tc>
        <w:tc>
          <w:tcPr>
            <w:tcW w:w="443" w:type="pct"/>
            <w:vAlign w:val="center"/>
          </w:tcPr>
          <w:p>
            <w:pPr>
              <w:pStyle w:val="36"/>
              <w:spacing w:line="240" w:lineRule="atLeast"/>
              <w:rPr>
                <w:color w:val="auto"/>
                <w:szCs w:val="21"/>
              </w:rPr>
            </w:pPr>
            <w:r>
              <w:rPr>
                <w:rFonts w:hint="eastAsia"/>
                <w:color w:val="auto"/>
                <w:szCs w:val="21"/>
              </w:rPr>
              <w:t>4</w:t>
            </w:r>
            <w:r>
              <w:rPr>
                <w:color w:val="auto"/>
                <w:szCs w:val="21"/>
              </w:rPr>
              <w:t>7.6</w:t>
            </w:r>
          </w:p>
          <w:p>
            <w:pPr>
              <w:pStyle w:val="36"/>
              <w:spacing w:line="240" w:lineRule="atLeast"/>
              <w:rPr>
                <w:color w:val="auto"/>
                <w:szCs w:val="21"/>
              </w:rPr>
            </w:pPr>
            <w:r>
              <w:rPr>
                <w:rFonts w:hint="eastAsia"/>
                <w:color w:val="auto"/>
                <w:szCs w:val="21"/>
              </w:rPr>
              <w:t>1</w:t>
            </w:r>
            <w:r>
              <w:rPr>
                <w:color w:val="auto"/>
                <w:szCs w:val="21"/>
              </w:rPr>
              <w:t>2.5</w:t>
            </w:r>
          </w:p>
        </w:tc>
        <w:tc>
          <w:tcPr>
            <w:tcW w:w="554" w:type="pct"/>
            <w:vAlign w:val="center"/>
          </w:tcPr>
          <w:p>
            <w:pPr>
              <w:pStyle w:val="36"/>
              <w:spacing w:line="240" w:lineRule="atLeast"/>
              <w:rPr>
                <w:color w:val="auto"/>
                <w:szCs w:val="21"/>
                <w:shd w:val="clear" w:color="auto" w:fill="FFFFFF"/>
              </w:rPr>
            </w:pPr>
            <w:r>
              <w:rPr>
                <w:color w:val="auto"/>
                <w:kern w:val="0"/>
                <w:szCs w:val="21"/>
              </w:rPr>
              <w:t>4.76</w:t>
            </w:r>
            <w:r>
              <w:rPr>
                <w:color w:val="auto"/>
                <w:szCs w:val="21"/>
                <w:shd w:val="clear" w:color="auto" w:fill="FFFFFF"/>
              </w:rPr>
              <w:t>×10</w:t>
            </w:r>
            <w:r>
              <w:rPr>
                <w:color w:val="auto"/>
                <w:szCs w:val="21"/>
                <w:shd w:val="clear" w:color="auto" w:fill="FFFFFF"/>
                <w:vertAlign w:val="superscript"/>
              </w:rPr>
              <w:t>-3</w:t>
            </w:r>
          </w:p>
          <w:p>
            <w:pPr>
              <w:pStyle w:val="36"/>
              <w:spacing w:line="240" w:lineRule="atLeast"/>
              <w:rPr>
                <w:color w:val="auto"/>
                <w:szCs w:val="21"/>
              </w:rPr>
            </w:pPr>
            <w:r>
              <w:rPr>
                <w:color w:val="auto"/>
                <w:kern w:val="0"/>
                <w:szCs w:val="21"/>
              </w:rPr>
              <w:t>1.25</w:t>
            </w:r>
            <w:r>
              <w:rPr>
                <w:color w:val="auto"/>
                <w:szCs w:val="21"/>
                <w:shd w:val="clear" w:color="auto" w:fill="FFFFFF"/>
              </w:rPr>
              <w:t>×10</w:t>
            </w:r>
            <w:r>
              <w:rPr>
                <w:color w:val="auto"/>
                <w:szCs w:val="21"/>
                <w:shd w:val="clear" w:color="auto" w:fill="FFFFFF"/>
                <w:vertAlign w:val="superscript"/>
              </w:rPr>
              <w:t>-3</w:t>
            </w:r>
          </w:p>
        </w:tc>
        <w:tc>
          <w:tcPr>
            <w:tcW w:w="429" w:type="pct"/>
            <w:vAlign w:val="center"/>
          </w:tcPr>
          <w:p>
            <w:pPr>
              <w:pStyle w:val="36"/>
              <w:spacing w:line="240" w:lineRule="atLeast"/>
              <w:rPr>
                <w:color w:val="auto"/>
                <w:szCs w:val="21"/>
              </w:rPr>
            </w:pPr>
            <w:r>
              <w:rPr>
                <w:rFonts w:hint="eastAsia"/>
                <w:color w:val="auto"/>
                <w:szCs w:val="21"/>
              </w:rPr>
              <w:t>0</w:t>
            </w:r>
            <w:r>
              <w:rPr>
                <w:color w:val="auto"/>
                <w:szCs w:val="21"/>
              </w:rPr>
              <w:t>.038</w:t>
            </w:r>
          </w:p>
          <w:p>
            <w:pPr>
              <w:pStyle w:val="36"/>
              <w:spacing w:line="240" w:lineRule="atLeast"/>
              <w:rPr>
                <w:color w:val="auto"/>
                <w:szCs w:val="21"/>
              </w:rPr>
            </w:pPr>
            <w:r>
              <w:rPr>
                <w:rFonts w:hint="eastAsia"/>
                <w:color w:val="auto"/>
                <w:szCs w:val="21"/>
              </w:rPr>
              <w:t>0</w:t>
            </w:r>
            <w:r>
              <w:rPr>
                <w:color w:val="auto"/>
                <w:szCs w:val="21"/>
              </w:rPr>
              <w:t>.01</w:t>
            </w:r>
          </w:p>
        </w:tc>
        <w:tc>
          <w:tcPr>
            <w:tcW w:w="596" w:type="pct"/>
            <w:vAlign w:val="center"/>
          </w:tcPr>
          <w:p>
            <w:pPr>
              <w:pStyle w:val="36"/>
              <w:spacing w:line="240" w:lineRule="atLeast"/>
              <w:rPr>
                <w:color w:val="auto"/>
                <w:szCs w:val="21"/>
              </w:rPr>
            </w:pPr>
            <w:r>
              <w:rPr>
                <w:color w:val="auto"/>
                <w:szCs w:val="21"/>
              </w:rPr>
              <w:t>50</w:t>
            </w:r>
          </w:p>
          <w:p>
            <w:pPr>
              <w:pStyle w:val="36"/>
              <w:spacing w:line="240" w:lineRule="atLeast"/>
              <w:rPr>
                <w:color w:val="auto"/>
                <w:szCs w:val="21"/>
              </w:rPr>
            </w:pPr>
            <w:r>
              <w:rPr>
                <w:color w:val="auto"/>
                <w:szCs w:val="21"/>
              </w:rPr>
              <w:t>/</w:t>
            </w:r>
          </w:p>
        </w:tc>
        <w:tc>
          <w:tcPr>
            <w:tcW w:w="460" w:type="pct"/>
            <w:vAlign w:val="center"/>
          </w:tcPr>
          <w:p>
            <w:pPr>
              <w:adjustRightInd w:val="0"/>
              <w:spacing w:line="240" w:lineRule="atLeast"/>
              <w:ind w:firstLine="0" w:firstLineChars="0"/>
              <w:jc w:val="center"/>
              <w:rPr>
                <w:sz w:val="21"/>
                <w:szCs w:val="21"/>
              </w:rPr>
            </w:pPr>
            <w:r>
              <w:rPr>
                <w:sz w:val="21"/>
                <w:szCs w:val="21"/>
              </w:rPr>
              <w:t>H15m</w:t>
            </w:r>
          </w:p>
          <w:p>
            <w:pPr>
              <w:adjustRightInd w:val="0"/>
              <w:spacing w:line="240" w:lineRule="atLeast"/>
              <w:ind w:firstLine="0" w:firstLineChars="0"/>
              <w:jc w:val="center"/>
              <w:rPr>
                <w:sz w:val="21"/>
                <w:szCs w:val="21"/>
              </w:rPr>
            </w:pPr>
            <w:r>
              <w:rPr>
                <w:sz w:val="21"/>
                <w:szCs w:val="21"/>
              </w:rPr>
              <w:t>φ=0.4m</w:t>
            </w:r>
          </w:p>
          <w:p>
            <w:pPr>
              <w:adjustRightInd w:val="0"/>
              <w:spacing w:line="240" w:lineRule="atLeast"/>
              <w:ind w:firstLine="0" w:firstLineChars="0"/>
              <w:jc w:val="center"/>
              <w:rPr>
                <w:sz w:val="21"/>
                <w:szCs w:val="21"/>
              </w:rPr>
            </w:pPr>
            <w:r>
              <w:rPr>
                <w:sz w:val="21"/>
                <w:szCs w:val="21"/>
              </w:rPr>
              <w:t>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Align w:val="center"/>
          </w:tcPr>
          <w:p>
            <w:pPr>
              <w:pStyle w:val="36"/>
              <w:spacing w:line="240" w:lineRule="atLeast"/>
              <w:jc w:val="left"/>
              <w:rPr>
                <w:color w:val="auto"/>
                <w:szCs w:val="21"/>
              </w:rPr>
            </w:pPr>
            <w:r>
              <w:rPr>
                <w:rFonts w:hint="eastAsia"/>
                <w:color w:val="auto"/>
                <w:szCs w:val="21"/>
              </w:rPr>
              <w:t>g</w:t>
            </w:r>
            <w:r>
              <w:rPr>
                <w:color w:val="auto"/>
                <w:szCs w:val="21"/>
                <w:vertAlign w:val="subscript"/>
              </w:rPr>
              <w:t>1</w:t>
            </w:r>
            <w:r>
              <w:rPr>
                <w:rFonts w:hint="eastAsia"/>
                <w:color w:val="auto"/>
                <w:szCs w:val="21"/>
              </w:rPr>
              <w:t>无组织</w:t>
            </w:r>
          </w:p>
        </w:tc>
        <w:tc>
          <w:tcPr>
            <w:tcW w:w="4482" w:type="pct"/>
            <w:gridSpan w:val="8"/>
            <w:vAlign w:val="center"/>
          </w:tcPr>
          <w:p>
            <w:pPr>
              <w:adjustRightInd w:val="0"/>
              <w:spacing w:line="240" w:lineRule="atLeast"/>
              <w:ind w:firstLine="0" w:firstLineChars="0"/>
              <w:jc w:val="center"/>
              <w:rPr>
                <w:sz w:val="21"/>
                <w:szCs w:val="21"/>
              </w:rPr>
            </w:pPr>
            <w:r>
              <w:rPr>
                <w:rFonts w:hint="eastAsia"/>
                <w:sz w:val="21"/>
                <w:szCs w:val="21"/>
              </w:rPr>
              <w:t>装置区面积：2</w:t>
            </w:r>
            <w:r>
              <w:rPr>
                <w:sz w:val="21"/>
                <w:szCs w:val="21"/>
              </w:rPr>
              <w:t>2.5</w:t>
            </w:r>
            <w:r>
              <w:rPr>
                <w:rFonts w:hint="eastAsia"/>
                <w:sz w:val="21"/>
                <w:szCs w:val="21"/>
                <w:shd w:val="clear" w:color="auto" w:fill="FFFFFF"/>
              </w:rPr>
              <w:t>m</w:t>
            </w:r>
            <w:r>
              <w:rPr>
                <w:sz w:val="21"/>
                <w:szCs w:val="21"/>
                <w:shd w:val="clear" w:color="auto" w:fill="FFFFFF"/>
              </w:rPr>
              <w:t>×40</w:t>
            </w:r>
            <w:r>
              <w:rPr>
                <w:rFonts w:hint="eastAsia"/>
                <w:sz w:val="21"/>
                <w:szCs w:val="21"/>
                <w:shd w:val="clear" w:color="auto" w:fill="FFFFFF"/>
              </w:rPr>
              <w:t>m</w:t>
            </w:r>
            <w:r>
              <w:rPr>
                <w:rFonts w:hint="eastAsia"/>
                <w:sz w:val="21"/>
                <w:szCs w:val="21"/>
              </w:rPr>
              <w:t>，乙二醇0</w:t>
            </w:r>
            <w:r>
              <w:rPr>
                <w:sz w:val="21"/>
                <w:szCs w:val="21"/>
              </w:rPr>
              <w:t>.32</w:t>
            </w:r>
            <w:r>
              <w:rPr>
                <w:rFonts w:hint="eastAsia"/>
                <w:sz w:val="21"/>
                <w:szCs w:val="21"/>
              </w:rPr>
              <w:t>t/a，丙二醇0</w:t>
            </w:r>
            <w:r>
              <w:rPr>
                <w:sz w:val="21"/>
                <w:szCs w:val="21"/>
              </w:rPr>
              <w:t>.08</w:t>
            </w:r>
            <w:r>
              <w:rPr>
                <w:rFonts w:hint="eastAsia"/>
                <w:sz w:val="21"/>
                <w:szCs w:val="21"/>
              </w:rPr>
              <w:t>t/a，</w:t>
            </w:r>
            <w:r>
              <w:rPr>
                <w:sz w:val="21"/>
                <w:szCs w:val="21"/>
              </w:rPr>
              <w:t>VOC</w:t>
            </w:r>
            <w:r>
              <w:rPr>
                <w:sz w:val="21"/>
                <w:szCs w:val="21"/>
                <w:vertAlign w:val="subscript"/>
              </w:rPr>
              <w:t>S</w:t>
            </w:r>
            <w:r>
              <w:rPr>
                <w:rFonts w:hint="eastAsia"/>
                <w:sz w:val="21"/>
                <w:szCs w:val="21"/>
              </w:rPr>
              <w:t>0</w:t>
            </w:r>
            <w:r>
              <w:rPr>
                <w:sz w:val="21"/>
                <w:szCs w:val="21"/>
              </w:rPr>
              <w:t>.40</w:t>
            </w:r>
            <w:r>
              <w:rPr>
                <w:rFonts w:hint="eastAsia"/>
                <w:sz w:val="21"/>
                <w:szCs w:val="21"/>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right"/>
        </w:trPr>
        <w:tc>
          <w:tcPr>
            <w:tcW w:w="517" w:type="pct"/>
            <w:vAlign w:val="center"/>
          </w:tcPr>
          <w:p>
            <w:pPr>
              <w:pStyle w:val="36"/>
              <w:spacing w:line="240" w:lineRule="atLeast"/>
              <w:jc w:val="left"/>
              <w:rPr>
                <w:color w:val="auto"/>
                <w:szCs w:val="21"/>
              </w:rPr>
            </w:pPr>
            <w:r>
              <w:rPr>
                <w:rFonts w:hint="eastAsia"/>
                <w:color w:val="auto"/>
                <w:szCs w:val="21"/>
              </w:rPr>
              <w:t>合计</w:t>
            </w:r>
          </w:p>
        </w:tc>
        <w:tc>
          <w:tcPr>
            <w:tcW w:w="4482" w:type="pct"/>
            <w:gridSpan w:val="8"/>
            <w:vAlign w:val="center"/>
          </w:tcPr>
          <w:p>
            <w:pPr>
              <w:adjustRightInd w:val="0"/>
              <w:spacing w:line="240" w:lineRule="atLeast"/>
              <w:ind w:firstLine="0" w:firstLineChars="0"/>
              <w:jc w:val="center"/>
              <w:rPr>
                <w:sz w:val="21"/>
                <w:szCs w:val="21"/>
              </w:rPr>
            </w:pPr>
            <w:r>
              <w:rPr>
                <w:rFonts w:hint="eastAsia"/>
                <w:sz w:val="21"/>
                <w:szCs w:val="21"/>
              </w:rPr>
              <w:t>乙二醇</w:t>
            </w:r>
            <w:r>
              <w:rPr>
                <w:sz w:val="21"/>
                <w:szCs w:val="21"/>
              </w:rPr>
              <w:t>0.358</w:t>
            </w:r>
            <w:r>
              <w:rPr>
                <w:rFonts w:hint="eastAsia"/>
                <w:sz w:val="21"/>
                <w:szCs w:val="21"/>
              </w:rPr>
              <w:t>t/a，丙二醇0</w:t>
            </w:r>
            <w:r>
              <w:rPr>
                <w:sz w:val="21"/>
                <w:szCs w:val="21"/>
              </w:rPr>
              <w:t>.09</w:t>
            </w:r>
            <w:r>
              <w:rPr>
                <w:rFonts w:hint="eastAsia"/>
                <w:sz w:val="21"/>
                <w:szCs w:val="21"/>
              </w:rPr>
              <w:t>t/a，</w:t>
            </w:r>
            <w:r>
              <w:rPr>
                <w:sz w:val="21"/>
                <w:szCs w:val="21"/>
              </w:rPr>
              <w:t>VOC</w:t>
            </w:r>
            <w:r>
              <w:rPr>
                <w:sz w:val="21"/>
                <w:szCs w:val="21"/>
                <w:vertAlign w:val="subscript"/>
              </w:rPr>
              <w:t>S</w:t>
            </w:r>
            <w:r>
              <w:rPr>
                <w:rFonts w:hint="eastAsia"/>
                <w:sz w:val="21"/>
                <w:szCs w:val="21"/>
              </w:rPr>
              <w:t>0</w:t>
            </w:r>
            <w:r>
              <w:rPr>
                <w:sz w:val="21"/>
                <w:szCs w:val="21"/>
              </w:rPr>
              <w:t>.45</w:t>
            </w:r>
            <w:r>
              <w:rPr>
                <w:rFonts w:hint="eastAsia"/>
                <w:sz w:val="21"/>
                <w:szCs w:val="21"/>
              </w:rPr>
              <w:t>t/a</w:t>
            </w:r>
          </w:p>
        </w:tc>
      </w:tr>
    </w:tbl>
    <w:p>
      <w:pPr>
        <w:pStyle w:val="76"/>
        <w:ind w:firstLine="482"/>
        <w:rPr>
          <w:szCs w:val="22"/>
        </w:rPr>
      </w:pPr>
      <w:r>
        <w:rPr>
          <w:rFonts w:hint="eastAsia"/>
          <w:szCs w:val="22"/>
        </w:rPr>
        <w:t>表10.2-3              固体废物产生与排放情况</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462"/>
        <w:gridCol w:w="650"/>
        <w:gridCol w:w="826"/>
        <w:gridCol w:w="1168"/>
        <w:gridCol w:w="722"/>
        <w:gridCol w:w="1134"/>
        <w:gridCol w:w="686"/>
        <w:gridCol w:w="666"/>
        <w:gridCol w:w="666"/>
        <w:gridCol w:w="724"/>
        <w:gridCol w:w="542"/>
        <w:gridCol w:w="712"/>
      </w:tblGrid>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284" w:hRule="atLeast"/>
          <w:tblHeader/>
        </w:trPr>
        <w:tc>
          <w:tcPr>
            <w:tcW w:w="258"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序号</w:t>
            </w:r>
          </w:p>
        </w:tc>
        <w:tc>
          <w:tcPr>
            <w:tcW w:w="363"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固废</w:t>
            </w:r>
          </w:p>
          <w:p>
            <w:pPr>
              <w:widowControl/>
              <w:adjustRightInd w:val="0"/>
              <w:spacing w:line="240" w:lineRule="atLeast"/>
              <w:ind w:firstLine="0" w:firstLineChars="0"/>
              <w:jc w:val="center"/>
              <w:rPr>
                <w:b/>
                <w:bCs/>
                <w:kern w:val="0"/>
                <w:sz w:val="21"/>
                <w:szCs w:val="21"/>
              </w:rPr>
            </w:pPr>
            <w:r>
              <w:rPr>
                <w:b/>
                <w:bCs/>
                <w:kern w:val="0"/>
                <w:sz w:val="21"/>
                <w:szCs w:val="21"/>
              </w:rPr>
              <w:t>名称</w:t>
            </w:r>
          </w:p>
        </w:tc>
        <w:tc>
          <w:tcPr>
            <w:tcW w:w="461"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固废类别</w:t>
            </w:r>
          </w:p>
        </w:tc>
        <w:tc>
          <w:tcPr>
            <w:tcW w:w="652"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危险废物</w:t>
            </w:r>
          </w:p>
          <w:p>
            <w:pPr>
              <w:widowControl/>
              <w:adjustRightInd w:val="0"/>
              <w:spacing w:line="240" w:lineRule="atLeast"/>
              <w:ind w:firstLine="0" w:firstLineChars="0"/>
              <w:jc w:val="center"/>
              <w:rPr>
                <w:b/>
                <w:bCs/>
                <w:kern w:val="0"/>
                <w:sz w:val="21"/>
                <w:szCs w:val="21"/>
              </w:rPr>
            </w:pPr>
            <w:r>
              <w:rPr>
                <w:b/>
                <w:bCs/>
                <w:kern w:val="0"/>
                <w:sz w:val="21"/>
                <w:szCs w:val="21"/>
              </w:rPr>
              <w:t>代码</w:t>
            </w:r>
          </w:p>
        </w:tc>
        <w:tc>
          <w:tcPr>
            <w:tcW w:w="403"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产生量 t/a</w:t>
            </w:r>
          </w:p>
        </w:tc>
        <w:tc>
          <w:tcPr>
            <w:tcW w:w="633"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产生工序及装置</w:t>
            </w:r>
          </w:p>
        </w:tc>
        <w:tc>
          <w:tcPr>
            <w:tcW w:w="383"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形态</w:t>
            </w:r>
          </w:p>
        </w:tc>
        <w:tc>
          <w:tcPr>
            <w:tcW w:w="372"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主要成分</w:t>
            </w:r>
          </w:p>
        </w:tc>
        <w:tc>
          <w:tcPr>
            <w:tcW w:w="372"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有害成分</w:t>
            </w:r>
          </w:p>
        </w:tc>
        <w:tc>
          <w:tcPr>
            <w:tcW w:w="404" w:type="pct"/>
            <w:vAlign w:val="center"/>
          </w:tcPr>
          <w:p>
            <w:pPr>
              <w:widowControl/>
              <w:adjustRightInd w:val="0"/>
              <w:spacing w:line="240" w:lineRule="atLeast"/>
              <w:ind w:firstLine="0" w:firstLineChars="0"/>
              <w:jc w:val="center"/>
              <w:rPr>
                <w:b/>
                <w:bCs/>
                <w:kern w:val="0"/>
                <w:sz w:val="21"/>
                <w:szCs w:val="21"/>
              </w:rPr>
            </w:pPr>
            <w:r>
              <w:rPr>
                <w:b/>
                <w:bCs/>
                <w:kern w:val="0"/>
                <w:sz w:val="21"/>
                <w:szCs w:val="21"/>
              </w:rPr>
              <w:t>产废周期</w:t>
            </w:r>
          </w:p>
        </w:tc>
        <w:tc>
          <w:tcPr>
            <w:tcW w:w="302"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危险特性</w:t>
            </w:r>
          </w:p>
        </w:tc>
        <w:tc>
          <w:tcPr>
            <w:tcW w:w="396" w:type="pct"/>
            <w:shd w:val="clear" w:color="auto" w:fill="auto"/>
            <w:vAlign w:val="center"/>
          </w:tcPr>
          <w:p>
            <w:pPr>
              <w:widowControl/>
              <w:adjustRightInd w:val="0"/>
              <w:spacing w:line="240" w:lineRule="atLeast"/>
              <w:ind w:firstLine="0" w:firstLineChars="0"/>
              <w:jc w:val="center"/>
              <w:rPr>
                <w:b/>
                <w:bCs/>
                <w:kern w:val="0"/>
                <w:sz w:val="21"/>
                <w:szCs w:val="21"/>
              </w:rPr>
            </w:pPr>
            <w:r>
              <w:rPr>
                <w:b/>
                <w:bCs/>
                <w:kern w:val="0"/>
                <w:sz w:val="21"/>
                <w:szCs w:val="21"/>
              </w:rPr>
              <w:t>污染治理措施</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284" w:hRule="atLeast"/>
        </w:trPr>
        <w:tc>
          <w:tcPr>
            <w:tcW w:w="258" w:type="pct"/>
            <w:shd w:val="clear" w:color="auto" w:fill="auto"/>
            <w:vAlign w:val="center"/>
          </w:tcPr>
          <w:p>
            <w:pPr>
              <w:widowControl/>
              <w:adjustRightInd w:val="0"/>
              <w:spacing w:line="240" w:lineRule="atLeast"/>
              <w:ind w:firstLine="0" w:firstLineChars="0"/>
              <w:jc w:val="center"/>
              <w:rPr>
                <w:b/>
                <w:bCs/>
                <w:kern w:val="0"/>
                <w:sz w:val="21"/>
                <w:szCs w:val="21"/>
              </w:rPr>
            </w:pPr>
            <w:r>
              <w:rPr>
                <w:kern w:val="0"/>
                <w:sz w:val="21"/>
                <w:szCs w:val="21"/>
              </w:rPr>
              <w:t>S</w:t>
            </w:r>
            <w:r>
              <w:rPr>
                <w:kern w:val="0"/>
                <w:sz w:val="21"/>
                <w:szCs w:val="21"/>
                <w:vertAlign w:val="subscript"/>
              </w:rPr>
              <w:t>1</w:t>
            </w:r>
          </w:p>
        </w:tc>
        <w:tc>
          <w:tcPr>
            <w:tcW w:w="363" w:type="pct"/>
            <w:vAlign w:val="center"/>
          </w:tcPr>
          <w:p>
            <w:pPr>
              <w:widowControl/>
              <w:adjustRightInd w:val="0"/>
              <w:spacing w:line="240" w:lineRule="atLeast"/>
              <w:ind w:firstLine="0" w:firstLineChars="0"/>
              <w:jc w:val="center"/>
              <w:rPr>
                <w:kern w:val="0"/>
                <w:sz w:val="21"/>
                <w:szCs w:val="21"/>
              </w:rPr>
            </w:pPr>
            <w:r>
              <w:rPr>
                <w:kern w:val="0"/>
                <w:sz w:val="21"/>
                <w:szCs w:val="21"/>
              </w:rPr>
              <w:t>废催化剂</w:t>
            </w:r>
          </w:p>
        </w:tc>
        <w:tc>
          <w:tcPr>
            <w:tcW w:w="461" w:type="pct"/>
            <w:vAlign w:val="center"/>
          </w:tcPr>
          <w:p>
            <w:pPr>
              <w:widowControl/>
              <w:adjustRightInd w:val="0"/>
              <w:spacing w:line="240" w:lineRule="atLeast"/>
              <w:ind w:firstLine="0" w:firstLineChars="0"/>
              <w:jc w:val="center"/>
              <w:rPr>
                <w:kern w:val="0"/>
                <w:sz w:val="21"/>
                <w:szCs w:val="21"/>
              </w:rPr>
            </w:pPr>
            <w:r>
              <w:rPr>
                <w:kern w:val="0"/>
                <w:sz w:val="21"/>
                <w:szCs w:val="21"/>
              </w:rPr>
              <w:t>HW46</w:t>
            </w:r>
          </w:p>
          <w:p>
            <w:pPr>
              <w:widowControl/>
              <w:adjustRightInd w:val="0"/>
              <w:spacing w:line="240" w:lineRule="atLeast"/>
              <w:ind w:firstLine="0" w:firstLineChars="0"/>
              <w:jc w:val="center"/>
              <w:rPr>
                <w:kern w:val="0"/>
                <w:sz w:val="21"/>
                <w:szCs w:val="21"/>
              </w:rPr>
            </w:pPr>
            <w:r>
              <w:rPr>
                <w:kern w:val="0"/>
                <w:sz w:val="21"/>
                <w:szCs w:val="21"/>
              </w:rPr>
              <w:t>含镍废物</w:t>
            </w:r>
          </w:p>
        </w:tc>
        <w:tc>
          <w:tcPr>
            <w:tcW w:w="652" w:type="pct"/>
            <w:vAlign w:val="center"/>
          </w:tcPr>
          <w:p>
            <w:pPr>
              <w:widowControl/>
              <w:adjustRightInd w:val="0"/>
              <w:spacing w:line="240" w:lineRule="atLeast"/>
              <w:ind w:firstLine="0" w:firstLineChars="0"/>
              <w:jc w:val="center"/>
              <w:rPr>
                <w:kern w:val="0"/>
                <w:sz w:val="21"/>
                <w:szCs w:val="21"/>
              </w:rPr>
            </w:pPr>
            <w:r>
              <w:rPr>
                <w:kern w:val="0"/>
                <w:sz w:val="21"/>
                <w:szCs w:val="21"/>
              </w:rPr>
              <w:t>HW</w:t>
            </w:r>
          </w:p>
          <w:p>
            <w:pPr>
              <w:widowControl/>
              <w:adjustRightInd w:val="0"/>
              <w:spacing w:line="240" w:lineRule="atLeast"/>
              <w:ind w:firstLine="0" w:firstLineChars="0"/>
              <w:jc w:val="center"/>
              <w:rPr>
                <w:kern w:val="0"/>
                <w:sz w:val="21"/>
                <w:szCs w:val="21"/>
              </w:rPr>
            </w:pPr>
            <w:r>
              <w:rPr>
                <w:kern w:val="0"/>
                <w:sz w:val="21"/>
                <w:szCs w:val="21"/>
              </w:rPr>
              <w:t>900-037-46</w:t>
            </w:r>
          </w:p>
        </w:tc>
        <w:tc>
          <w:tcPr>
            <w:tcW w:w="403" w:type="pct"/>
            <w:vAlign w:val="center"/>
          </w:tcPr>
          <w:p>
            <w:pPr>
              <w:adjustRightInd w:val="0"/>
              <w:spacing w:line="240" w:lineRule="atLeast"/>
              <w:ind w:firstLine="0" w:firstLineChars="0"/>
              <w:jc w:val="center"/>
              <w:rPr>
                <w:sz w:val="21"/>
                <w:szCs w:val="21"/>
              </w:rPr>
            </w:pPr>
            <w:r>
              <w:rPr>
                <w:sz w:val="21"/>
                <w:szCs w:val="21"/>
              </w:rPr>
              <w:t>2</w:t>
            </w:r>
          </w:p>
        </w:tc>
        <w:tc>
          <w:tcPr>
            <w:tcW w:w="633"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合成反应釜</w:t>
            </w:r>
          </w:p>
        </w:tc>
        <w:tc>
          <w:tcPr>
            <w:tcW w:w="383"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固态</w:t>
            </w:r>
          </w:p>
        </w:tc>
        <w:tc>
          <w:tcPr>
            <w:tcW w:w="372" w:type="pct"/>
            <w:vAlign w:val="center"/>
          </w:tcPr>
          <w:p>
            <w:pPr>
              <w:widowControl/>
              <w:adjustRightInd w:val="0"/>
              <w:spacing w:line="240" w:lineRule="atLeast"/>
              <w:ind w:firstLine="0" w:firstLineChars="0"/>
              <w:jc w:val="center"/>
              <w:rPr>
                <w:kern w:val="0"/>
                <w:sz w:val="21"/>
                <w:szCs w:val="21"/>
              </w:rPr>
            </w:pPr>
            <w:r>
              <w:rPr>
                <w:kern w:val="0"/>
                <w:sz w:val="21"/>
                <w:szCs w:val="21"/>
              </w:rPr>
              <w:t>镍</w:t>
            </w:r>
          </w:p>
        </w:tc>
        <w:tc>
          <w:tcPr>
            <w:tcW w:w="372"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镍</w:t>
            </w:r>
          </w:p>
        </w:tc>
        <w:tc>
          <w:tcPr>
            <w:tcW w:w="404" w:type="pct"/>
            <w:vAlign w:val="center"/>
          </w:tcPr>
          <w:p>
            <w:pPr>
              <w:widowControl/>
              <w:adjustRightInd w:val="0"/>
              <w:spacing w:line="240" w:lineRule="atLeast"/>
              <w:ind w:firstLine="0" w:firstLineChars="0"/>
              <w:jc w:val="center"/>
              <w:rPr>
                <w:kern w:val="0"/>
                <w:sz w:val="21"/>
                <w:szCs w:val="21"/>
              </w:rPr>
            </w:pPr>
            <w:r>
              <w:rPr>
                <w:kern w:val="0"/>
                <w:sz w:val="21"/>
                <w:szCs w:val="21"/>
              </w:rPr>
              <w:t>1a</w:t>
            </w:r>
          </w:p>
        </w:tc>
        <w:tc>
          <w:tcPr>
            <w:tcW w:w="302" w:type="pct"/>
            <w:shd w:val="clear" w:color="auto" w:fill="auto"/>
            <w:vAlign w:val="center"/>
          </w:tcPr>
          <w:p>
            <w:pPr>
              <w:widowControl/>
              <w:adjustRightInd w:val="0"/>
              <w:spacing w:line="240" w:lineRule="atLeast"/>
              <w:ind w:firstLine="0" w:firstLineChars="0"/>
              <w:jc w:val="center"/>
              <w:rPr>
                <w:kern w:val="0"/>
                <w:sz w:val="21"/>
                <w:szCs w:val="21"/>
              </w:rPr>
            </w:pPr>
            <w:r>
              <w:rPr>
                <w:sz w:val="21"/>
                <w:szCs w:val="21"/>
              </w:rPr>
              <w:t>T，</w:t>
            </w:r>
            <w:r>
              <w:rPr>
                <w:kern w:val="0"/>
                <w:sz w:val="21"/>
                <w:szCs w:val="21"/>
              </w:rPr>
              <w:t>I</w:t>
            </w:r>
          </w:p>
        </w:tc>
        <w:tc>
          <w:tcPr>
            <w:tcW w:w="396"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284" w:hRule="atLeast"/>
        </w:trPr>
        <w:tc>
          <w:tcPr>
            <w:tcW w:w="258"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S</w:t>
            </w:r>
            <w:r>
              <w:rPr>
                <w:kern w:val="0"/>
                <w:sz w:val="21"/>
                <w:szCs w:val="21"/>
                <w:vertAlign w:val="subscript"/>
              </w:rPr>
              <w:t>2</w:t>
            </w:r>
          </w:p>
        </w:tc>
        <w:tc>
          <w:tcPr>
            <w:tcW w:w="363" w:type="pct"/>
            <w:vAlign w:val="center"/>
          </w:tcPr>
          <w:p>
            <w:pPr>
              <w:widowControl/>
              <w:adjustRightInd w:val="0"/>
              <w:spacing w:line="240" w:lineRule="atLeast"/>
              <w:ind w:firstLine="0" w:firstLineChars="0"/>
              <w:jc w:val="center"/>
              <w:rPr>
                <w:kern w:val="0"/>
                <w:sz w:val="21"/>
                <w:szCs w:val="21"/>
              </w:rPr>
            </w:pPr>
            <w:r>
              <w:rPr>
                <w:kern w:val="0"/>
                <w:sz w:val="21"/>
                <w:szCs w:val="21"/>
              </w:rPr>
              <w:t>废活性炭</w:t>
            </w:r>
          </w:p>
        </w:tc>
        <w:tc>
          <w:tcPr>
            <w:tcW w:w="461" w:type="pct"/>
            <w:vAlign w:val="center"/>
          </w:tcPr>
          <w:p>
            <w:pPr>
              <w:autoSpaceDE w:val="0"/>
              <w:autoSpaceDN w:val="0"/>
              <w:adjustRightInd w:val="0"/>
              <w:spacing w:line="240" w:lineRule="atLeast"/>
              <w:ind w:firstLine="0" w:firstLineChars="0"/>
              <w:jc w:val="center"/>
              <w:rPr>
                <w:kern w:val="0"/>
                <w:sz w:val="21"/>
                <w:szCs w:val="21"/>
              </w:rPr>
            </w:pPr>
            <w:r>
              <w:rPr>
                <w:kern w:val="0"/>
                <w:sz w:val="21"/>
                <w:szCs w:val="21"/>
              </w:rPr>
              <w:t>HW49</w:t>
            </w:r>
          </w:p>
          <w:p>
            <w:pPr>
              <w:widowControl/>
              <w:adjustRightInd w:val="0"/>
              <w:spacing w:line="240" w:lineRule="atLeast"/>
              <w:ind w:firstLine="0" w:firstLineChars="0"/>
              <w:jc w:val="center"/>
              <w:rPr>
                <w:kern w:val="0"/>
                <w:sz w:val="21"/>
                <w:szCs w:val="21"/>
              </w:rPr>
            </w:pPr>
            <w:r>
              <w:rPr>
                <w:kern w:val="0"/>
                <w:sz w:val="21"/>
                <w:szCs w:val="21"/>
              </w:rPr>
              <w:t>其他废物</w:t>
            </w:r>
          </w:p>
        </w:tc>
        <w:tc>
          <w:tcPr>
            <w:tcW w:w="652" w:type="pct"/>
            <w:vAlign w:val="center"/>
          </w:tcPr>
          <w:p>
            <w:pPr>
              <w:widowControl/>
              <w:adjustRightInd w:val="0"/>
              <w:spacing w:line="240" w:lineRule="atLeast"/>
              <w:ind w:firstLine="0" w:firstLineChars="0"/>
              <w:jc w:val="center"/>
              <w:rPr>
                <w:kern w:val="0"/>
                <w:sz w:val="21"/>
                <w:szCs w:val="21"/>
              </w:rPr>
            </w:pPr>
            <w:r>
              <w:rPr>
                <w:kern w:val="0"/>
                <w:sz w:val="21"/>
                <w:szCs w:val="21"/>
              </w:rPr>
              <w:t>HW</w:t>
            </w:r>
          </w:p>
          <w:p>
            <w:pPr>
              <w:widowControl/>
              <w:adjustRightInd w:val="0"/>
              <w:spacing w:line="240" w:lineRule="atLeast"/>
              <w:ind w:firstLine="0" w:firstLineChars="0"/>
              <w:jc w:val="center"/>
              <w:rPr>
                <w:kern w:val="0"/>
                <w:sz w:val="21"/>
                <w:szCs w:val="21"/>
              </w:rPr>
            </w:pPr>
            <w:r>
              <w:rPr>
                <w:kern w:val="0"/>
                <w:sz w:val="21"/>
                <w:szCs w:val="21"/>
              </w:rPr>
              <w:t>900-039-49</w:t>
            </w:r>
          </w:p>
        </w:tc>
        <w:tc>
          <w:tcPr>
            <w:tcW w:w="403" w:type="pct"/>
            <w:vAlign w:val="center"/>
          </w:tcPr>
          <w:p>
            <w:pPr>
              <w:adjustRightInd w:val="0"/>
              <w:spacing w:line="240" w:lineRule="atLeast"/>
              <w:ind w:firstLine="0" w:firstLineChars="0"/>
              <w:jc w:val="center"/>
              <w:rPr>
                <w:sz w:val="21"/>
                <w:szCs w:val="21"/>
              </w:rPr>
            </w:pPr>
            <w:r>
              <w:rPr>
                <w:sz w:val="21"/>
                <w:szCs w:val="21"/>
              </w:rPr>
              <w:t>0.1</w:t>
            </w:r>
          </w:p>
        </w:tc>
        <w:tc>
          <w:tcPr>
            <w:tcW w:w="633"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活性炭吸附罐</w:t>
            </w:r>
          </w:p>
        </w:tc>
        <w:tc>
          <w:tcPr>
            <w:tcW w:w="383"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固态</w:t>
            </w:r>
          </w:p>
        </w:tc>
        <w:tc>
          <w:tcPr>
            <w:tcW w:w="372" w:type="pct"/>
            <w:vAlign w:val="center"/>
          </w:tcPr>
          <w:p>
            <w:pPr>
              <w:widowControl/>
              <w:adjustRightInd w:val="0"/>
              <w:spacing w:line="240" w:lineRule="atLeast"/>
              <w:ind w:firstLine="0" w:firstLineChars="0"/>
              <w:jc w:val="center"/>
              <w:rPr>
                <w:kern w:val="0"/>
                <w:sz w:val="21"/>
                <w:szCs w:val="21"/>
              </w:rPr>
            </w:pPr>
            <w:r>
              <w:rPr>
                <w:kern w:val="0"/>
                <w:sz w:val="21"/>
                <w:szCs w:val="21"/>
              </w:rPr>
              <w:t>吸附剂</w:t>
            </w:r>
          </w:p>
        </w:tc>
        <w:tc>
          <w:tcPr>
            <w:tcW w:w="372"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有机物质</w:t>
            </w:r>
          </w:p>
        </w:tc>
        <w:tc>
          <w:tcPr>
            <w:tcW w:w="404" w:type="pct"/>
            <w:vAlign w:val="center"/>
          </w:tcPr>
          <w:p>
            <w:pPr>
              <w:widowControl/>
              <w:adjustRightInd w:val="0"/>
              <w:spacing w:line="240" w:lineRule="atLeast"/>
              <w:ind w:firstLine="0" w:firstLineChars="0"/>
              <w:jc w:val="center"/>
              <w:rPr>
                <w:kern w:val="0"/>
                <w:sz w:val="21"/>
                <w:szCs w:val="21"/>
              </w:rPr>
            </w:pPr>
            <w:r>
              <w:rPr>
                <w:kern w:val="0"/>
                <w:sz w:val="21"/>
                <w:szCs w:val="21"/>
              </w:rPr>
              <w:t>0.25a</w:t>
            </w:r>
          </w:p>
        </w:tc>
        <w:tc>
          <w:tcPr>
            <w:tcW w:w="302" w:type="pct"/>
            <w:shd w:val="clear" w:color="auto" w:fill="auto"/>
            <w:vAlign w:val="center"/>
          </w:tcPr>
          <w:p>
            <w:pPr>
              <w:widowControl/>
              <w:adjustRightInd w:val="0"/>
              <w:spacing w:line="240" w:lineRule="atLeast"/>
              <w:ind w:firstLine="0" w:firstLineChars="0"/>
              <w:jc w:val="center"/>
              <w:rPr>
                <w:sz w:val="21"/>
                <w:szCs w:val="21"/>
              </w:rPr>
            </w:pPr>
            <w:r>
              <w:rPr>
                <w:sz w:val="21"/>
                <w:szCs w:val="21"/>
              </w:rPr>
              <w:t>T</w:t>
            </w:r>
          </w:p>
        </w:tc>
        <w:tc>
          <w:tcPr>
            <w:tcW w:w="396"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284" w:hRule="atLeast"/>
        </w:trPr>
        <w:tc>
          <w:tcPr>
            <w:tcW w:w="258"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S</w:t>
            </w:r>
            <w:r>
              <w:rPr>
                <w:kern w:val="0"/>
                <w:sz w:val="21"/>
                <w:szCs w:val="21"/>
                <w:vertAlign w:val="subscript"/>
              </w:rPr>
              <w:t>3</w:t>
            </w:r>
          </w:p>
        </w:tc>
        <w:tc>
          <w:tcPr>
            <w:tcW w:w="363" w:type="pct"/>
            <w:vAlign w:val="center"/>
          </w:tcPr>
          <w:p>
            <w:pPr>
              <w:widowControl/>
              <w:adjustRightInd w:val="0"/>
              <w:spacing w:line="240" w:lineRule="atLeast"/>
              <w:ind w:firstLine="0" w:firstLineChars="0"/>
              <w:jc w:val="center"/>
              <w:rPr>
                <w:bCs/>
                <w:kern w:val="0"/>
                <w:sz w:val="21"/>
                <w:szCs w:val="21"/>
              </w:rPr>
            </w:pPr>
            <w:r>
              <w:rPr>
                <w:bCs/>
                <w:kern w:val="0"/>
                <w:sz w:val="21"/>
                <w:szCs w:val="21"/>
              </w:rPr>
              <w:t>废润滑油</w:t>
            </w:r>
          </w:p>
        </w:tc>
        <w:tc>
          <w:tcPr>
            <w:tcW w:w="461" w:type="pct"/>
            <w:vAlign w:val="center"/>
          </w:tcPr>
          <w:p>
            <w:pPr>
              <w:widowControl/>
              <w:adjustRightInd w:val="0"/>
              <w:spacing w:line="240" w:lineRule="atLeast"/>
              <w:ind w:firstLine="0" w:firstLineChars="0"/>
              <w:jc w:val="center"/>
              <w:rPr>
                <w:kern w:val="0"/>
                <w:sz w:val="21"/>
                <w:szCs w:val="21"/>
              </w:rPr>
            </w:pPr>
            <w:r>
              <w:rPr>
                <w:kern w:val="0"/>
                <w:sz w:val="21"/>
                <w:szCs w:val="21"/>
              </w:rPr>
              <w:t>HW08废矿物油</w:t>
            </w:r>
          </w:p>
        </w:tc>
        <w:tc>
          <w:tcPr>
            <w:tcW w:w="652" w:type="pct"/>
            <w:vAlign w:val="center"/>
          </w:tcPr>
          <w:p>
            <w:pPr>
              <w:widowControl/>
              <w:adjustRightInd w:val="0"/>
              <w:spacing w:line="240" w:lineRule="atLeast"/>
              <w:ind w:firstLine="0" w:firstLineChars="0"/>
              <w:jc w:val="center"/>
              <w:rPr>
                <w:bCs/>
                <w:sz w:val="21"/>
                <w:szCs w:val="21"/>
              </w:rPr>
            </w:pPr>
            <w:r>
              <w:rPr>
                <w:bCs/>
                <w:sz w:val="21"/>
                <w:szCs w:val="21"/>
              </w:rPr>
              <w:t>HW 900-217-08</w:t>
            </w:r>
          </w:p>
        </w:tc>
        <w:tc>
          <w:tcPr>
            <w:tcW w:w="403" w:type="pct"/>
            <w:vAlign w:val="center"/>
          </w:tcPr>
          <w:p>
            <w:pPr>
              <w:adjustRightInd w:val="0"/>
              <w:spacing w:line="240" w:lineRule="atLeast"/>
              <w:ind w:firstLine="0" w:firstLineChars="0"/>
              <w:jc w:val="center"/>
              <w:rPr>
                <w:sz w:val="21"/>
                <w:szCs w:val="21"/>
              </w:rPr>
            </w:pPr>
            <w:r>
              <w:rPr>
                <w:sz w:val="21"/>
                <w:szCs w:val="21"/>
              </w:rPr>
              <w:t>0.05</w:t>
            </w:r>
          </w:p>
        </w:tc>
        <w:tc>
          <w:tcPr>
            <w:tcW w:w="633" w:type="pct"/>
            <w:shd w:val="clear" w:color="auto" w:fill="auto"/>
            <w:vAlign w:val="center"/>
          </w:tcPr>
          <w:p>
            <w:pPr>
              <w:widowControl/>
              <w:adjustRightInd w:val="0"/>
              <w:spacing w:line="240" w:lineRule="atLeast"/>
              <w:ind w:firstLine="0" w:firstLineChars="0"/>
              <w:jc w:val="center"/>
              <w:rPr>
                <w:bCs/>
                <w:kern w:val="0"/>
                <w:sz w:val="21"/>
                <w:szCs w:val="21"/>
              </w:rPr>
            </w:pPr>
            <w:r>
              <w:rPr>
                <w:bCs/>
                <w:kern w:val="0"/>
                <w:sz w:val="21"/>
                <w:szCs w:val="21"/>
              </w:rPr>
              <w:t>压缩机、风机等</w:t>
            </w:r>
          </w:p>
        </w:tc>
        <w:tc>
          <w:tcPr>
            <w:tcW w:w="383"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液态</w:t>
            </w:r>
          </w:p>
        </w:tc>
        <w:tc>
          <w:tcPr>
            <w:tcW w:w="372" w:type="pct"/>
            <w:vAlign w:val="center"/>
          </w:tcPr>
          <w:p>
            <w:pPr>
              <w:widowControl/>
              <w:adjustRightInd w:val="0"/>
              <w:spacing w:line="240" w:lineRule="atLeast"/>
              <w:ind w:firstLine="0" w:firstLineChars="0"/>
              <w:jc w:val="center"/>
              <w:rPr>
                <w:kern w:val="0"/>
                <w:sz w:val="21"/>
                <w:szCs w:val="21"/>
              </w:rPr>
            </w:pPr>
            <w:r>
              <w:rPr>
                <w:kern w:val="0"/>
                <w:sz w:val="21"/>
                <w:szCs w:val="21"/>
              </w:rPr>
              <w:t>矿物油</w:t>
            </w:r>
          </w:p>
        </w:tc>
        <w:tc>
          <w:tcPr>
            <w:tcW w:w="372" w:type="pct"/>
            <w:shd w:val="clear" w:color="auto" w:fill="auto"/>
            <w:vAlign w:val="center"/>
          </w:tcPr>
          <w:p>
            <w:pPr>
              <w:widowControl/>
              <w:adjustRightInd w:val="0"/>
              <w:spacing w:line="240" w:lineRule="atLeast"/>
              <w:ind w:firstLine="0" w:firstLineChars="0"/>
              <w:jc w:val="center"/>
              <w:rPr>
                <w:kern w:val="0"/>
                <w:sz w:val="21"/>
                <w:szCs w:val="21"/>
              </w:rPr>
            </w:pPr>
            <w:r>
              <w:rPr>
                <w:sz w:val="21"/>
                <w:szCs w:val="21"/>
              </w:rPr>
              <w:t>废油</w:t>
            </w:r>
          </w:p>
        </w:tc>
        <w:tc>
          <w:tcPr>
            <w:tcW w:w="404" w:type="pct"/>
            <w:vAlign w:val="center"/>
          </w:tcPr>
          <w:p>
            <w:pPr>
              <w:adjustRightInd w:val="0"/>
              <w:spacing w:line="240" w:lineRule="atLeast"/>
              <w:ind w:firstLine="0" w:firstLineChars="0"/>
              <w:jc w:val="center"/>
              <w:rPr>
                <w:sz w:val="21"/>
                <w:szCs w:val="21"/>
              </w:rPr>
            </w:pPr>
            <w:r>
              <w:rPr>
                <w:sz w:val="21"/>
                <w:szCs w:val="21"/>
              </w:rPr>
              <w:t>1a</w:t>
            </w:r>
          </w:p>
        </w:tc>
        <w:tc>
          <w:tcPr>
            <w:tcW w:w="302" w:type="pct"/>
            <w:shd w:val="clear" w:color="auto" w:fill="auto"/>
            <w:vAlign w:val="center"/>
          </w:tcPr>
          <w:p>
            <w:pPr>
              <w:adjustRightInd w:val="0"/>
              <w:spacing w:line="240" w:lineRule="atLeast"/>
              <w:ind w:firstLine="0" w:firstLineChars="0"/>
              <w:jc w:val="center"/>
              <w:rPr>
                <w:sz w:val="21"/>
                <w:szCs w:val="21"/>
              </w:rPr>
            </w:pPr>
            <w:r>
              <w:rPr>
                <w:sz w:val="21"/>
                <w:szCs w:val="21"/>
              </w:rPr>
              <w:t>T，Ⅰ</w:t>
            </w:r>
          </w:p>
        </w:tc>
        <w:tc>
          <w:tcPr>
            <w:tcW w:w="396" w:type="pct"/>
            <w:shd w:val="clear" w:color="auto" w:fill="auto"/>
            <w:vAlign w:val="center"/>
          </w:tcPr>
          <w:p>
            <w:pPr>
              <w:widowControl/>
              <w:adjustRightInd w:val="0"/>
              <w:spacing w:line="240" w:lineRule="atLeast"/>
              <w:ind w:firstLine="0" w:firstLineChars="0"/>
              <w:jc w:val="center"/>
              <w:rPr>
                <w:kern w:val="0"/>
                <w:sz w:val="21"/>
                <w:szCs w:val="21"/>
              </w:rPr>
            </w:pPr>
            <w:r>
              <w:rPr>
                <w:kern w:val="0"/>
                <w:sz w:val="21"/>
                <w:szCs w:val="21"/>
              </w:rPr>
              <w:t>委托有资质单位处理</w:t>
            </w:r>
          </w:p>
        </w:tc>
      </w:tr>
      <w:tr>
        <w:tblPrEx>
          <w:tblBorders>
            <w:top w:val="single" w:color="auto" w:sz="8" w:space="0"/>
            <w:left w:val="none" w:color="auto" w:sz="0" w:space="0"/>
            <w:bottom w:val="single" w:color="auto" w:sz="8"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284" w:hRule="atLeast"/>
        </w:trPr>
        <w:tc>
          <w:tcPr>
            <w:tcW w:w="621" w:type="pct"/>
            <w:gridSpan w:val="2"/>
            <w:vAlign w:val="center"/>
          </w:tcPr>
          <w:p>
            <w:pPr>
              <w:widowControl/>
              <w:adjustRightInd w:val="0"/>
              <w:spacing w:line="240" w:lineRule="atLeast"/>
              <w:ind w:firstLine="0" w:firstLineChars="0"/>
              <w:jc w:val="center"/>
              <w:rPr>
                <w:kern w:val="0"/>
                <w:sz w:val="21"/>
                <w:szCs w:val="21"/>
              </w:rPr>
            </w:pPr>
            <w:r>
              <w:rPr>
                <w:kern w:val="0"/>
                <w:sz w:val="21"/>
                <w:szCs w:val="21"/>
              </w:rPr>
              <w:t>合计</w:t>
            </w:r>
          </w:p>
        </w:tc>
        <w:tc>
          <w:tcPr>
            <w:tcW w:w="4379" w:type="pct"/>
            <w:gridSpan w:val="10"/>
          </w:tcPr>
          <w:p>
            <w:pPr>
              <w:widowControl/>
              <w:adjustRightInd w:val="0"/>
              <w:spacing w:line="240" w:lineRule="atLeast"/>
              <w:ind w:firstLine="0" w:firstLineChars="0"/>
              <w:jc w:val="center"/>
              <w:rPr>
                <w:kern w:val="0"/>
                <w:sz w:val="21"/>
                <w:szCs w:val="21"/>
              </w:rPr>
            </w:pPr>
            <w:r>
              <w:rPr>
                <w:kern w:val="0"/>
                <w:sz w:val="21"/>
                <w:szCs w:val="21"/>
              </w:rPr>
              <w:t>危险废物2.15t/a</w:t>
            </w:r>
          </w:p>
        </w:tc>
      </w:tr>
      <w:bookmarkEnd w:id="296"/>
    </w:tbl>
    <w:p>
      <w:pPr>
        <w:pStyle w:val="76"/>
        <w:ind w:firstLine="482"/>
        <w:rPr>
          <w:rFonts w:cs="Times New Roman"/>
        </w:rPr>
      </w:pPr>
      <w:r>
        <w:rPr>
          <w:rFonts w:hint="eastAsia" w:cs="Times New Roman"/>
        </w:rPr>
        <w:t>表10</w:t>
      </w:r>
      <w:r>
        <w:rPr>
          <w:rFonts w:cs="Times New Roman"/>
        </w:rPr>
        <w:t>.2-</w:t>
      </w:r>
      <w:r>
        <w:rPr>
          <w:rFonts w:hint="eastAsia" w:cs="Times New Roman"/>
        </w:rPr>
        <w:t>4</w:t>
      </w:r>
      <w:r>
        <w:rPr>
          <w:rFonts w:cs="Times New Roman"/>
        </w:rPr>
        <w:t xml:space="preserve"> </w:t>
      </w:r>
      <w:r>
        <w:rPr>
          <w:rFonts w:hint="eastAsia" w:cs="Times New Roman"/>
        </w:rPr>
        <w:t xml:space="preserve">                  </w:t>
      </w:r>
      <w:r>
        <w:rPr>
          <w:rFonts w:cs="Times New Roman"/>
        </w:rPr>
        <w:t>噪声排放清单</w:t>
      </w:r>
    </w:p>
    <w:tbl>
      <w:tblPr>
        <w:tblStyle w:val="21"/>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187"/>
        <w:gridCol w:w="1648"/>
        <w:gridCol w:w="1277"/>
        <w:gridCol w:w="1418"/>
        <w:gridCol w:w="1420"/>
        <w:gridCol w:w="140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snapToGrid w:val="0"/>
                <w:spacing w:val="0"/>
                <w:kern w:val="0"/>
                <w:sz w:val="21"/>
                <w:szCs w:val="21"/>
              </w:rPr>
              <w:t>序号</w:t>
            </w:r>
          </w:p>
        </w:tc>
        <w:tc>
          <w:tcPr>
            <w:tcW w:w="647" w:type="pct"/>
            <w:vAlign w:val="center"/>
          </w:tcPr>
          <w:p>
            <w:pPr>
              <w:pStyle w:val="53"/>
              <w:snapToGrid w:val="0"/>
              <w:spacing w:line="240" w:lineRule="auto"/>
              <w:ind w:firstLine="0" w:firstLineChars="0"/>
              <w:jc w:val="center"/>
              <w:rPr>
                <w:rFonts w:eastAsia="宋体"/>
                <w:b w:val="0"/>
                <w:spacing w:val="0"/>
                <w:kern w:val="0"/>
                <w:sz w:val="21"/>
                <w:szCs w:val="21"/>
              </w:rPr>
            </w:pPr>
            <w:r>
              <w:rPr>
                <w:rFonts w:eastAsia="宋体"/>
                <w:snapToGrid w:val="0"/>
                <w:spacing w:val="0"/>
                <w:kern w:val="0"/>
                <w:sz w:val="21"/>
                <w:szCs w:val="21"/>
              </w:rPr>
              <w:t>噪声设备</w:t>
            </w:r>
          </w:p>
        </w:tc>
        <w:tc>
          <w:tcPr>
            <w:tcW w:w="898"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snapToGrid w:val="0"/>
                <w:spacing w:val="0"/>
                <w:kern w:val="0"/>
                <w:sz w:val="21"/>
                <w:szCs w:val="21"/>
              </w:rPr>
              <w:t>区域</w:t>
            </w:r>
          </w:p>
        </w:tc>
        <w:tc>
          <w:tcPr>
            <w:tcW w:w="696"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snapToGrid w:val="0"/>
                <w:spacing w:val="0"/>
                <w:kern w:val="0"/>
                <w:sz w:val="21"/>
                <w:szCs w:val="21"/>
              </w:rPr>
              <w:t>数量</w:t>
            </w:r>
          </w:p>
        </w:tc>
        <w:tc>
          <w:tcPr>
            <w:tcW w:w="773" w:type="pct"/>
            <w:vAlign w:val="center"/>
          </w:tcPr>
          <w:p>
            <w:pPr>
              <w:pStyle w:val="53"/>
              <w:snapToGrid w:val="0"/>
              <w:spacing w:line="240" w:lineRule="auto"/>
              <w:ind w:firstLine="0" w:firstLineChars="0"/>
              <w:jc w:val="center"/>
              <w:rPr>
                <w:rFonts w:eastAsia="宋体"/>
                <w:snapToGrid w:val="0"/>
                <w:spacing w:val="0"/>
                <w:kern w:val="0"/>
                <w:sz w:val="21"/>
                <w:szCs w:val="21"/>
              </w:rPr>
            </w:pPr>
            <w:r>
              <w:rPr>
                <w:rFonts w:eastAsia="宋体"/>
                <w:snapToGrid w:val="0"/>
                <w:spacing w:val="0"/>
                <w:kern w:val="0"/>
                <w:sz w:val="21"/>
                <w:szCs w:val="21"/>
              </w:rPr>
              <w:t>源强/声压级</w:t>
            </w:r>
          </w:p>
          <w:p>
            <w:pPr>
              <w:pStyle w:val="53"/>
              <w:snapToGrid w:val="0"/>
              <w:spacing w:line="240" w:lineRule="auto"/>
              <w:ind w:firstLine="0" w:firstLineChars="0"/>
              <w:jc w:val="center"/>
              <w:rPr>
                <w:rFonts w:eastAsia="宋体"/>
                <w:b w:val="0"/>
                <w:snapToGrid w:val="0"/>
                <w:spacing w:val="0"/>
                <w:kern w:val="0"/>
                <w:sz w:val="21"/>
                <w:szCs w:val="21"/>
              </w:rPr>
            </w:pPr>
            <w:r>
              <w:rPr>
                <w:rFonts w:eastAsia="宋体"/>
                <w:snapToGrid w:val="0"/>
                <w:spacing w:val="0"/>
                <w:kern w:val="0"/>
                <w:sz w:val="21"/>
                <w:szCs w:val="21"/>
              </w:rPr>
              <w:t>dB（A）</w:t>
            </w:r>
          </w:p>
        </w:tc>
        <w:tc>
          <w:tcPr>
            <w:tcW w:w="774"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snapToGrid w:val="0"/>
                <w:spacing w:val="0"/>
                <w:kern w:val="0"/>
                <w:sz w:val="21"/>
                <w:szCs w:val="21"/>
              </w:rPr>
              <w:t>治理措施</w:t>
            </w:r>
          </w:p>
        </w:tc>
        <w:tc>
          <w:tcPr>
            <w:tcW w:w="767" w:type="pct"/>
            <w:vAlign w:val="center"/>
          </w:tcPr>
          <w:p>
            <w:pPr>
              <w:pStyle w:val="53"/>
              <w:snapToGrid w:val="0"/>
              <w:spacing w:line="240" w:lineRule="auto"/>
              <w:ind w:firstLine="0" w:firstLineChars="0"/>
              <w:jc w:val="center"/>
              <w:rPr>
                <w:rFonts w:eastAsia="宋体"/>
                <w:snapToGrid w:val="0"/>
                <w:spacing w:val="0"/>
                <w:kern w:val="0"/>
                <w:sz w:val="21"/>
                <w:szCs w:val="21"/>
              </w:rPr>
            </w:pPr>
            <w:r>
              <w:rPr>
                <w:rFonts w:eastAsia="宋体"/>
                <w:snapToGrid w:val="0"/>
                <w:spacing w:val="0"/>
                <w:kern w:val="0"/>
                <w:sz w:val="21"/>
                <w:szCs w:val="21"/>
              </w:rPr>
              <w:t>治理效果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1</w:t>
            </w:r>
          </w:p>
        </w:tc>
        <w:tc>
          <w:tcPr>
            <w:tcW w:w="647" w:type="pct"/>
            <w:vAlign w:val="center"/>
          </w:tcPr>
          <w:p>
            <w:pPr>
              <w:pStyle w:val="53"/>
              <w:snapToGrid w:val="0"/>
              <w:spacing w:line="240" w:lineRule="auto"/>
              <w:ind w:firstLine="0" w:firstLineChars="0"/>
              <w:jc w:val="center"/>
              <w:rPr>
                <w:rFonts w:eastAsia="宋体"/>
                <w:b w:val="0"/>
                <w:spacing w:val="0"/>
                <w:kern w:val="0"/>
                <w:sz w:val="21"/>
                <w:szCs w:val="21"/>
              </w:rPr>
            </w:pPr>
            <w:r>
              <w:rPr>
                <w:rFonts w:eastAsia="宋体"/>
                <w:b w:val="0"/>
                <w:bCs/>
                <w:spacing w:val="0"/>
                <w:kern w:val="0"/>
                <w:sz w:val="21"/>
                <w:szCs w:val="21"/>
              </w:rPr>
              <w:t>压缩机</w:t>
            </w:r>
          </w:p>
        </w:tc>
        <w:tc>
          <w:tcPr>
            <w:tcW w:w="898"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1台</w:t>
            </w:r>
          </w:p>
        </w:tc>
        <w:tc>
          <w:tcPr>
            <w:tcW w:w="773"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90</w:t>
            </w:r>
          </w:p>
        </w:tc>
        <w:tc>
          <w:tcPr>
            <w:tcW w:w="774"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restar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bCs/>
                <w:snapToGrid w:val="0"/>
                <w:spacing w:val="0"/>
                <w:kern w:val="0"/>
                <w:sz w:val="21"/>
                <w:szCs w:val="21"/>
              </w:rPr>
              <w:t>N</w:t>
            </w:r>
            <w:r>
              <w:rPr>
                <w:rFonts w:eastAsia="宋体"/>
                <w:b w:val="0"/>
                <w:bCs/>
                <w:snapToGrid w:val="0"/>
                <w:spacing w:val="0"/>
                <w:kern w:val="0"/>
                <w:sz w:val="21"/>
                <w:szCs w:val="21"/>
                <w:vertAlign w:val="subscript"/>
              </w:rPr>
              <w:t>2</w:t>
            </w:r>
          </w:p>
        </w:tc>
        <w:tc>
          <w:tcPr>
            <w:tcW w:w="647" w:type="pct"/>
            <w:vMerge w:val="restart"/>
            <w:vAlign w:val="center"/>
          </w:tcPr>
          <w:p>
            <w:pPr>
              <w:pStyle w:val="53"/>
              <w:snapToGrid w:val="0"/>
              <w:spacing w:line="240" w:lineRule="auto"/>
              <w:ind w:firstLine="0" w:firstLineChars="0"/>
              <w:jc w:val="center"/>
              <w:rPr>
                <w:rFonts w:eastAsia="宋体"/>
                <w:b w:val="0"/>
                <w:bCs/>
                <w:spacing w:val="0"/>
                <w:kern w:val="0"/>
                <w:sz w:val="21"/>
                <w:szCs w:val="21"/>
              </w:rPr>
            </w:pPr>
            <w:r>
              <w:rPr>
                <w:rFonts w:eastAsia="宋体"/>
                <w:b w:val="0"/>
                <w:bCs/>
                <w:spacing w:val="0"/>
                <w:kern w:val="0"/>
                <w:sz w:val="21"/>
                <w:szCs w:val="21"/>
              </w:rPr>
              <w:t>泵类</w:t>
            </w:r>
          </w:p>
        </w:tc>
        <w:tc>
          <w:tcPr>
            <w:tcW w:w="898" w:type="pct"/>
            <w:vAlign w:val="center"/>
          </w:tcPr>
          <w:p>
            <w:pPr>
              <w:pStyle w:val="53"/>
              <w:snapToGrid w:val="0"/>
              <w:spacing w:line="240" w:lineRule="auto"/>
              <w:ind w:firstLine="0" w:firstLineChars="0"/>
              <w:jc w:val="center"/>
              <w:rPr>
                <w:rFonts w:eastAsia="宋体"/>
                <w:b w:val="0"/>
                <w:bCs/>
                <w:snapToGrid w:val="0"/>
                <w:spacing w:val="0"/>
                <w:kern w:val="0"/>
                <w:sz w:val="21"/>
                <w:szCs w:val="21"/>
              </w:rPr>
            </w:pPr>
            <w:r>
              <w:rPr>
                <w:rFonts w:eastAsia="宋体"/>
                <w:b w:val="0"/>
                <w:bCs/>
                <w:spacing w:val="0"/>
                <w:kern w:val="0"/>
                <w:sz w:val="21"/>
                <w:szCs w:val="21"/>
              </w:rPr>
              <w:t>乙二醇合成</w:t>
            </w:r>
          </w:p>
        </w:tc>
        <w:tc>
          <w:tcPr>
            <w:tcW w:w="696" w:type="pct"/>
            <w:vAlign w:val="center"/>
          </w:tcPr>
          <w:p>
            <w:pPr>
              <w:pStyle w:val="53"/>
              <w:snapToGrid w:val="0"/>
              <w:spacing w:line="240" w:lineRule="auto"/>
              <w:ind w:firstLine="0" w:firstLineChars="0"/>
              <w:jc w:val="center"/>
              <w:rPr>
                <w:rFonts w:eastAsia="宋体"/>
                <w:b w:val="0"/>
                <w:bCs/>
                <w:snapToGrid w:val="0"/>
                <w:spacing w:val="0"/>
                <w:kern w:val="0"/>
                <w:sz w:val="21"/>
                <w:szCs w:val="21"/>
              </w:rPr>
            </w:pPr>
            <w:r>
              <w:rPr>
                <w:rFonts w:eastAsia="宋体"/>
                <w:b w:val="0"/>
                <w:bCs/>
                <w:kern w:val="0"/>
                <w:sz w:val="21"/>
                <w:szCs w:val="21"/>
              </w:rPr>
              <w:t>2</w:t>
            </w:r>
            <w:r>
              <w:rPr>
                <w:rFonts w:eastAsia="宋体"/>
                <w:b w:val="0"/>
                <w:bCs/>
                <w:snapToGrid w:val="0"/>
                <w:spacing w:val="0"/>
                <w:kern w:val="0"/>
                <w:sz w:val="21"/>
                <w:szCs w:val="21"/>
              </w:rPr>
              <w:t>台</w:t>
            </w:r>
          </w:p>
        </w:tc>
        <w:tc>
          <w:tcPr>
            <w:tcW w:w="773" w:type="pct"/>
            <w:vMerge w:val="restar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85</w:t>
            </w:r>
          </w:p>
        </w:tc>
        <w:tc>
          <w:tcPr>
            <w:tcW w:w="774" w:type="pct"/>
            <w:vMerge w:val="restar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减振、隔声</w:t>
            </w:r>
          </w:p>
        </w:tc>
        <w:tc>
          <w:tcPr>
            <w:tcW w:w="767" w:type="pct"/>
            <w:vMerge w:val="restart"/>
            <w:vAlign w:val="center"/>
          </w:tcPr>
          <w:p>
            <w:pPr>
              <w:pStyle w:val="53"/>
              <w:snapToGrid w:val="0"/>
              <w:spacing w:line="240" w:lineRule="auto"/>
              <w:ind w:firstLine="0" w:firstLineChars="0"/>
              <w:jc w:val="center"/>
              <w:rPr>
                <w:rFonts w:eastAsia="宋体"/>
                <w:b w:val="0"/>
                <w:snapToGrid w:val="0"/>
                <w:spacing w:val="0"/>
                <w:kern w:val="0"/>
                <w:sz w:val="21"/>
                <w:szCs w:val="21"/>
              </w:rPr>
            </w:pPr>
            <w:r>
              <w:rPr>
                <w:rFonts w:eastAsia="宋体"/>
                <w:b w:val="0"/>
                <w:snapToGrid w:val="0"/>
                <w:spacing w:val="0"/>
                <w:kern w:val="0"/>
                <w:sz w:val="21"/>
                <w:szCs w:val="21"/>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46" w:type="pct"/>
            <w:vMerge w:val="continue"/>
            <w:vAlign w:val="center"/>
          </w:tcPr>
          <w:p>
            <w:pPr>
              <w:pStyle w:val="53"/>
              <w:snapToGrid w:val="0"/>
              <w:spacing w:line="240" w:lineRule="auto"/>
              <w:ind w:firstLine="0" w:firstLineChars="0"/>
              <w:jc w:val="center"/>
              <w:rPr>
                <w:rFonts w:eastAsia="宋体"/>
                <w:b w:val="0"/>
                <w:snapToGrid w:val="0"/>
                <w:spacing w:val="0"/>
                <w:kern w:val="0"/>
                <w:sz w:val="21"/>
                <w:szCs w:val="21"/>
              </w:rPr>
            </w:pPr>
          </w:p>
        </w:tc>
        <w:tc>
          <w:tcPr>
            <w:tcW w:w="647" w:type="pct"/>
            <w:vMerge w:val="continue"/>
            <w:vAlign w:val="center"/>
          </w:tcPr>
          <w:p>
            <w:pPr>
              <w:pStyle w:val="53"/>
              <w:snapToGrid w:val="0"/>
              <w:spacing w:line="240" w:lineRule="auto"/>
              <w:ind w:firstLine="0" w:firstLineChars="0"/>
              <w:jc w:val="center"/>
              <w:rPr>
                <w:rFonts w:eastAsia="宋体"/>
                <w:b w:val="0"/>
                <w:bCs/>
                <w:spacing w:val="0"/>
                <w:kern w:val="0"/>
                <w:sz w:val="21"/>
                <w:szCs w:val="21"/>
              </w:rPr>
            </w:pPr>
          </w:p>
        </w:tc>
        <w:tc>
          <w:tcPr>
            <w:tcW w:w="898" w:type="pct"/>
            <w:vAlign w:val="center"/>
          </w:tcPr>
          <w:p>
            <w:pPr>
              <w:pStyle w:val="53"/>
              <w:snapToGrid w:val="0"/>
              <w:spacing w:line="240" w:lineRule="auto"/>
              <w:ind w:firstLine="0" w:firstLineChars="0"/>
              <w:jc w:val="center"/>
              <w:rPr>
                <w:rFonts w:eastAsia="宋体"/>
                <w:b w:val="0"/>
                <w:bCs/>
                <w:snapToGrid w:val="0"/>
                <w:spacing w:val="0"/>
                <w:kern w:val="0"/>
                <w:sz w:val="21"/>
                <w:szCs w:val="21"/>
              </w:rPr>
            </w:pPr>
            <w:r>
              <w:rPr>
                <w:rFonts w:eastAsia="宋体"/>
                <w:b w:val="0"/>
                <w:bCs/>
                <w:spacing w:val="0"/>
                <w:kern w:val="0"/>
                <w:sz w:val="21"/>
                <w:szCs w:val="21"/>
              </w:rPr>
              <w:t>乙二醇精馏</w:t>
            </w:r>
          </w:p>
        </w:tc>
        <w:tc>
          <w:tcPr>
            <w:tcW w:w="696" w:type="pct"/>
            <w:vAlign w:val="center"/>
          </w:tcPr>
          <w:p>
            <w:pPr>
              <w:pStyle w:val="53"/>
              <w:snapToGrid w:val="0"/>
              <w:spacing w:line="240" w:lineRule="auto"/>
              <w:ind w:firstLine="0" w:firstLineChars="0"/>
              <w:jc w:val="center"/>
              <w:rPr>
                <w:rFonts w:eastAsia="宋体"/>
                <w:b w:val="0"/>
                <w:bCs/>
                <w:snapToGrid w:val="0"/>
                <w:spacing w:val="0"/>
                <w:kern w:val="0"/>
                <w:sz w:val="21"/>
                <w:szCs w:val="21"/>
              </w:rPr>
            </w:pPr>
            <w:r>
              <w:rPr>
                <w:rFonts w:eastAsia="宋体"/>
                <w:b w:val="0"/>
                <w:bCs/>
                <w:kern w:val="0"/>
                <w:sz w:val="21"/>
                <w:szCs w:val="21"/>
              </w:rPr>
              <w:t>18</w:t>
            </w:r>
            <w:r>
              <w:rPr>
                <w:rFonts w:eastAsia="宋体"/>
                <w:b w:val="0"/>
                <w:bCs/>
                <w:snapToGrid w:val="0"/>
                <w:spacing w:val="0"/>
                <w:kern w:val="0"/>
                <w:sz w:val="21"/>
                <w:szCs w:val="21"/>
              </w:rPr>
              <w:t>台</w:t>
            </w:r>
          </w:p>
        </w:tc>
        <w:tc>
          <w:tcPr>
            <w:tcW w:w="773" w:type="pct"/>
            <w:vMerge w:val="continue"/>
            <w:vAlign w:val="center"/>
          </w:tcPr>
          <w:p>
            <w:pPr>
              <w:pStyle w:val="53"/>
              <w:snapToGrid w:val="0"/>
              <w:spacing w:line="240" w:lineRule="auto"/>
              <w:ind w:firstLine="0" w:firstLineChars="0"/>
              <w:jc w:val="center"/>
              <w:rPr>
                <w:rFonts w:eastAsia="宋体"/>
                <w:b w:val="0"/>
                <w:snapToGrid w:val="0"/>
                <w:spacing w:val="0"/>
                <w:kern w:val="0"/>
                <w:sz w:val="21"/>
                <w:szCs w:val="21"/>
              </w:rPr>
            </w:pPr>
          </w:p>
        </w:tc>
        <w:tc>
          <w:tcPr>
            <w:tcW w:w="774" w:type="pct"/>
            <w:vMerge w:val="continue"/>
            <w:vAlign w:val="center"/>
          </w:tcPr>
          <w:p>
            <w:pPr>
              <w:pStyle w:val="53"/>
              <w:snapToGrid w:val="0"/>
              <w:spacing w:line="240" w:lineRule="auto"/>
              <w:ind w:firstLine="0" w:firstLineChars="0"/>
              <w:jc w:val="center"/>
              <w:rPr>
                <w:rFonts w:eastAsia="宋体"/>
                <w:b w:val="0"/>
                <w:snapToGrid w:val="0"/>
                <w:spacing w:val="0"/>
                <w:kern w:val="0"/>
                <w:sz w:val="21"/>
                <w:szCs w:val="21"/>
              </w:rPr>
            </w:pPr>
          </w:p>
        </w:tc>
        <w:tc>
          <w:tcPr>
            <w:tcW w:w="767" w:type="pct"/>
            <w:vMerge w:val="continue"/>
            <w:vAlign w:val="center"/>
          </w:tcPr>
          <w:p>
            <w:pPr>
              <w:pStyle w:val="53"/>
              <w:snapToGrid w:val="0"/>
              <w:spacing w:line="240" w:lineRule="auto"/>
              <w:ind w:firstLine="0" w:firstLineChars="0"/>
              <w:jc w:val="center"/>
              <w:rPr>
                <w:rFonts w:eastAsia="宋体"/>
                <w:b w:val="0"/>
                <w:snapToGrid w:val="0"/>
                <w:spacing w:val="0"/>
                <w:kern w:val="0"/>
                <w:sz w:val="21"/>
                <w:szCs w:val="21"/>
              </w:rPr>
            </w:pPr>
          </w:p>
        </w:tc>
      </w:tr>
    </w:tbl>
    <w:p>
      <w:pPr>
        <w:pStyle w:val="5"/>
      </w:pPr>
      <w:r>
        <w:t>污染物排放总量管理</w:t>
      </w:r>
    </w:p>
    <w:p>
      <w:pPr>
        <w:pStyle w:val="6"/>
      </w:pPr>
      <w:r>
        <w:t>总量控制的主要污染物</w:t>
      </w:r>
    </w:p>
    <w:p>
      <w:pPr>
        <w:pStyle w:val="20"/>
        <w:spacing w:after="0" w:line="508" w:lineRule="exact"/>
        <w:ind w:left="0" w:leftChars="0" w:firstLine="560"/>
      </w:pPr>
      <w:r>
        <w:t>根据</w:t>
      </w:r>
      <w:r>
        <w:rPr>
          <w:rFonts w:hint="eastAsia"/>
        </w:rPr>
        <w:t>《河南省生态环境厅关于印发&lt;建设项目主要污染物排放总量指标管理工作内部规程&gt;的通知》（2020年5月27日），建设项目主要污染物排放总量指标管理按照原环境保护部“环发[2014]197号”文件要求执行</w:t>
      </w:r>
      <w:r>
        <w:t>。</w:t>
      </w:r>
    </w:p>
    <w:p>
      <w:pPr>
        <w:pStyle w:val="20"/>
        <w:spacing w:after="0" w:line="508" w:lineRule="exact"/>
        <w:ind w:left="0" w:leftChars="0" w:firstLine="560"/>
      </w:pPr>
      <w:r>
        <w:rPr>
          <w:rFonts w:hint="eastAsia"/>
        </w:rPr>
        <w:t>根据《建设项目主要污染物排放总量指标审核及管理暂行办法》（环发[2014]197号），主要污染物是指国家实施排放总量控制的污染物（“十二五”期间为化学需氧量、氨氮、二氧化硫、氮氧化物）。烟粉尘、挥发性有机物、重点重金属污染物、沿海地级以上城市总氮和地方实施总量控制的特征污染物参照本办法执行。</w:t>
      </w:r>
    </w:p>
    <w:p>
      <w:pPr>
        <w:pStyle w:val="20"/>
        <w:spacing w:after="0" w:line="508" w:lineRule="exact"/>
        <w:ind w:left="0" w:leftChars="0" w:firstLine="560"/>
      </w:pPr>
      <w:r>
        <w:t>根据项目所在地环境特征和工程特征，结合项目污染物排放</w:t>
      </w:r>
      <w:r>
        <w:rPr>
          <w:rFonts w:hint="eastAsia"/>
        </w:rPr>
        <w:t>情况</w:t>
      </w:r>
      <w:r>
        <w:t>，评价建议实施总量控制的污染物如下：</w:t>
      </w:r>
    </w:p>
    <w:p>
      <w:pPr>
        <w:pStyle w:val="20"/>
        <w:spacing w:after="0" w:line="508" w:lineRule="exact"/>
        <w:ind w:left="0" w:leftChars="0" w:firstLine="560"/>
      </w:pPr>
      <w:r>
        <w:rPr>
          <w:rFonts w:hint="eastAsia"/>
        </w:rPr>
        <w:t>废水污染物：</w:t>
      </w:r>
      <w:r>
        <w:t>COD</w:t>
      </w:r>
      <w:r>
        <w:rPr>
          <w:rFonts w:hint="eastAsia"/>
        </w:rPr>
        <w:t>、</w:t>
      </w:r>
      <w:r>
        <w:t>NH</w:t>
      </w:r>
      <w:r>
        <w:rPr>
          <w:vertAlign w:val="subscript"/>
        </w:rPr>
        <w:t>3</w:t>
      </w:r>
      <w:r>
        <w:t>-N</w:t>
      </w:r>
      <w:r>
        <w:rPr>
          <w:rFonts w:hint="eastAsia"/>
        </w:rPr>
        <w:t>；</w:t>
      </w:r>
    </w:p>
    <w:p>
      <w:pPr>
        <w:pStyle w:val="20"/>
        <w:spacing w:after="0" w:line="508" w:lineRule="exact"/>
        <w:ind w:left="0" w:leftChars="0" w:firstLine="560"/>
      </w:pPr>
      <w:r>
        <w:t>废气污染物：VOC</w:t>
      </w:r>
      <w:r>
        <w:rPr>
          <w:rFonts w:hint="eastAsia"/>
        </w:rPr>
        <w:t>s。</w:t>
      </w:r>
    </w:p>
    <w:p>
      <w:pPr>
        <w:pStyle w:val="6"/>
      </w:pPr>
      <w:r>
        <w:t>本项目总量</w:t>
      </w:r>
      <w:r>
        <w:rPr>
          <w:rFonts w:hint="eastAsia"/>
        </w:rPr>
        <w:t>替代</w:t>
      </w:r>
      <w:r>
        <w:t>建议指标</w:t>
      </w:r>
    </w:p>
    <w:p>
      <w:pPr>
        <w:pStyle w:val="69"/>
        <w:spacing w:line="508" w:lineRule="exact"/>
        <w:rPr>
          <w:rFonts w:cs="Times New Roman"/>
        </w:rPr>
      </w:pPr>
      <w:r>
        <w:rPr>
          <w:rFonts w:cs="Times New Roman"/>
        </w:rPr>
        <w:t>评价根据工程污染物排放特征及工程污染因素分析，在采取工程设计及评价提出的污染防治措施的前提下，建议将工程满足清洁生产、达标排放后污染物实际排放总量作为总量建议指标。拟建项目各污染物排放量和建议总量控制指标见</w:t>
      </w:r>
      <w:r>
        <w:rPr>
          <w:rFonts w:hint="eastAsia" w:cs="Times New Roman"/>
        </w:rPr>
        <w:t>表10</w:t>
      </w:r>
      <w:r>
        <w:rPr>
          <w:rFonts w:cs="Times New Roman"/>
        </w:rPr>
        <w:t>.2-</w:t>
      </w:r>
      <w:r>
        <w:rPr>
          <w:rFonts w:hint="eastAsia" w:cs="Times New Roman"/>
        </w:rPr>
        <w:t>5</w:t>
      </w:r>
      <w:r>
        <w:rPr>
          <w:rFonts w:cs="Times New Roman"/>
        </w:rPr>
        <w:t>。</w:t>
      </w:r>
    </w:p>
    <w:p>
      <w:pPr>
        <w:pStyle w:val="76"/>
        <w:ind w:firstLine="482"/>
        <w:rPr>
          <w:rFonts w:cs="Times New Roman"/>
        </w:rPr>
      </w:pPr>
      <w:r>
        <w:rPr>
          <w:rFonts w:hint="eastAsia" w:cs="Times New Roman"/>
        </w:rPr>
        <w:t>表10</w:t>
      </w:r>
      <w:r>
        <w:rPr>
          <w:rFonts w:cs="Times New Roman"/>
        </w:rPr>
        <w:t>.2-</w:t>
      </w:r>
      <w:r>
        <w:rPr>
          <w:rFonts w:hint="eastAsia" w:cs="Times New Roman"/>
        </w:rPr>
        <w:t>5</w:t>
      </w:r>
      <w:r>
        <w:rPr>
          <w:rFonts w:cs="Times New Roman"/>
        </w:rPr>
        <w:t xml:space="preserve">  </w:t>
      </w:r>
      <w:r>
        <w:rPr>
          <w:rFonts w:hint="eastAsia" w:cs="Times New Roman"/>
        </w:rPr>
        <w:t xml:space="preserve">            本项目</w:t>
      </w:r>
      <w:r>
        <w:rPr>
          <w:rFonts w:cs="Times New Roman"/>
        </w:rPr>
        <w:t>总量</w:t>
      </w:r>
      <w:r>
        <w:rPr>
          <w:rFonts w:hint="eastAsia" w:cs="Times New Roman"/>
        </w:rPr>
        <w:t>替代</w:t>
      </w:r>
      <w:r>
        <w:rPr>
          <w:rFonts w:cs="Times New Roman"/>
        </w:rPr>
        <w:t>指标</w:t>
      </w:r>
      <w:r>
        <w:rPr>
          <w:rFonts w:hint="eastAsia" w:cs="Times New Roman"/>
        </w:rPr>
        <w:t>（</w:t>
      </w:r>
      <w:r>
        <w:rPr>
          <w:rFonts w:cs="Times New Roman"/>
        </w:rPr>
        <w:t>单位：t/a</w:t>
      </w:r>
      <w:r>
        <w:rPr>
          <w:rFonts w:hint="eastAsia" w:cs="Times New Roman"/>
        </w:rPr>
        <w:t>）</w:t>
      </w:r>
    </w:p>
    <w:tbl>
      <w:tblPr>
        <w:tblStyle w:val="21"/>
        <w:tblW w:w="499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374"/>
        <w:gridCol w:w="1497"/>
        <w:gridCol w:w="1506"/>
        <w:gridCol w:w="1108"/>
        <w:gridCol w:w="1374"/>
        <w:gridCol w:w="154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15" w:type="pct"/>
            <w:vAlign w:val="center"/>
          </w:tcPr>
          <w:p>
            <w:pPr>
              <w:pStyle w:val="35"/>
              <w:rPr>
                <w:b/>
                <w:bCs/>
              </w:rPr>
            </w:pPr>
            <w:r>
              <w:rPr>
                <w:b/>
                <w:bCs/>
              </w:rPr>
              <w:t>项目</w:t>
            </w:r>
          </w:p>
        </w:tc>
        <w:tc>
          <w:tcPr>
            <w:tcW w:w="749" w:type="pct"/>
            <w:vAlign w:val="center"/>
          </w:tcPr>
          <w:p>
            <w:pPr>
              <w:pStyle w:val="35"/>
              <w:rPr>
                <w:b/>
                <w:bCs/>
              </w:rPr>
            </w:pPr>
            <w:r>
              <w:rPr>
                <w:b/>
                <w:bCs/>
              </w:rPr>
              <w:t>指标名称</w:t>
            </w:r>
          </w:p>
        </w:tc>
        <w:tc>
          <w:tcPr>
            <w:tcW w:w="816" w:type="pct"/>
            <w:vAlign w:val="center"/>
          </w:tcPr>
          <w:p>
            <w:pPr>
              <w:pStyle w:val="35"/>
              <w:rPr>
                <w:b/>
                <w:bCs/>
              </w:rPr>
            </w:pPr>
            <w:r>
              <w:rPr>
                <w:b/>
                <w:bCs/>
              </w:rPr>
              <w:t>产生量</w:t>
            </w:r>
          </w:p>
          <w:p>
            <w:pPr>
              <w:pStyle w:val="35"/>
              <w:rPr>
                <w:b/>
                <w:bCs/>
              </w:rPr>
            </w:pPr>
            <w:r>
              <w:rPr>
                <w:b/>
                <w:bCs/>
              </w:rPr>
              <w:t>（t/a）</w:t>
            </w:r>
          </w:p>
        </w:tc>
        <w:tc>
          <w:tcPr>
            <w:tcW w:w="821" w:type="pct"/>
            <w:vAlign w:val="center"/>
          </w:tcPr>
          <w:p>
            <w:pPr>
              <w:pStyle w:val="35"/>
              <w:rPr>
                <w:b/>
                <w:bCs/>
              </w:rPr>
            </w:pPr>
            <w:r>
              <w:rPr>
                <w:rFonts w:hint="eastAsia"/>
                <w:b/>
                <w:bCs/>
              </w:rPr>
              <w:t>自身</w:t>
            </w:r>
            <w:r>
              <w:rPr>
                <w:b/>
                <w:bCs/>
              </w:rPr>
              <w:t>削减量</w:t>
            </w:r>
          </w:p>
          <w:p>
            <w:pPr>
              <w:pStyle w:val="35"/>
              <w:rPr>
                <w:b/>
                <w:bCs/>
              </w:rPr>
            </w:pPr>
            <w:r>
              <w:rPr>
                <w:b/>
                <w:bCs/>
              </w:rPr>
              <w:t>（t/a）</w:t>
            </w:r>
          </w:p>
        </w:tc>
        <w:tc>
          <w:tcPr>
            <w:tcW w:w="604" w:type="pct"/>
            <w:vAlign w:val="center"/>
          </w:tcPr>
          <w:p>
            <w:pPr>
              <w:pStyle w:val="35"/>
              <w:rPr>
                <w:b/>
                <w:bCs/>
              </w:rPr>
            </w:pPr>
            <w:r>
              <w:rPr>
                <w:b/>
                <w:bCs/>
              </w:rPr>
              <w:t>排放量</w:t>
            </w:r>
          </w:p>
          <w:p>
            <w:pPr>
              <w:pStyle w:val="35"/>
              <w:rPr>
                <w:b/>
                <w:bCs/>
              </w:rPr>
            </w:pPr>
            <w:r>
              <w:rPr>
                <w:b/>
                <w:bCs/>
              </w:rPr>
              <w:t>（t/a）</w:t>
            </w:r>
          </w:p>
        </w:tc>
        <w:tc>
          <w:tcPr>
            <w:tcW w:w="749" w:type="pct"/>
            <w:vAlign w:val="center"/>
          </w:tcPr>
          <w:p>
            <w:pPr>
              <w:pStyle w:val="35"/>
              <w:rPr>
                <w:b/>
                <w:bCs/>
              </w:rPr>
            </w:pPr>
            <w:r>
              <w:rPr>
                <w:rFonts w:hint="eastAsia"/>
                <w:b/>
                <w:bCs/>
              </w:rPr>
              <w:t>排入外环境量</w:t>
            </w:r>
            <w:r>
              <w:rPr>
                <w:b/>
                <w:bCs/>
              </w:rPr>
              <w:t>（t/a）</w:t>
            </w:r>
          </w:p>
        </w:tc>
        <w:tc>
          <w:tcPr>
            <w:tcW w:w="843" w:type="pct"/>
            <w:vAlign w:val="center"/>
          </w:tcPr>
          <w:p>
            <w:pPr>
              <w:pStyle w:val="35"/>
              <w:rPr>
                <w:b/>
                <w:bCs/>
              </w:rPr>
            </w:pPr>
            <w:r>
              <w:rPr>
                <w:rFonts w:hint="eastAsia"/>
                <w:b/>
                <w:bCs/>
              </w:rPr>
              <w:t>建议总量替代指标</w:t>
            </w:r>
            <w:r>
              <w:rPr>
                <w:b/>
                <w:bCs/>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15" w:type="pct"/>
            <w:vMerge w:val="restart"/>
            <w:vAlign w:val="center"/>
          </w:tcPr>
          <w:p>
            <w:pPr>
              <w:pStyle w:val="35"/>
            </w:pPr>
            <w:r>
              <w:t>废气</w:t>
            </w:r>
          </w:p>
        </w:tc>
        <w:tc>
          <w:tcPr>
            <w:tcW w:w="749" w:type="pct"/>
            <w:vAlign w:val="center"/>
          </w:tcPr>
          <w:p>
            <w:pPr>
              <w:pStyle w:val="35"/>
            </w:pPr>
            <w:r>
              <w:t>VOC</w:t>
            </w:r>
            <w:r>
              <w:rPr>
                <w:rFonts w:hint="eastAsia"/>
              </w:rPr>
              <w:t>s</w:t>
            </w:r>
          </w:p>
        </w:tc>
        <w:tc>
          <w:tcPr>
            <w:tcW w:w="816" w:type="pct"/>
            <w:vAlign w:val="center"/>
          </w:tcPr>
          <w:p>
            <w:pPr>
              <w:pStyle w:val="35"/>
            </w:pPr>
            <w:r>
              <w:t>0.72</w:t>
            </w:r>
          </w:p>
        </w:tc>
        <w:tc>
          <w:tcPr>
            <w:tcW w:w="821" w:type="pct"/>
            <w:vAlign w:val="center"/>
          </w:tcPr>
          <w:p>
            <w:pPr>
              <w:pStyle w:val="35"/>
            </w:pPr>
            <w:r>
              <w:t>0.27</w:t>
            </w:r>
          </w:p>
        </w:tc>
        <w:tc>
          <w:tcPr>
            <w:tcW w:w="604" w:type="pct"/>
            <w:vAlign w:val="center"/>
          </w:tcPr>
          <w:p>
            <w:pPr>
              <w:pStyle w:val="35"/>
            </w:pPr>
            <w:r>
              <w:t>0.45</w:t>
            </w:r>
          </w:p>
        </w:tc>
        <w:tc>
          <w:tcPr>
            <w:tcW w:w="749" w:type="pct"/>
            <w:vAlign w:val="center"/>
          </w:tcPr>
          <w:p>
            <w:pPr>
              <w:pStyle w:val="35"/>
            </w:pPr>
            <w:r>
              <w:t>0.45</w:t>
            </w:r>
          </w:p>
        </w:tc>
        <w:tc>
          <w:tcPr>
            <w:tcW w:w="843" w:type="pct"/>
            <w:vAlign w:val="center"/>
          </w:tcPr>
          <w:p>
            <w:pPr>
              <w:pStyle w:val="35"/>
            </w:pPr>
            <w:r>
              <w:t>0.45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15" w:type="pct"/>
            <w:vMerge w:val="restart"/>
            <w:vAlign w:val="center"/>
          </w:tcPr>
          <w:p>
            <w:pPr>
              <w:pStyle w:val="35"/>
            </w:pPr>
            <w:r>
              <w:t>废水</w:t>
            </w:r>
          </w:p>
        </w:tc>
        <w:tc>
          <w:tcPr>
            <w:tcW w:w="749" w:type="pct"/>
            <w:vAlign w:val="center"/>
          </w:tcPr>
          <w:p>
            <w:pPr>
              <w:adjustRightInd w:val="0"/>
              <w:snapToGrid w:val="0"/>
              <w:spacing w:line="240" w:lineRule="atLeast"/>
              <w:ind w:firstLine="0" w:firstLineChars="0"/>
              <w:jc w:val="center"/>
              <w:rPr>
                <w:sz w:val="21"/>
                <w:szCs w:val="21"/>
              </w:rPr>
            </w:pPr>
            <w:r>
              <w:rPr>
                <w:sz w:val="21"/>
                <w:szCs w:val="21"/>
              </w:rPr>
              <w:t>COD（t/a）</w:t>
            </w:r>
          </w:p>
        </w:tc>
        <w:tc>
          <w:tcPr>
            <w:tcW w:w="816" w:type="pct"/>
            <w:vAlign w:val="center"/>
          </w:tcPr>
          <w:p>
            <w:pPr>
              <w:pStyle w:val="35"/>
            </w:pPr>
            <w:r>
              <w:t xml:space="preserve">62.87 </w:t>
            </w:r>
          </w:p>
        </w:tc>
        <w:tc>
          <w:tcPr>
            <w:tcW w:w="821" w:type="pct"/>
            <w:vAlign w:val="center"/>
          </w:tcPr>
          <w:p>
            <w:pPr>
              <w:pStyle w:val="35"/>
            </w:pPr>
            <w:r>
              <w:t xml:space="preserve">61.95 </w:t>
            </w:r>
          </w:p>
        </w:tc>
        <w:tc>
          <w:tcPr>
            <w:tcW w:w="604" w:type="pct"/>
            <w:vAlign w:val="center"/>
          </w:tcPr>
          <w:p>
            <w:pPr>
              <w:pStyle w:val="35"/>
            </w:pPr>
            <w:r>
              <w:t xml:space="preserve">0.92 </w:t>
            </w:r>
          </w:p>
        </w:tc>
        <w:tc>
          <w:tcPr>
            <w:tcW w:w="749" w:type="pct"/>
            <w:vAlign w:val="center"/>
          </w:tcPr>
          <w:p>
            <w:pPr>
              <w:pStyle w:val="35"/>
            </w:pPr>
            <w:r>
              <w:t xml:space="preserve">0.92 </w:t>
            </w:r>
          </w:p>
        </w:tc>
        <w:tc>
          <w:tcPr>
            <w:tcW w:w="843" w:type="pct"/>
            <w:vAlign w:val="center"/>
          </w:tcPr>
          <w:p>
            <w:pPr>
              <w:pStyle w:val="35"/>
            </w:pPr>
            <w:r>
              <w:t xml:space="preserve">0.92 </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15" w:type="pct"/>
            <w:vMerge w:val="continue"/>
            <w:vAlign w:val="center"/>
          </w:tcPr>
          <w:p>
            <w:pPr>
              <w:adjustRightInd w:val="0"/>
              <w:snapToGrid w:val="0"/>
              <w:spacing w:line="240" w:lineRule="atLeast"/>
              <w:ind w:firstLine="0" w:firstLineChars="0"/>
              <w:jc w:val="center"/>
              <w:rPr>
                <w:sz w:val="21"/>
                <w:szCs w:val="21"/>
              </w:rPr>
            </w:pPr>
          </w:p>
        </w:tc>
        <w:tc>
          <w:tcPr>
            <w:tcW w:w="749" w:type="pct"/>
            <w:vAlign w:val="center"/>
          </w:tcPr>
          <w:p>
            <w:pPr>
              <w:adjustRightInd w:val="0"/>
              <w:snapToGrid w:val="0"/>
              <w:spacing w:line="240" w:lineRule="atLeast"/>
              <w:ind w:firstLine="0" w:firstLineChars="0"/>
              <w:jc w:val="center"/>
              <w:rPr>
                <w:sz w:val="21"/>
                <w:szCs w:val="21"/>
              </w:rPr>
            </w:pPr>
            <w:r>
              <w:rPr>
                <w:sz w:val="21"/>
                <w:szCs w:val="21"/>
              </w:rPr>
              <w:t>NH</w:t>
            </w:r>
            <w:r>
              <w:rPr>
                <w:sz w:val="21"/>
                <w:szCs w:val="21"/>
                <w:vertAlign w:val="subscript"/>
              </w:rPr>
              <w:t>3</w:t>
            </w:r>
            <w:r>
              <w:rPr>
                <w:sz w:val="21"/>
                <w:szCs w:val="21"/>
              </w:rPr>
              <w:t>-N（t/a）</w:t>
            </w:r>
          </w:p>
        </w:tc>
        <w:tc>
          <w:tcPr>
            <w:tcW w:w="816" w:type="pct"/>
            <w:vAlign w:val="center"/>
          </w:tcPr>
          <w:p>
            <w:pPr>
              <w:pStyle w:val="35"/>
            </w:pPr>
            <w:r>
              <w:t xml:space="preserve">0.07 </w:t>
            </w:r>
          </w:p>
        </w:tc>
        <w:tc>
          <w:tcPr>
            <w:tcW w:w="821" w:type="pct"/>
            <w:vAlign w:val="center"/>
          </w:tcPr>
          <w:p>
            <w:pPr>
              <w:pStyle w:val="35"/>
            </w:pPr>
            <w:r>
              <w:t xml:space="preserve">0.07 </w:t>
            </w:r>
          </w:p>
        </w:tc>
        <w:tc>
          <w:tcPr>
            <w:tcW w:w="604" w:type="pct"/>
            <w:vAlign w:val="center"/>
          </w:tcPr>
          <w:p>
            <w:pPr>
              <w:pStyle w:val="35"/>
            </w:pPr>
            <w:r>
              <w:t xml:space="preserve">0.01 </w:t>
            </w:r>
          </w:p>
        </w:tc>
        <w:tc>
          <w:tcPr>
            <w:tcW w:w="749" w:type="pct"/>
            <w:vAlign w:val="center"/>
          </w:tcPr>
          <w:p>
            <w:pPr>
              <w:pStyle w:val="35"/>
            </w:pPr>
            <w:r>
              <w:t xml:space="preserve">0.01 </w:t>
            </w:r>
          </w:p>
        </w:tc>
        <w:tc>
          <w:tcPr>
            <w:tcW w:w="843" w:type="pct"/>
            <w:vAlign w:val="center"/>
          </w:tcPr>
          <w:p>
            <w:pPr>
              <w:pStyle w:val="35"/>
            </w:pPr>
            <w:r>
              <w:t xml:space="preserve">0.01 </w:t>
            </w:r>
          </w:p>
        </w:tc>
      </w:tr>
    </w:tbl>
    <w:p>
      <w:pPr>
        <w:pStyle w:val="6"/>
      </w:pPr>
      <w:r>
        <w:rPr>
          <w:rFonts w:hint="eastAsia"/>
        </w:rPr>
        <w:t>总量指标替代来源</w:t>
      </w:r>
    </w:p>
    <w:p>
      <w:pPr>
        <w:pStyle w:val="27"/>
        <w:ind w:firstLine="560"/>
      </w:pPr>
      <w:r>
        <w:rPr>
          <w:rFonts w:hint="eastAsia"/>
        </w:rPr>
        <w:t>根据《建设项目主要污染物排放总量指标审核及管理暂行办法》（环发[2014]197号），</w:t>
      </w:r>
      <w:r>
        <w:t>建设项目主要污染物排放总量指标，应来源于本五年规</w:t>
      </w:r>
      <w:r>
        <w:rPr>
          <w:rFonts w:hint="eastAsia"/>
        </w:rPr>
        <w:t>划期前建成投运的企事业单位（城镇污水集中处理设施不受五年规划期限制）采取减排措施并稳定达到排放标准后形成的“可替代总量指标”。实行排污权交易的地区，建设项目可通过排污权交易获取总量指标。集中供热或企业内以新带老等建设项目的总量指标，可从拟替代关停的现有企业或设施可形成的削减量中预支，替代削减方案须在建设项目试生产前落实到位。</w:t>
      </w:r>
    </w:p>
    <w:p>
      <w:pPr>
        <w:pStyle w:val="27"/>
        <w:ind w:firstLine="560"/>
      </w:pPr>
      <w:r>
        <w:rPr>
          <w:rFonts w:hint="eastAsia"/>
        </w:rPr>
        <w:t>“可替代总量指标”为企事业单位本五年规划期基准年排放量（须按总量减排核算规定校核）与采取减排措施后正常工况下年排放量的差值。</w:t>
      </w:r>
    </w:p>
    <w:p>
      <w:pPr>
        <w:pStyle w:val="27"/>
        <w:ind w:firstLine="560"/>
      </w:pPr>
      <w:r>
        <w:rPr>
          <w:rFonts w:hint="eastAsia"/>
        </w:rPr>
        <w:t>用于建设项目的“可替代总量指标”不得低于建设项目所需替代的主要污染物排放总量指标。上一年度环境空气质量年平均浓度不达标的城市、水环境质量未达到要求的市县，相关污染物应按照建设项目所需替代的主要污染物排放总量指标的2倍进行削减替代（燃煤发电机组大气污染物排放浓度基本达到燃气轮机组排放限值的除外）；细颗粒物（PM</w:t>
      </w:r>
      <w:r>
        <w:rPr>
          <w:rFonts w:hint="eastAsia"/>
          <w:vertAlign w:val="subscript"/>
        </w:rPr>
        <w:t>2.5</w:t>
      </w:r>
      <w:r>
        <w:rPr>
          <w:rFonts w:hint="eastAsia"/>
        </w:rPr>
        <w:t>）年平均浓度不达标的城市，二氧化硫、氮氧化物、烟粉尘、挥发性有机物四项污染物均需进行2倍削减替代（燃煤发电机组大气污染物排放浓度基本达到燃气轮机组排放限值的除外）。地方有更严格倍量替代要求的，按照相关规定执行。</w:t>
      </w:r>
    </w:p>
    <w:p>
      <w:pPr>
        <w:pStyle w:val="27"/>
        <w:ind w:firstLine="560"/>
      </w:pPr>
      <w:r>
        <w:rPr>
          <w:rFonts w:hint="eastAsia"/>
        </w:rPr>
        <w:t>根据濮阳市2019年环境空气质量统计结果，</w:t>
      </w:r>
      <w:r>
        <w:rPr>
          <w:rFonts w:hint="eastAsia"/>
          <w:szCs w:val="28"/>
        </w:rPr>
        <w:t>濮阳市2019年PM</w:t>
      </w:r>
      <w:r>
        <w:rPr>
          <w:rFonts w:hint="eastAsia"/>
          <w:szCs w:val="28"/>
          <w:vertAlign w:val="subscript"/>
        </w:rPr>
        <w:t>10</w:t>
      </w:r>
      <w:r>
        <w:rPr>
          <w:rFonts w:hint="eastAsia"/>
          <w:szCs w:val="28"/>
        </w:rPr>
        <w:t>、PM</w:t>
      </w:r>
      <w:r>
        <w:rPr>
          <w:rFonts w:hint="eastAsia"/>
          <w:szCs w:val="28"/>
          <w:vertAlign w:val="subscript"/>
        </w:rPr>
        <w:t>2.5</w:t>
      </w:r>
      <w:r>
        <w:rPr>
          <w:rFonts w:hint="eastAsia"/>
          <w:szCs w:val="28"/>
        </w:rPr>
        <w:t>和O</w:t>
      </w:r>
      <w:r>
        <w:rPr>
          <w:rFonts w:hint="eastAsia"/>
          <w:szCs w:val="28"/>
          <w:vertAlign w:val="subscript"/>
        </w:rPr>
        <w:t>3</w:t>
      </w:r>
      <w:r>
        <w:rPr>
          <w:rFonts w:hint="eastAsia"/>
          <w:szCs w:val="28"/>
        </w:rPr>
        <w:t>的年评价项目均不达标；本项目只排放少量VOCs，不需要2倍削减替代。</w:t>
      </w:r>
      <w:r>
        <w:rPr>
          <w:rFonts w:hint="eastAsia"/>
        </w:rPr>
        <w:t>马颊河南乐水文站出境断面满足</w:t>
      </w:r>
      <w:r>
        <w:rPr>
          <w:rFonts w:hint="eastAsia"/>
        </w:rPr>
        <w:fldChar w:fldCharType="begin"/>
      </w:r>
      <w:r>
        <w:rPr>
          <w:rFonts w:hint="eastAsia"/>
        </w:rPr>
        <w:instrText xml:space="preserve"> = 4 \* ROMAN \* MERGEFORMAT </w:instrText>
      </w:r>
      <w:r>
        <w:rPr>
          <w:rFonts w:hint="eastAsia"/>
        </w:rPr>
        <w:fldChar w:fldCharType="separate"/>
      </w:r>
      <w:r>
        <w:t>IV</w:t>
      </w:r>
      <w:r>
        <w:rPr>
          <w:rFonts w:hint="eastAsia"/>
        </w:rPr>
        <w:fldChar w:fldCharType="end"/>
      </w:r>
      <w:r>
        <w:rPr>
          <w:rFonts w:hint="eastAsia"/>
        </w:rPr>
        <w:t>类水质标准要求，因此本项目COD、氨氮不需要进行2倍削减替代。</w:t>
      </w:r>
    </w:p>
    <w:p>
      <w:pPr>
        <w:pStyle w:val="5"/>
      </w:pPr>
      <w:r>
        <w:t>排污口管理及信息</w:t>
      </w:r>
    </w:p>
    <w:p>
      <w:pPr>
        <w:pStyle w:val="6"/>
      </w:pPr>
      <w:r>
        <w:t>排污口规范化管理</w:t>
      </w:r>
    </w:p>
    <w:p>
      <w:pPr>
        <w:autoSpaceDE w:val="0"/>
        <w:autoSpaceDN w:val="0"/>
        <w:adjustRightInd w:val="0"/>
        <w:snapToGrid w:val="0"/>
        <w:rPr>
          <w:kern w:val="0"/>
          <w:szCs w:val="28"/>
        </w:rPr>
      </w:pPr>
      <w:r>
        <w:rPr>
          <w:kern w:val="0"/>
          <w:szCs w:val="28"/>
        </w:rPr>
        <w:t>根据《排污口规范化整治技术要求（试行）》（国家环保局 环监〔1996〕 470号）要求，建议建设单位对排污口进行以下规范化管理：</w:t>
      </w:r>
    </w:p>
    <w:p>
      <w:pPr>
        <w:autoSpaceDE w:val="0"/>
        <w:autoSpaceDN w:val="0"/>
        <w:adjustRightInd w:val="0"/>
        <w:snapToGrid w:val="0"/>
        <w:rPr>
          <w:kern w:val="0"/>
          <w:szCs w:val="28"/>
        </w:rPr>
      </w:pPr>
      <w:r>
        <w:rPr>
          <w:kern w:val="0"/>
          <w:szCs w:val="28"/>
        </w:rPr>
        <w:t>（1）废水排放口要求</w:t>
      </w:r>
    </w:p>
    <w:p>
      <w:pPr>
        <w:autoSpaceDE w:val="0"/>
        <w:autoSpaceDN w:val="0"/>
        <w:adjustRightInd w:val="0"/>
        <w:snapToGrid w:val="0"/>
        <w:rPr>
          <w:kern w:val="0"/>
          <w:szCs w:val="28"/>
        </w:rPr>
      </w:pPr>
      <w:r>
        <w:rPr>
          <w:kern w:val="0"/>
          <w:szCs w:val="28"/>
        </w:rPr>
        <w:t>按照《污染源监测技术规范》设置采样点。如</w:t>
      </w:r>
      <w:r>
        <w:rPr>
          <w:rFonts w:hint="eastAsia"/>
          <w:kern w:val="0"/>
          <w:szCs w:val="28"/>
        </w:rPr>
        <w:t>：</w:t>
      </w:r>
      <w:r>
        <w:rPr>
          <w:kern w:val="0"/>
          <w:szCs w:val="28"/>
        </w:rPr>
        <w:t>工厂总排放口、排放一类污染物的车间排放口，污水处理设施的进水和出水口等。</w:t>
      </w:r>
    </w:p>
    <w:p>
      <w:pPr>
        <w:autoSpaceDE w:val="0"/>
        <w:autoSpaceDN w:val="0"/>
        <w:adjustRightInd w:val="0"/>
        <w:snapToGrid w:val="0"/>
        <w:rPr>
          <w:kern w:val="0"/>
          <w:szCs w:val="28"/>
        </w:rPr>
      </w:pPr>
      <w:r>
        <w:rPr>
          <w:kern w:val="0"/>
          <w:szCs w:val="28"/>
        </w:rPr>
        <w:t>应设置规范的、便于测量流量、流速的测流段。</w:t>
      </w:r>
    </w:p>
    <w:p>
      <w:pPr>
        <w:autoSpaceDE w:val="0"/>
        <w:autoSpaceDN w:val="0"/>
        <w:adjustRightInd w:val="0"/>
        <w:snapToGrid w:val="0"/>
        <w:rPr>
          <w:kern w:val="0"/>
          <w:szCs w:val="28"/>
        </w:rPr>
      </w:pPr>
      <w:r>
        <w:rPr>
          <w:rFonts w:hint="eastAsia"/>
          <w:kern w:val="0"/>
          <w:szCs w:val="28"/>
        </w:rPr>
        <w:t>厂区总排口应安装流量、pH、COD、氨氮在线检测装置。</w:t>
      </w:r>
    </w:p>
    <w:p>
      <w:pPr>
        <w:autoSpaceDE w:val="0"/>
        <w:autoSpaceDN w:val="0"/>
        <w:adjustRightInd w:val="0"/>
        <w:snapToGrid w:val="0"/>
        <w:rPr>
          <w:kern w:val="0"/>
          <w:szCs w:val="28"/>
        </w:rPr>
      </w:pPr>
      <w:r>
        <w:rPr>
          <w:kern w:val="0"/>
          <w:szCs w:val="28"/>
        </w:rPr>
        <w:t>（2）废气排放口要求</w:t>
      </w:r>
    </w:p>
    <w:p>
      <w:pPr>
        <w:autoSpaceDE w:val="0"/>
        <w:autoSpaceDN w:val="0"/>
        <w:adjustRightInd w:val="0"/>
        <w:snapToGrid w:val="0"/>
        <w:rPr>
          <w:kern w:val="0"/>
          <w:szCs w:val="28"/>
        </w:rPr>
      </w:pPr>
      <w:r>
        <w:rPr>
          <w:kern w:val="0"/>
          <w:szCs w:val="28"/>
        </w:rPr>
        <w:t>有组织排放的废气排气筒应设置便于采样、监测的采样口。采样口的设置应符合《污染源监测技术规范》要求。无组织排放有毒有害气体的，应加装引风装置，进行收集、处理，并设置采样点。</w:t>
      </w:r>
    </w:p>
    <w:p>
      <w:pPr>
        <w:autoSpaceDE w:val="0"/>
        <w:autoSpaceDN w:val="0"/>
        <w:adjustRightInd w:val="0"/>
        <w:snapToGrid w:val="0"/>
        <w:rPr>
          <w:kern w:val="0"/>
          <w:szCs w:val="28"/>
        </w:rPr>
      </w:pPr>
      <w:r>
        <w:rPr>
          <w:kern w:val="0"/>
          <w:szCs w:val="28"/>
        </w:rPr>
        <w:t>（3）固体废物贮存、堆放场要求</w:t>
      </w:r>
    </w:p>
    <w:p>
      <w:pPr>
        <w:autoSpaceDE w:val="0"/>
        <w:autoSpaceDN w:val="0"/>
        <w:adjustRightInd w:val="0"/>
        <w:snapToGrid w:val="0"/>
        <w:rPr>
          <w:kern w:val="0"/>
          <w:szCs w:val="28"/>
        </w:rPr>
      </w:pPr>
      <w:r>
        <w:rPr>
          <w:kern w:val="0"/>
          <w:szCs w:val="28"/>
        </w:rPr>
        <w:t>一般固体废物应设置专用贮存、堆放场地。易造成二次扬尘的贮存、堆放场地，应采取不定时喷洒等防治措施。有毒有害固体废物等危险废物，应设置专用堆放场地，并必须有防扬散，防流失，防渗漏等防治措施。</w:t>
      </w:r>
    </w:p>
    <w:p>
      <w:pPr>
        <w:autoSpaceDE w:val="0"/>
        <w:autoSpaceDN w:val="0"/>
        <w:adjustRightInd w:val="0"/>
        <w:snapToGrid w:val="0"/>
        <w:rPr>
          <w:kern w:val="0"/>
          <w:szCs w:val="28"/>
        </w:rPr>
      </w:pPr>
      <w:r>
        <w:rPr>
          <w:kern w:val="0"/>
          <w:szCs w:val="28"/>
        </w:rPr>
        <w:t>（4）固定噪声排放源要求</w:t>
      </w:r>
    </w:p>
    <w:p>
      <w:pPr>
        <w:autoSpaceDE w:val="0"/>
        <w:autoSpaceDN w:val="0"/>
        <w:adjustRightInd w:val="0"/>
        <w:snapToGrid w:val="0"/>
        <w:rPr>
          <w:kern w:val="0"/>
          <w:szCs w:val="28"/>
        </w:rPr>
      </w:pPr>
      <w:r>
        <w:rPr>
          <w:kern w:val="0"/>
          <w:szCs w:val="28"/>
        </w:rPr>
        <w:t>噪声源情况，可采取减振降噪，吸声处理降噪、隔声处理降噪等措施，使其达到功能区标准要求。在固定噪声源厂界噪声敏感、且对外界影响最大处设置该噪声源的监测点。</w:t>
      </w:r>
    </w:p>
    <w:p>
      <w:pPr>
        <w:pStyle w:val="6"/>
      </w:pPr>
      <w:r>
        <w:t>排污口标志管理</w:t>
      </w:r>
    </w:p>
    <w:p>
      <w:pPr>
        <w:autoSpaceDE w:val="0"/>
        <w:autoSpaceDN w:val="0"/>
        <w:adjustRightInd w:val="0"/>
        <w:snapToGrid w:val="0"/>
        <w:rPr>
          <w:kern w:val="0"/>
          <w:szCs w:val="28"/>
        </w:rPr>
      </w:pPr>
      <w:r>
        <w:rPr>
          <w:kern w:val="0"/>
          <w:szCs w:val="28"/>
        </w:rPr>
        <w:t>根据《</w:t>
      </w:r>
      <w:bookmarkStart w:id="297" w:name="OLE_LINK8"/>
      <w:r>
        <w:rPr>
          <w:kern w:val="0"/>
          <w:szCs w:val="28"/>
        </w:rPr>
        <w:t>环境保护图形标</w:t>
      </w:r>
      <w:bookmarkEnd w:id="297"/>
      <w:r>
        <w:rPr>
          <w:kern w:val="0"/>
          <w:szCs w:val="28"/>
        </w:rPr>
        <w:t>志－排放口（源）》（GB15562.1-1995）《环境保护图形标志 固体废物贮存（处置）场》（GB 15562.2-1995）标准要求，本项目应在废气、废水排放口、固废贮存场所分别设置环境保护图形标志牌，便于污染源监督管理及常规监测工作的进行，具体见</w:t>
      </w:r>
      <w:r>
        <w:rPr>
          <w:rFonts w:hint="eastAsia"/>
        </w:rPr>
        <w:t>表10</w:t>
      </w:r>
      <w:r>
        <w:t>.2-</w:t>
      </w:r>
      <w:r>
        <w:rPr>
          <w:rFonts w:hint="eastAsia"/>
        </w:rPr>
        <w:t>6</w:t>
      </w:r>
      <w:r>
        <w:rPr>
          <w:kern w:val="0"/>
          <w:szCs w:val="28"/>
        </w:rPr>
        <w:t>。</w:t>
      </w:r>
    </w:p>
    <w:p>
      <w:pPr>
        <w:pStyle w:val="76"/>
        <w:ind w:firstLine="482"/>
      </w:pPr>
      <w:r>
        <w:rPr>
          <w:rFonts w:hint="eastAsia"/>
        </w:rPr>
        <w:t>表10.2-6</w:t>
      </w:r>
      <w:r>
        <w:t xml:space="preserve"> </w:t>
      </w:r>
      <w:r>
        <w:rPr>
          <w:rFonts w:hint="eastAsia"/>
        </w:rPr>
        <w:t xml:space="preserve">             </w:t>
      </w:r>
      <w:r>
        <w:t xml:space="preserve"> 厂区排污口图形标志一览表</w:t>
      </w:r>
    </w:p>
    <w:tbl>
      <w:tblPr>
        <w:tblStyle w:val="21"/>
        <w:tblW w:w="9014"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87"/>
        <w:gridCol w:w="1073"/>
        <w:gridCol w:w="1925"/>
        <w:gridCol w:w="1751"/>
        <w:gridCol w:w="1794"/>
        <w:gridCol w:w="1884"/>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78" w:hRule="atLeast"/>
          <w:jc w:val="center"/>
        </w:trPr>
        <w:tc>
          <w:tcPr>
            <w:tcW w:w="587" w:type="dxa"/>
            <w:vMerge w:val="restart"/>
            <w:tcBorders>
              <w:bottom w:val="single" w:color="auto" w:sz="6" w:space="0"/>
            </w:tcBorders>
            <w:vAlign w:val="center"/>
          </w:tcPr>
          <w:p>
            <w:pPr>
              <w:pStyle w:val="36"/>
              <w:rPr>
                <w:b/>
                <w:bCs/>
                <w:color w:val="auto"/>
              </w:rPr>
            </w:pPr>
            <w:r>
              <w:rPr>
                <w:b/>
                <w:bCs/>
                <w:color w:val="auto"/>
              </w:rPr>
              <w:t>序号</w:t>
            </w:r>
          </w:p>
        </w:tc>
        <w:tc>
          <w:tcPr>
            <w:tcW w:w="1073" w:type="dxa"/>
            <w:vMerge w:val="restart"/>
            <w:tcBorders>
              <w:bottom w:val="single" w:color="auto" w:sz="6" w:space="0"/>
            </w:tcBorders>
            <w:vAlign w:val="center"/>
          </w:tcPr>
          <w:p>
            <w:pPr>
              <w:pStyle w:val="36"/>
              <w:rPr>
                <w:b/>
                <w:bCs/>
                <w:color w:val="auto"/>
              </w:rPr>
            </w:pPr>
            <w:r>
              <w:rPr>
                <w:b/>
                <w:bCs/>
                <w:color w:val="auto"/>
              </w:rPr>
              <w:t>要求</w:t>
            </w:r>
          </w:p>
        </w:tc>
        <w:tc>
          <w:tcPr>
            <w:tcW w:w="7354" w:type="dxa"/>
            <w:gridSpan w:val="4"/>
            <w:tcBorders>
              <w:bottom w:val="single" w:color="auto" w:sz="6" w:space="0"/>
            </w:tcBorders>
            <w:vAlign w:val="center"/>
          </w:tcPr>
          <w:p>
            <w:pPr>
              <w:pStyle w:val="36"/>
              <w:rPr>
                <w:b/>
                <w:bCs/>
                <w:color w:val="auto"/>
              </w:rPr>
            </w:pPr>
            <w:r>
              <w:rPr>
                <w:b/>
                <w:bCs/>
                <w:color w:val="auto"/>
              </w:rPr>
              <w:t>排放部位</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64" w:hRule="atLeast"/>
          <w:jc w:val="center"/>
        </w:trPr>
        <w:tc>
          <w:tcPr>
            <w:tcW w:w="587" w:type="dxa"/>
            <w:vMerge w:val="continue"/>
            <w:tcBorders>
              <w:top w:val="single" w:color="auto" w:sz="6" w:space="0"/>
              <w:bottom w:val="single" w:color="auto" w:sz="6" w:space="0"/>
            </w:tcBorders>
            <w:vAlign w:val="center"/>
          </w:tcPr>
          <w:p>
            <w:pPr>
              <w:pStyle w:val="36"/>
              <w:rPr>
                <w:b/>
                <w:bCs/>
                <w:color w:val="auto"/>
              </w:rPr>
            </w:pPr>
          </w:p>
        </w:tc>
        <w:tc>
          <w:tcPr>
            <w:tcW w:w="1073" w:type="dxa"/>
            <w:vMerge w:val="continue"/>
            <w:tcBorders>
              <w:top w:val="single" w:color="auto" w:sz="6" w:space="0"/>
              <w:bottom w:val="single" w:color="auto" w:sz="6" w:space="0"/>
            </w:tcBorders>
            <w:vAlign w:val="center"/>
          </w:tcPr>
          <w:p>
            <w:pPr>
              <w:pStyle w:val="36"/>
              <w:rPr>
                <w:b/>
                <w:bCs/>
                <w:color w:val="auto"/>
              </w:rPr>
            </w:pPr>
          </w:p>
        </w:tc>
        <w:tc>
          <w:tcPr>
            <w:tcW w:w="1925" w:type="dxa"/>
            <w:tcBorders>
              <w:top w:val="single" w:color="auto" w:sz="6" w:space="0"/>
              <w:bottom w:val="single" w:color="auto" w:sz="6" w:space="0"/>
            </w:tcBorders>
            <w:vAlign w:val="center"/>
          </w:tcPr>
          <w:p>
            <w:pPr>
              <w:pStyle w:val="36"/>
              <w:rPr>
                <w:b/>
                <w:bCs/>
                <w:color w:val="auto"/>
              </w:rPr>
            </w:pPr>
            <w:r>
              <w:rPr>
                <w:b/>
                <w:bCs/>
                <w:color w:val="auto"/>
              </w:rPr>
              <w:t>废气排放口</w:t>
            </w:r>
          </w:p>
        </w:tc>
        <w:tc>
          <w:tcPr>
            <w:tcW w:w="1751" w:type="dxa"/>
            <w:tcBorders>
              <w:top w:val="single" w:color="auto" w:sz="6" w:space="0"/>
              <w:bottom w:val="single" w:color="auto" w:sz="6" w:space="0"/>
            </w:tcBorders>
            <w:vAlign w:val="center"/>
          </w:tcPr>
          <w:p>
            <w:pPr>
              <w:pStyle w:val="36"/>
              <w:rPr>
                <w:b/>
                <w:bCs/>
                <w:color w:val="auto"/>
              </w:rPr>
            </w:pPr>
            <w:r>
              <w:rPr>
                <w:b/>
                <w:bCs/>
                <w:color w:val="auto"/>
              </w:rPr>
              <w:t>废水排放口</w:t>
            </w:r>
          </w:p>
        </w:tc>
        <w:tc>
          <w:tcPr>
            <w:tcW w:w="1794" w:type="dxa"/>
            <w:tcBorders>
              <w:top w:val="single" w:color="auto" w:sz="6" w:space="0"/>
              <w:bottom w:val="single" w:color="auto" w:sz="6" w:space="0"/>
            </w:tcBorders>
            <w:vAlign w:val="center"/>
          </w:tcPr>
          <w:p>
            <w:pPr>
              <w:pStyle w:val="36"/>
              <w:rPr>
                <w:b/>
                <w:bCs/>
                <w:color w:val="auto"/>
              </w:rPr>
            </w:pPr>
            <w:r>
              <w:rPr>
                <w:b/>
                <w:bCs/>
                <w:color w:val="auto"/>
              </w:rPr>
              <w:t>危险固废</w:t>
            </w:r>
          </w:p>
        </w:tc>
        <w:tc>
          <w:tcPr>
            <w:tcW w:w="1884" w:type="dxa"/>
            <w:tcBorders>
              <w:top w:val="single" w:color="auto" w:sz="6" w:space="0"/>
              <w:bottom w:val="single" w:color="auto" w:sz="6" w:space="0"/>
            </w:tcBorders>
            <w:vAlign w:val="center"/>
          </w:tcPr>
          <w:p>
            <w:pPr>
              <w:pStyle w:val="36"/>
              <w:rPr>
                <w:b/>
                <w:bCs/>
                <w:color w:val="auto"/>
              </w:rPr>
            </w:pPr>
            <w:r>
              <w:rPr>
                <w:b/>
                <w:bCs/>
                <w:color w:val="auto"/>
              </w:rPr>
              <w:t>噪声</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510" w:hRule="atLeast"/>
          <w:jc w:val="center"/>
        </w:trPr>
        <w:tc>
          <w:tcPr>
            <w:tcW w:w="587" w:type="dxa"/>
            <w:tcBorders>
              <w:top w:val="single" w:color="auto" w:sz="6" w:space="0"/>
              <w:bottom w:val="single" w:color="auto" w:sz="6" w:space="0"/>
            </w:tcBorders>
            <w:vAlign w:val="center"/>
          </w:tcPr>
          <w:p>
            <w:pPr>
              <w:pStyle w:val="36"/>
              <w:rPr>
                <w:color w:val="auto"/>
              </w:rPr>
            </w:pPr>
            <w:r>
              <w:rPr>
                <w:color w:val="auto"/>
              </w:rPr>
              <w:t>1</w:t>
            </w:r>
          </w:p>
        </w:tc>
        <w:tc>
          <w:tcPr>
            <w:tcW w:w="1073" w:type="dxa"/>
            <w:tcBorders>
              <w:top w:val="single" w:color="auto" w:sz="6" w:space="0"/>
              <w:bottom w:val="single" w:color="auto" w:sz="6" w:space="0"/>
            </w:tcBorders>
            <w:vAlign w:val="center"/>
          </w:tcPr>
          <w:p>
            <w:pPr>
              <w:pStyle w:val="36"/>
              <w:rPr>
                <w:color w:val="auto"/>
              </w:rPr>
            </w:pPr>
            <w:r>
              <w:rPr>
                <w:color w:val="auto"/>
              </w:rPr>
              <w:t xml:space="preserve"> 图形符号</w:t>
            </w:r>
          </w:p>
        </w:tc>
        <w:tc>
          <w:tcPr>
            <w:tcW w:w="1925" w:type="dxa"/>
            <w:tcBorders>
              <w:top w:val="single" w:color="auto" w:sz="6" w:space="0"/>
              <w:bottom w:val="single" w:color="auto" w:sz="6" w:space="0"/>
            </w:tcBorders>
            <w:vAlign w:val="center"/>
          </w:tcPr>
          <w:p>
            <w:pPr>
              <w:pStyle w:val="36"/>
              <w:spacing w:line="240" w:lineRule="atLeast"/>
              <w:rPr>
                <w:color w:val="auto"/>
              </w:rPr>
            </w:pPr>
            <w:r>
              <w:rPr>
                <w:color w:val="auto"/>
              </w:rPr>
              <w:drawing>
                <wp:inline distT="0" distB="0" distL="0" distR="0">
                  <wp:extent cx="1076325" cy="1076325"/>
                  <wp:effectExtent l="0" t="0" r="9525" b="952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076325" cy="1076325"/>
                          </a:xfrm>
                          <a:prstGeom prst="rect">
                            <a:avLst/>
                          </a:prstGeom>
                          <a:noFill/>
                          <a:ln>
                            <a:noFill/>
                          </a:ln>
                        </pic:spPr>
                      </pic:pic>
                    </a:graphicData>
                  </a:graphic>
                </wp:inline>
              </w:drawing>
            </w:r>
          </w:p>
        </w:tc>
        <w:tc>
          <w:tcPr>
            <w:tcW w:w="1751" w:type="dxa"/>
            <w:tcBorders>
              <w:top w:val="single" w:color="auto" w:sz="6" w:space="0"/>
              <w:bottom w:val="single" w:color="auto" w:sz="6" w:space="0"/>
            </w:tcBorders>
            <w:vAlign w:val="center"/>
          </w:tcPr>
          <w:p>
            <w:pPr>
              <w:pStyle w:val="36"/>
              <w:spacing w:line="240" w:lineRule="atLeast"/>
              <w:rPr>
                <w:color w:val="auto"/>
              </w:rPr>
            </w:pPr>
            <w:r>
              <w:rPr>
                <w:color w:val="auto"/>
              </w:rPr>
              <w:drawing>
                <wp:inline distT="0" distB="0" distL="0" distR="0">
                  <wp:extent cx="1066800" cy="1076325"/>
                  <wp:effectExtent l="0" t="0" r="0"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066800" cy="1076325"/>
                          </a:xfrm>
                          <a:prstGeom prst="rect">
                            <a:avLst/>
                          </a:prstGeom>
                          <a:noFill/>
                          <a:ln>
                            <a:noFill/>
                          </a:ln>
                        </pic:spPr>
                      </pic:pic>
                    </a:graphicData>
                  </a:graphic>
                </wp:inline>
              </w:drawing>
            </w:r>
          </w:p>
        </w:tc>
        <w:tc>
          <w:tcPr>
            <w:tcW w:w="1794" w:type="dxa"/>
            <w:tcBorders>
              <w:top w:val="single" w:color="auto" w:sz="6" w:space="0"/>
              <w:bottom w:val="single" w:color="auto" w:sz="6" w:space="0"/>
            </w:tcBorders>
            <w:vAlign w:val="center"/>
          </w:tcPr>
          <w:p>
            <w:pPr>
              <w:pStyle w:val="36"/>
              <w:spacing w:line="240" w:lineRule="atLeast"/>
              <w:rPr>
                <w:color w:val="auto"/>
              </w:rPr>
            </w:pPr>
            <w:r>
              <w:rPr>
                <w:color w:val="auto"/>
              </w:rPr>
              <w:drawing>
                <wp:inline distT="0" distB="0" distL="0" distR="0">
                  <wp:extent cx="942340" cy="922020"/>
                  <wp:effectExtent l="0" t="0" r="10160" b="1143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33"/>
                          <a:stretch>
                            <a:fillRect/>
                          </a:stretch>
                        </pic:blipFill>
                        <pic:spPr>
                          <a:xfrm>
                            <a:off x="0" y="0"/>
                            <a:ext cx="947813" cy="927027"/>
                          </a:xfrm>
                          <a:prstGeom prst="rect">
                            <a:avLst/>
                          </a:prstGeom>
                        </pic:spPr>
                      </pic:pic>
                    </a:graphicData>
                  </a:graphic>
                </wp:inline>
              </w:drawing>
            </w:r>
          </w:p>
        </w:tc>
        <w:tc>
          <w:tcPr>
            <w:tcW w:w="1884" w:type="dxa"/>
            <w:tcBorders>
              <w:top w:val="single" w:color="auto" w:sz="6" w:space="0"/>
              <w:bottom w:val="single" w:color="auto" w:sz="6" w:space="0"/>
            </w:tcBorders>
            <w:vAlign w:val="center"/>
          </w:tcPr>
          <w:p>
            <w:pPr>
              <w:pStyle w:val="36"/>
              <w:spacing w:line="240" w:lineRule="atLeast"/>
              <w:rPr>
                <w:color w:val="auto"/>
              </w:rPr>
            </w:pPr>
            <w:r>
              <w:rPr>
                <w:color w:val="auto"/>
              </w:rPr>
              <w:drawing>
                <wp:inline distT="0" distB="0" distL="0" distR="0">
                  <wp:extent cx="1152525" cy="1085850"/>
                  <wp:effectExtent l="0" t="0" r="952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152525" cy="1085850"/>
                          </a:xfrm>
                          <a:prstGeom prst="rect">
                            <a:avLst/>
                          </a:prstGeom>
                          <a:noFill/>
                          <a:ln>
                            <a:noFill/>
                          </a:ln>
                        </pic:spPr>
                      </pic:pic>
                    </a:graphicData>
                  </a:graphic>
                </wp:inline>
              </w:drawing>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72" w:hRule="atLeast"/>
          <w:jc w:val="center"/>
        </w:trPr>
        <w:tc>
          <w:tcPr>
            <w:tcW w:w="587" w:type="dxa"/>
            <w:tcBorders>
              <w:top w:val="single" w:color="auto" w:sz="6" w:space="0"/>
              <w:bottom w:val="single" w:color="auto" w:sz="6" w:space="0"/>
            </w:tcBorders>
            <w:vAlign w:val="center"/>
          </w:tcPr>
          <w:p>
            <w:pPr>
              <w:pStyle w:val="36"/>
              <w:rPr>
                <w:color w:val="auto"/>
              </w:rPr>
            </w:pPr>
            <w:r>
              <w:rPr>
                <w:color w:val="auto"/>
              </w:rPr>
              <w:t>2</w:t>
            </w:r>
          </w:p>
        </w:tc>
        <w:tc>
          <w:tcPr>
            <w:tcW w:w="1073" w:type="dxa"/>
            <w:tcBorders>
              <w:top w:val="single" w:color="auto" w:sz="6" w:space="0"/>
              <w:bottom w:val="single" w:color="auto" w:sz="6" w:space="0"/>
            </w:tcBorders>
            <w:vAlign w:val="center"/>
          </w:tcPr>
          <w:p>
            <w:pPr>
              <w:pStyle w:val="36"/>
              <w:rPr>
                <w:color w:val="auto"/>
              </w:rPr>
            </w:pPr>
            <w:r>
              <w:rPr>
                <w:color w:val="auto"/>
              </w:rPr>
              <w:t>背景颜色</w:t>
            </w:r>
          </w:p>
        </w:tc>
        <w:tc>
          <w:tcPr>
            <w:tcW w:w="7354" w:type="dxa"/>
            <w:gridSpan w:val="4"/>
            <w:tcBorders>
              <w:top w:val="single" w:color="auto" w:sz="6" w:space="0"/>
              <w:bottom w:val="single" w:color="auto" w:sz="6" w:space="0"/>
            </w:tcBorders>
            <w:vAlign w:val="center"/>
          </w:tcPr>
          <w:p>
            <w:pPr>
              <w:pStyle w:val="36"/>
              <w:rPr>
                <w:color w:val="auto"/>
              </w:rPr>
            </w:pPr>
            <w:r>
              <w:rPr>
                <w:color w:val="auto"/>
              </w:rPr>
              <w:t>危险固废黄色，其他绿色</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8" w:hRule="atLeast"/>
          <w:jc w:val="center"/>
        </w:trPr>
        <w:tc>
          <w:tcPr>
            <w:tcW w:w="587" w:type="dxa"/>
            <w:tcBorders>
              <w:top w:val="single" w:color="auto" w:sz="6" w:space="0"/>
            </w:tcBorders>
            <w:vAlign w:val="center"/>
          </w:tcPr>
          <w:p>
            <w:pPr>
              <w:pStyle w:val="36"/>
              <w:rPr>
                <w:color w:val="auto"/>
              </w:rPr>
            </w:pPr>
            <w:r>
              <w:rPr>
                <w:color w:val="auto"/>
              </w:rPr>
              <w:t>3</w:t>
            </w:r>
          </w:p>
        </w:tc>
        <w:tc>
          <w:tcPr>
            <w:tcW w:w="1073" w:type="dxa"/>
            <w:tcBorders>
              <w:top w:val="single" w:color="auto" w:sz="6" w:space="0"/>
            </w:tcBorders>
            <w:vAlign w:val="center"/>
          </w:tcPr>
          <w:p>
            <w:pPr>
              <w:pStyle w:val="36"/>
              <w:rPr>
                <w:color w:val="auto"/>
              </w:rPr>
            </w:pPr>
            <w:r>
              <w:rPr>
                <w:color w:val="auto"/>
              </w:rPr>
              <w:t>图形颜色</w:t>
            </w:r>
          </w:p>
        </w:tc>
        <w:tc>
          <w:tcPr>
            <w:tcW w:w="7354" w:type="dxa"/>
            <w:gridSpan w:val="4"/>
            <w:tcBorders>
              <w:top w:val="single" w:color="auto" w:sz="6" w:space="0"/>
            </w:tcBorders>
            <w:vAlign w:val="center"/>
          </w:tcPr>
          <w:p>
            <w:pPr>
              <w:pStyle w:val="36"/>
              <w:rPr>
                <w:color w:val="auto"/>
              </w:rPr>
            </w:pPr>
            <w:r>
              <w:rPr>
                <w:color w:val="auto"/>
              </w:rPr>
              <w:t>危险固废黑色，其他白色</w:t>
            </w:r>
          </w:p>
        </w:tc>
      </w:tr>
    </w:tbl>
    <w:p>
      <w:pPr>
        <w:pStyle w:val="8"/>
        <w:ind w:firstLine="560"/>
        <w:rPr>
          <w:color w:val="auto"/>
          <w:kern w:val="0"/>
          <w:szCs w:val="28"/>
        </w:rPr>
      </w:pPr>
      <w:r>
        <w:rPr>
          <w:color w:val="auto"/>
          <w:kern w:val="0"/>
          <w:szCs w:val="28"/>
        </w:rPr>
        <w:t>排污口标志牌设在醒目处，设置高度为上边缘距地面约2m。建议每年对标志牌进行检查和维护一次，确保标志牌清晰完整。</w:t>
      </w:r>
    </w:p>
    <w:p>
      <w:pPr>
        <w:pStyle w:val="5"/>
      </w:pPr>
      <w:r>
        <w:t>环保措施及设施费用保障</w:t>
      </w:r>
      <w:r>
        <w:rPr>
          <w:rFonts w:hint="eastAsia"/>
        </w:rPr>
        <w:t>计划</w:t>
      </w:r>
    </w:p>
    <w:p>
      <w:r>
        <w:rPr>
          <w:rFonts w:hint="eastAsia"/>
        </w:rPr>
        <w:t>本项目主要</w:t>
      </w:r>
      <w:r>
        <w:t>环保措施及设施投资</w:t>
      </w:r>
      <w:r>
        <w:rPr>
          <w:rFonts w:hint="eastAsia"/>
        </w:rPr>
        <w:t>费用</w:t>
      </w:r>
      <w:r>
        <w:t>共</w:t>
      </w:r>
      <w:r>
        <w:rPr>
          <w:rFonts w:hint="eastAsia"/>
        </w:rPr>
        <w:t>270</w:t>
      </w:r>
      <w:r>
        <w:t>万元，</w:t>
      </w:r>
      <w:r>
        <w:rPr>
          <w:rFonts w:hint="eastAsia"/>
        </w:rPr>
        <w:t>占</w:t>
      </w:r>
      <w:r>
        <w:t>项目总投资的</w:t>
      </w:r>
      <w:r>
        <w:rPr>
          <w:rFonts w:hint="eastAsia"/>
        </w:rPr>
        <w:t>12.9%；本项目环保设施运行维护</w:t>
      </w:r>
      <w:r>
        <w:t>费用</w:t>
      </w:r>
      <w:r>
        <w:rPr>
          <w:rFonts w:hint="eastAsia"/>
        </w:rPr>
        <w:t>为12.9万元/年。</w:t>
      </w:r>
    </w:p>
    <w:p>
      <w:pPr>
        <w:pStyle w:val="4"/>
      </w:pPr>
      <w:r>
        <w:t>环境监测计划</w:t>
      </w:r>
    </w:p>
    <w:p>
      <w:pPr>
        <w:pStyle w:val="5"/>
      </w:pPr>
      <w:r>
        <w:t>污染源监测计划</w:t>
      </w:r>
    </w:p>
    <w:p>
      <w:pPr>
        <w:pStyle w:val="6"/>
      </w:pPr>
      <w:r>
        <w:t>施工期监测计划</w:t>
      </w:r>
    </w:p>
    <w:p>
      <w:pPr>
        <w:pStyle w:val="14"/>
      </w:pPr>
      <w:r>
        <w:t>本工程在施工期间对周围环境的主要影响有施工噪声、施工扬尘等影响。监测计划见</w:t>
      </w:r>
      <w:r>
        <w:rPr>
          <w:rFonts w:hint="eastAsia"/>
        </w:rPr>
        <w:t>表10.3-1</w:t>
      </w:r>
      <w:r>
        <w:t>。</w:t>
      </w:r>
    </w:p>
    <w:p>
      <w:pPr>
        <w:pStyle w:val="76"/>
        <w:ind w:firstLine="482"/>
        <w:rPr>
          <w:rFonts w:cs="Times New Roman"/>
        </w:rPr>
      </w:pPr>
      <w:r>
        <w:rPr>
          <w:rFonts w:hint="eastAsia"/>
        </w:rPr>
        <w:t>表10.3-1</w:t>
      </w:r>
      <w:r>
        <w:rPr>
          <w:rFonts w:cs="Times New Roman"/>
        </w:rPr>
        <w:t xml:space="preserve">  </w:t>
      </w:r>
      <w:r>
        <w:rPr>
          <w:rFonts w:hint="eastAsia" w:cs="Times New Roman"/>
        </w:rPr>
        <w:t xml:space="preserve">                  </w:t>
      </w:r>
      <w:r>
        <w:rPr>
          <w:rFonts w:cs="Times New Roman"/>
        </w:rPr>
        <w:t xml:space="preserve"> 施工期监测计划</w:t>
      </w:r>
    </w:p>
    <w:tbl>
      <w:tblPr>
        <w:tblStyle w:val="21"/>
        <w:tblW w:w="9174"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29"/>
        <w:gridCol w:w="1985"/>
        <w:gridCol w:w="992"/>
        <w:gridCol w:w="3260"/>
        <w:gridCol w:w="18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29" w:type="dxa"/>
            <w:tcBorders>
              <w:bottom w:val="single" w:color="auto" w:sz="6" w:space="0"/>
              <w:right w:val="single" w:color="auto" w:sz="6" w:space="0"/>
            </w:tcBorders>
            <w:vAlign w:val="center"/>
          </w:tcPr>
          <w:p>
            <w:pPr>
              <w:pStyle w:val="14"/>
              <w:spacing w:line="360" w:lineRule="exact"/>
              <w:ind w:firstLine="0" w:firstLineChars="0"/>
              <w:jc w:val="center"/>
              <w:rPr>
                <w:b/>
                <w:bCs/>
                <w:sz w:val="21"/>
              </w:rPr>
            </w:pPr>
            <w:r>
              <w:rPr>
                <w:b/>
                <w:bCs/>
                <w:sz w:val="21"/>
              </w:rPr>
              <w:t>环境要素</w:t>
            </w:r>
          </w:p>
        </w:tc>
        <w:tc>
          <w:tcPr>
            <w:tcW w:w="1985" w:type="dxa"/>
            <w:tcBorders>
              <w:left w:val="single" w:color="auto" w:sz="6" w:space="0"/>
              <w:bottom w:val="single" w:color="auto" w:sz="6" w:space="0"/>
              <w:right w:val="single" w:color="auto" w:sz="6" w:space="0"/>
            </w:tcBorders>
            <w:vAlign w:val="center"/>
          </w:tcPr>
          <w:p>
            <w:pPr>
              <w:pStyle w:val="14"/>
              <w:spacing w:line="360" w:lineRule="exact"/>
              <w:ind w:firstLine="0" w:firstLineChars="0"/>
              <w:jc w:val="center"/>
              <w:rPr>
                <w:b/>
                <w:bCs/>
                <w:sz w:val="21"/>
              </w:rPr>
            </w:pPr>
            <w:r>
              <w:rPr>
                <w:b/>
                <w:bCs/>
                <w:sz w:val="21"/>
              </w:rPr>
              <w:t>监测点位</w:t>
            </w:r>
          </w:p>
        </w:tc>
        <w:tc>
          <w:tcPr>
            <w:tcW w:w="992" w:type="dxa"/>
            <w:tcBorders>
              <w:left w:val="single" w:color="auto" w:sz="6" w:space="0"/>
              <w:bottom w:val="single" w:color="auto" w:sz="6" w:space="0"/>
              <w:right w:val="single" w:color="auto" w:sz="6" w:space="0"/>
            </w:tcBorders>
            <w:vAlign w:val="center"/>
          </w:tcPr>
          <w:p>
            <w:pPr>
              <w:pStyle w:val="14"/>
              <w:spacing w:line="360" w:lineRule="exact"/>
              <w:ind w:firstLine="0" w:firstLineChars="0"/>
              <w:jc w:val="center"/>
              <w:rPr>
                <w:b/>
                <w:bCs/>
                <w:sz w:val="21"/>
              </w:rPr>
            </w:pPr>
            <w:r>
              <w:rPr>
                <w:b/>
                <w:bCs/>
                <w:sz w:val="21"/>
              </w:rPr>
              <w:t>监测项目</w:t>
            </w:r>
          </w:p>
        </w:tc>
        <w:tc>
          <w:tcPr>
            <w:tcW w:w="3260" w:type="dxa"/>
            <w:tcBorders>
              <w:left w:val="single" w:color="auto" w:sz="6" w:space="0"/>
              <w:bottom w:val="single" w:color="auto" w:sz="6" w:space="0"/>
              <w:right w:val="single" w:color="auto" w:sz="6" w:space="0"/>
            </w:tcBorders>
            <w:vAlign w:val="center"/>
          </w:tcPr>
          <w:p>
            <w:pPr>
              <w:pStyle w:val="14"/>
              <w:spacing w:line="360" w:lineRule="exact"/>
              <w:ind w:firstLine="0" w:firstLineChars="0"/>
              <w:jc w:val="center"/>
              <w:rPr>
                <w:b/>
                <w:bCs/>
                <w:sz w:val="21"/>
              </w:rPr>
            </w:pPr>
            <w:r>
              <w:rPr>
                <w:b/>
                <w:bCs/>
                <w:sz w:val="21"/>
              </w:rPr>
              <w:t>监测时间及频率</w:t>
            </w:r>
          </w:p>
        </w:tc>
        <w:tc>
          <w:tcPr>
            <w:tcW w:w="1808" w:type="dxa"/>
            <w:tcBorders>
              <w:left w:val="single" w:color="auto" w:sz="6" w:space="0"/>
              <w:bottom w:val="single" w:color="auto" w:sz="6" w:space="0"/>
            </w:tcBorders>
            <w:vAlign w:val="center"/>
          </w:tcPr>
          <w:p>
            <w:pPr>
              <w:pStyle w:val="14"/>
              <w:spacing w:line="360" w:lineRule="exact"/>
              <w:ind w:firstLine="0" w:firstLineChars="0"/>
              <w:jc w:val="center"/>
              <w:rPr>
                <w:b/>
                <w:bCs/>
                <w:sz w:val="21"/>
              </w:rPr>
            </w:pPr>
            <w:r>
              <w:rPr>
                <w:b/>
                <w:bCs/>
                <w:sz w:val="21"/>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29" w:type="dxa"/>
            <w:tcBorders>
              <w:top w:val="single" w:color="auto" w:sz="6" w:space="0"/>
              <w:bottom w:val="single" w:color="auto" w:sz="6" w:space="0"/>
              <w:right w:val="single" w:color="auto" w:sz="6" w:space="0"/>
            </w:tcBorders>
            <w:vAlign w:val="center"/>
          </w:tcPr>
          <w:p>
            <w:pPr>
              <w:pStyle w:val="14"/>
              <w:spacing w:line="360" w:lineRule="exact"/>
              <w:ind w:firstLine="0" w:firstLineChars="0"/>
              <w:jc w:val="center"/>
              <w:rPr>
                <w:sz w:val="21"/>
              </w:rPr>
            </w:pPr>
            <w:r>
              <w:rPr>
                <w:sz w:val="21"/>
              </w:rPr>
              <w:t>噪声</w:t>
            </w:r>
          </w:p>
        </w:tc>
        <w:tc>
          <w:tcPr>
            <w:tcW w:w="1985" w:type="dxa"/>
            <w:tcBorders>
              <w:top w:val="single" w:color="auto" w:sz="6" w:space="0"/>
              <w:left w:val="single" w:color="auto" w:sz="6" w:space="0"/>
              <w:bottom w:val="single" w:color="auto" w:sz="6" w:space="0"/>
              <w:right w:val="single" w:color="auto" w:sz="6" w:space="0"/>
            </w:tcBorders>
            <w:vAlign w:val="center"/>
          </w:tcPr>
          <w:p>
            <w:pPr>
              <w:pStyle w:val="14"/>
              <w:spacing w:line="360" w:lineRule="exact"/>
              <w:ind w:firstLine="0" w:firstLineChars="0"/>
              <w:jc w:val="center"/>
              <w:rPr>
                <w:sz w:val="21"/>
              </w:rPr>
            </w:pPr>
            <w:r>
              <w:rPr>
                <w:sz w:val="21"/>
              </w:rPr>
              <w:t>施工场地、办公区</w:t>
            </w:r>
          </w:p>
        </w:tc>
        <w:tc>
          <w:tcPr>
            <w:tcW w:w="992" w:type="dxa"/>
            <w:tcBorders>
              <w:top w:val="single" w:color="auto" w:sz="6" w:space="0"/>
              <w:left w:val="single" w:color="auto" w:sz="6" w:space="0"/>
              <w:bottom w:val="single" w:color="auto" w:sz="6" w:space="0"/>
              <w:right w:val="single" w:color="auto" w:sz="6" w:space="0"/>
            </w:tcBorders>
            <w:vAlign w:val="center"/>
          </w:tcPr>
          <w:p>
            <w:pPr>
              <w:pStyle w:val="14"/>
              <w:spacing w:line="360" w:lineRule="exact"/>
              <w:ind w:firstLine="0" w:firstLineChars="0"/>
              <w:jc w:val="center"/>
              <w:rPr>
                <w:sz w:val="21"/>
              </w:rPr>
            </w:pPr>
            <w:r>
              <w:rPr>
                <w:sz w:val="21"/>
              </w:rPr>
              <w:t>等效声级</w:t>
            </w:r>
          </w:p>
        </w:tc>
        <w:tc>
          <w:tcPr>
            <w:tcW w:w="3260" w:type="dxa"/>
            <w:tcBorders>
              <w:top w:val="single" w:color="auto" w:sz="6" w:space="0"/>
              <w:left w:val="single" w:color="auto" w:sz="6" w:space="0"/>
              <w:bottom w:val="single" w:color="auto" w:sz="6" w:space="0"/>
              <w:right w:val="single" w:color="auto" w:sz="6" w:space="0"/>
            </w:tcBorders>
            <w:vAlign w:val="center"/>
          </w:tcPr>
          <w:p>
            <w:pPr>
              <w:pStyle w:val="14"/>
              <w:spacing w:line="360" w:lineRule="exact"/>
              <w:ind w:firstLine="0" w:firstLineChars="0"/>
              <w:jc w:val="center"/>
              <w:rPr>
                <w:sz w:val="21"/>
              </w:rPr>
            </w:pPr>
            <w:r>
              <w:rPr>
                <w:sz w:val="21"/>
              </w:rPr>
              <w:t>每月一次，每次一天、昼夜各一次</w:t>
            </w:r>
          </w:p>
        </w:tc>
        <w:tc>
          <w:tcPr>
            <w:tcW w:w="1808" w:type="dxa"/>
            <w:tcBorders>
              <w:top w:val="single" w:color="auto" w:sz="6" w:space="0"/>
              <w:left w:val="single" w:color="auto" w:sz="6" w:space="0"/>
              <w:bottom w:val="single" w:color="auto" w:sz="6" w:space="0"/>
            </w:tcBorders>
            <w:vAlign w:val="center"/>
          </w:tcPr>
          <w:p>
            <w:pPr>
              <w:pStyle w:val="14"/>
              <w:spacing w:line="360" w:lineRule="exact"/>
              <w:ind w:firstLine="0" w:firstLineChars="0"/>
              <w:jc w:val="center"/>
              <w:rPr>
                <w:sz w:val="21"/>
              </w:rPr>
            </w:pPr>
            <w:r>
              <w:rPr>
                <w:sz w:val="21"/>
              </w:rPr>
              <w:t>夜间禁止打桩作业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29" w:type="dxa"/>
            <w:tcBorders>
              <w:top w:val="single" w:color="auto" w:sz="6" w:space="0"/>
              <w:right w:val="single" w:color="auto" w:sz="6" w:space="0"/>
            </w:tcBorders>
            <w:vAlign w:val="center"/>
          </w:tcPr>
          <w:p>
            <w:pPr>
              <w:pStyle w:val="14"/>
              <w:spacing w:line="360" w:lineRule="exact"/>
              <w:ind w:firstLine="0" w:firstLineChars="0"/>
              <w:jc w:val="center"/>
              <w:rPr>
                <w:sz w:val="21"/>
              </w:rPr>
            </w:pPr>
            <w:r>
              <w:rPr>
                <w:sz w:val="21"/>
              </w:rPr>
              <w:t>环境空气</w:t>
            </w:r>
          </w:p>
        </w:tc>
        <w:tc>
          <w:tcPr>
            <w:tcW w:w="1985" w:type="dxa"/>
            <w:tcBorders>
              <w:top w:val="single" w:color="auto" w:sz="6" w:space="0"/>
              <w:left w:val="single" w:color="auto" w:sz="6" w:space="0"/>
              <w:right w:val="single" w:color="auto" w:sz="6" w:space="0"/>
            </w:tcBorders>
            <w:vAlign w:val="center"/>
          </w:tcPr>
          <w:p>
            <w:pPr>
              <w:pStyle w:val="14"/>
              <w:spacing w:line="360" w:lineRule="exact"/>
              <w:ind w:firstLine="0" w:firstLineChars="0"/>
              <w:jc w:val="center"/>
              <w:rPr>
                <w:sz w:val="21"/>
              </w:rPr>
            </w:pPr>
            <w:r>
              <w:rPr>
                <w:sz w:val="21"/>
              </w:rPr>
              <w:t>施工区、办公区</w:t>
            </w:r>
          </w:p>
        </w:tc>
        <w:tc>
          <w:tcPr>
            <w:tcW w:w="992" w:type="dxa"/>
            <w:tcBorders>
              <w:top w:val="single" w:color="auto" w:sz="6" w:space="0"/>
              <w:left w:val="single" w:color="auto" w:sz="6" w:space="0"/>
              <w:right w:val="single" w:color="auto" w:sz="6" w:space="0"/>
            </w:tcBorders>
            <w:vAlign w:val="center"/>
          </w:tcPr>
          <w:p>
            <w:pPr>
              <w:pStyle w:val="14"/>
              <w:spacing w:line="360" w:lineRule="exact"/>
              <w:ind w:firstLine="0" w:firstLineChars="0"/>
              <w:jc w:val="center"/>
              <w:rPr>
                <w:sz w:val="21"/>
              </w:rPr>
            </w:pPr>
            <w:r>
              <w:rPr>
                <w:sz w:val="21"/>
              </w:rPr>
              <w:t>TSP</w:t>
            </w:r>
          </w:p>
        </w:tc>
        <w:tc>
          <w:tcPr>
            <w:tcW w:w="3260" w:type="dxa"/>
            <w:tcBorders>
              <w:top w:val="single" w:color="auto" w:sz="6" w:space="0"/>
              <w:left w:val="single" w:color="auto" w:sz="6" w:space="0"/>
              <w:right w:val="single" w:color="auto" w:sz="6" w:space="0"/>
            </w:tcBorders>
            <w:vAlign w:val="center"/>
          </w:tcPr>
          <w:p>
            <w:pPr>
              <w:pStyle w:val="14"/>
              <w:spacing w:line="360" w:lineRule="exact"/>
              <w:ind w:firstLine="0" w:firstLineChars="0"/>
              <w:jc w:val="center"/>
              <w:rPr>
                <w:sz w:val="21"/>
              </w:rPr>
            </w:pPr>
            <w:r>
              <w:rPr>
                <w:sz w:val="21"/>
              </w:rPr>
              <w:t>每月一次，每次三天</w:t>
            </w:r>
          </w:p>
        </w:tc>
        <w:tc>
          <w:tcPr>
            <w:tcW w:w="1808" w:type="dxa"/>
            <w:tcBorders>
              <w:top w:val="single" w:color="auto" w:sz="6" w:space="0"/>
              <w:left w:val="single" w:color="auto" w:sz="6" w:space="0"/>
            </w:tcBorders>
            <w:vAlign w:val="center"/>
          </w:tcPr>
          <w:p>
            <w:pPr>
              <w:pStyle w:val="14"/>
              <w:spacing w:line="360" w:lineRule="exact"/>
              <w:ind w:firstLine="0" w:firstLineChars="0"/>
              <w:jc w:val="center"/>
              <w:rPr>
                <w:sz w:val="21"/>
              </w:rPr>
            </w:pPr>
            <w:r>
              <w:rPr>
                <w:rFonts w:hint="eastAsia"/>
                <w:sz w:val="21"/>
              </w:rPr>
              <w:t>/</w:t>
            </w:r>
          </w:p>
        </w:tc>
      </w:tr>
    </w:tbl>
    <w:p>
      <w:pPr>
        <w:pStyle w:val="6"/>
      </w:pPr>
      <w:r>
        <w:t>运营期监测计划</w:t>
      </w:r>
    </w:p>
    <w:p>
      <w:pPr>
        <w:pStyle w:val="14"/>
      </w:pPr>
      <w:r>
        <w:t>本工程常规监测计划</w:t>
      </w:r>
      <w:r>
        <w:rPr>
          <w:rFonts w:hint="eastAsia"/>
        </w:rPr>
        <w:t>参照《排污单位自行监测技术指南 石油化学工业》（HJ947-2018）制定，详</w:t>
      </w:r>
      <w:r>
        <w:t>见</w:t>
      </w:r>
      <w:r>
        <w:rPr>
          <w:rFonts w:hint="eastAsia"/>
        </w:rPr>
        <w:t>表10.3-2</w:t>
      </w:r>
      <w:r>
        <w:t>。</w:t>
      </w:r>
    </w:p>
    <w:p>
      <w:pPr>
        <w:pStyle w:val="76"/>
        <w:ind w:firstLine="482"/>
        <w:rPr>
          <w:rFonts w:cs="Times New Roman"/>
        </w:rPr>
      </w:pPr>
      <w:r>
        <w:rPr>
          <w:rFonts w:hint="eastAsia"/>
        </w:rPr>
        <w:t>表10.3-2</w:t>
      </w:r>
      <w:r>
        <w:rPr>
          <w:rFonts w:cs="Times New Roman"/>
        </w:rPr>
        <w:t xml:space="preserve">  </w:t>
      </w:r>
      <w:r>
        <w:rPr>
          <w:rFonts w:hint="eastAsia" w:cs="Times New Roman"/>
        </w:rPr>
        <w:t xml:space="preserve">               </w:t>
      </w:r>
      <w:r>
        <w:rPr>
          <w:rFonts w:cs="Times New Roman"/>
        </w:rPr>
        <w:t xml:space="preserve"> </w:t>
      </w:r>
      <w:r>
        <w:rPr>
          <w:rFonts w:hint="eastAsia" w:cs="Times New Roman"/>
        </w:rPr>
        <w:t xml:space="preserve"> 运营期</w:t>
      </w:r>
      <w:r>
        <w:rPr>
          <w:rFonts w:cs="Times New Roman"/>
        </w:rPr>
        <w:t>监测计划</w:t>
      </w:r>
    </w:p>
    <w:tbl>
      <w:tblPr>
        <w:tblStyle w:val="21"/>
        <w:tblW w:w="901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65"/>
        <w:gridCol w:w="1860"/>
        <w:gridCol w:w="2676"/>
        <w:gridCol w:w="1957"/>
        <w:gridCol w:w="175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jc w:val="center"/>
        </w:trPr>
        <w:tc>
          <w:tcPr>
            <w:tcW w:w="2625" w:type="dxa"/>
            <w:gridSpan w:val="2"/>
            <w:tcBorders>
              <w:bottom w:val="single" w:color="auto" w:sz="6" w:space="0"/>
              <w:right w:val="single" w:color="auto" w:sz="6" w:space="0"/>
            </w:tcBorders>
            <w:vAlign w:val="center"/>
          </w:tcPr>
          <w:p>
            <w:pPr>
              <w:pStyle w:val="77"/>
              <w:rPr>
                <w:b/>
                <w:bCs/>
              </w:rPr>
            </w:pPr>
            <w:r>
              <w:rPr>
                <w:b/>
                <w:bCs/>
              </w:rPr>
              <w:t>项目</w:t>
            </w:r>
          </w:p>
        </w:tc>
        <w:tc>
          <w:tcPr>
            <w:tcW w:w="2676" w:type="dxa"/>
            <w:tcBorders>
              <w:left w:val="single" w:color="auto" w:sz="6" w:space="0"/>
              <w:bottom w:val="single" w:color="auto" w:sz="6" w:space="0"/>
              <w:right w:val="single" w:color="auto" w:sz="6" w:space="0"/>
            </w:tcBorders>
            <w:vAlign w:val="center"/>
          </w:tcPr>
          <w:p>
            <w:pPr>
              <w:pStyle w:val="77"/>
              <w:rPr>
                <w:b/>
                <w:bCs/>
              </w:rPr>
            </w:pPr>
            <w:r>
              <w:rPr>
                <w:b/>
                <w:bCs/>
              </w:rPr>
              <w:t>处理设施</w:t>
            </w:r>
          </w:p>
        </w:tc>
        <w:tc>
          <w:tcPr>
            <w:tcW w:w="1957" w:type="dxa"/>
            <w:tcBorders>
              <w:left w:val="single" w:color="auto" w:sz="6" w:space="0"/>
              <w:bottom w:val="single" w:color="auto" w:sz="6" w:space="0"/>
            </w:tcBorders>
            <w:vAlign w:val="center"/>
          </w:tcPr>
          <w:p>
            <w:pPr>
              <w:pStyle w:val="77"/>
              <w:rPr>
                <w:b/>
                <w:bCs/>
              </w:rPr>
            </w:pPr>
            <w:r>
              <w:rPr>
                <w:b/>
                <w:bCs/>
              </w:rPr>
              <w:t>监测项目</w:t>
            </w:r>
          </w:p>
        </w:tc>
        <w:tc>
          <w:tcPr>
            <w:tcW w:w="1756" w:type="dxa"/>
            <w:tcBorders>
              <w:left w:val="single" w:color="auto" w:sz="6" w:space="0"/>
            </w:tcBorders>
            <w:vAlign w:val="center"/>
          </w:tcPr>
          <w:p>
            <w:pPr>
              <w:pStyle w:val="77"/>
              <w:rPr>
                <w:b/>
                <w:bCs/>
              </w:rPr>
            </w:pPr>
            <w:r>
              <w:rPr>
                <w:rFonts w:hint="eastAsia"/>
                <w:b/>
                <w:bCs/>
              </w:rPr>
              <w:t>监测频率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765" w:type="dxa"/>
            <w:vMerge w:val="restart"/>
            <w:tcBorders>
              <w:top w:val="single" w:color="auto" w:sz="6" w:space="0"/>
              <w:right w:val="single" w:color="auto" w:sz="6" w:space="0"/>
            </w:tcBorders>
            <w:vAlign w:val="center"/>
          </w:tcPr>
          <w:p>
            <w:pPr>
              <w:pStyle w:val="77"/>
            </w:pPr>
            <w:r>
              <w:rPr>
                <w:rFonts w:hint="eastAsia"/>
              </w:rPr>
              <w:t>废气有组织</w:t>
            </w:r>
          </w:p>
        </w:tc>
        <w:tc>
          <w:tcPr>
            <w:tcW w:w="1860" w:type="dxa"/>
            <w:vMerge w:val="restart"/>
            <w:tcBorders>
              <w:top w:val="single" w:color="auto" w:sz="6" w:space="0"/>
              <w:left w:val="single" w:color="auto" w:sz="6" w:space="0"/>
              <w:right w:val="single" w:color="auto" w:sz="6" w:space="0"/>
            </w:tcBorders>
            <w:vAlign w:val="center"/>
          </w:tcPr>
          <w:p>
            <w:pPr>
              <w:pStyle w:val="77"/>
            </w:pPr>
            <w:r>
              <w:rPr>
                <w:rFonts w:hint="eastAsia"/>
              </w:rPr>
              <w:t>G3真空泵尾气</w:t>
            </w:r>
          </w:p>
        </w:tc>
        <w:tc>
          <w:tcPr>
            <w:tcW w:w="2676" w:type="dxa"/>
            <w:vMerge w:val="restart"/>
            <w:tcBorders>
              <w:top w:val="single" w:color="auto" w:sz="6" w:space="0"/>
              <w:left w:val="single" w:color="auto" w:sz="6" w:space="0"/>
              <w:right w:val="single" w:color="auto" w:sz="6" w:space="0"/>
            </w:tcBorders>
            <w:vAlign w:val="center"/>
          </w:tcPr>
          <w:p>
            <w:pPr>
              <w:pStyle w:val="77"/>
              <w:jc w:val="both"/>
            </w:pPr>
            <w:r>
              <w:rPr>
                <w:rFonts w:hint="eastAsia"/>
              </w:rPr>
              <w:t>尾气吸收塔+活性炭吸附罐+15m排气筒</w:t>
            </w:r>
          </w:p>
        </w:tc>
        <w:tc>
          <w:tcPr>
            <w:tcW w:w="1957" w:type="dxa"/>
            <w:tcBorders>
              <w:top w:val="single" w:color="auto" w:sz="6" w:space="0"/>
              <w:left w:val="single" w:color="auto" w:sz="6" w:space="0"/>
              <w:bottom w:val="single" w:color="auto" w:sz="4" w:space="0"/>
            </w:tcBorders>
            <w:vAlign w:val="center"/>
          </w:tcPr>
          <w:p>
            <w:pPr>
              <w:pStyle w:val="77"/>
            </w:pPr>
            <w:r>
              <w:rPr>
                <w:rFonts w:hint="eastAsia"/>
                <w:bCs/>
                <w:snapToGrid w:val="0"/>
                <w:kern w:val="0"/>
                <w:szCs w:val="21"/>
              </w:rPr>
              <w:t>非甲烷总烃</w:t>
            </w:r>
          </w:p>
        </w:tc>
        <w:tc>
          <w:tcPr>
            <w:tcW w:w="1756" w:type="dxa"/>
            <w:tcBorders>
              <w:top w:val="single" w:color="auto" w:sz="6" w:space="0"/>
              <w:left w:val="single" w:color="auto" w:sz="6" w:space="0"/>
            </w:tcBorders>
            <w:vAlign w:val="center"/>
          </w:tcPr>
          <w:p>
            <w:pPr>
              <w:pStyle w:val="77"/>
            </w:pPr>
            <w:r>
              <w:rPr>
                <w:rFonts w:hint="eastAsia"/>
              </w:rPr>
              <w:t>每月监测一次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765" w:type="dxa"/>
            <w:vMerge w:val="continue"/>
            <w:tcBorders>
              <w:right w:val="single" w:color="auto" w:sz="6" w:space="0"/>
            </w:tcBorders>
            <w:vAlign w:val="center"/>
          </w:tcPr>
          <w:p>
            <w:pPr>
              <w:pStyle w:val="77"/>
              <w:jc w:val="both"/>
            </w:pPr>
          </w:p>
        </w:tc>
        <w:tc>
          <w:tcPr>
            <w:tcW w:w="1860" w:type="dxa"/>
            <w:vMerge w:val="continue"/>
            <w:tcBorders>
              <w:left w:val="single" w:color="auto" w:sz="6" w:space="0"/>
              <w:bottom w:val="single" w:color="auto" w:sz="6" w:space="0"/>
              <w:right w:val="single" w:color="auto" w:sz="6" w:space="0"/>
            </w:tcBorders>
            <w:vAlign w:val="center"/>
          </w:tcPr>
          <w:p>
            <w:pPr>
              <w:pStyle w:val="77"/>
              <w:jc w:val="both"/>
            </w:pPr>
          </w:p>
        </w:tc>
        <w:tc>
          <w:tcPr>
            <w:tcW w:w="2676" w:type="dxa"/>
            <w:vMerge w:val="continue"/>
            <w:tcBorders>
              <w:left w:val="single" w:color="auto" w:sz="6" w:space="0"/>
              <w:bottom w:val="single" w:color="auto" w:sz="4" w:space="0"/>
              <w:right w:val="single" w:color="auto" w:sz="6" w:space="0"/>
            </w:tcBorders>
            <w:vAlign w:val="center"/>
          </w:tcPr>
          <w:p>
            <w:pPr>
              <w:pStyle w:val="77"/>
              <w:jc w:val="both"/>
            </w:pPr>
          </w:p>
        </w:tc>
        <w:tc>
          <w:tcPr>
            <w:tcW w:w="1957" w:type="dxa"/>
            <w:tcBorders>
              <w:top w:val="single" w:color="auto" w:sz="6" w:space="0"/>
              <w:left w:val="single" w:color="auto" w:sz="6" w:space="0"/>
              <w:bottom w:val="single" w:color="auto" w:sz="4" w:space="0"/>
            </w:tcBorders>
            <w:vAlign w:val="center"/>
          </w:tcPr>
          <w:p>
            <w:pPr>
              <w:pStyle w:val="77"/>
              <w:rPr>
                <w:bCs/>
                <w:snapToGrid w:val="0"/>
                <w:kern w:val="0"/>
                <w:szCs w:val="21"/>
              </w:rPr>
            </w:pPr>
            <w:r>
              <w:rPr>
                <w:rFonts w:hint="eastAsia"/>
                <w:bCs/>
                <w:snapToGrid w:val="0"/>
                <w:kern w:val="0"/>
                <w:szCs w:val="21"/>
              </w:rPr>
              <w:t>乙二醇</w:t>
            </w:r>
            <w:r>
              <w:rPr>
                <w:sz w:val="18"/>
                <w:szCs w:val="18"/>
              </w:rPr>
              <w:t>*</w:t>
            </w:r>
          </w:p>
        </w:tc>
        <w:tc>
          <w:tcPr>
            <w:tcW w:w="1756" w:type="dxa"/>
            <w:tcBorders>
              <w:left w:val="single" w:color="auto" w:sz="6" w:space="0"/>
              <w:bottom w:val="single" w:color="auto" w:sz="4" w:space="0"/>
            </w:tcBorders>
            <w:vAlign w:val="center"/>
          </w:tcPr>
          <w:p>
            <w:pPr>
              <w:pStyle w:val="77"/>
              <w:rPr>
                <w:bCs/>
                <w:snapToGrid w:val="0"/>
                <w:kern w:val="0"/>
                <w:szCs w:val="21"/>
              </w:rPr>
            </w:pPr>
            <w:r>
              <w:rPr>
                <w:rFonts w:hint="eastAsia"/>
                <w:bCs/>
                <w:snapToGrid w:val="0"/>
                <w:kern w:val="0"/>
                <w:szCs w:val="21"/>
              </w:rPr>
              <w:t>每半年一次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restart"/>
            <w:tcBorders>
              <w:right w:val="single" w:color="auto" w:sz="6" w:space="0"/>
            </w:tcBorders>
            <w:vAlign w:val="center"/>
          </w:tcPr>
          <w:p>
            <w:pPr>
              <w:pStyle w:val="77"/>
            </w:pPr>
            <w:r>
              <w:rPr>
                <w:rFonts w:hint="eastAsia"/>
              </w:rPr>
              <w:t>废气无组织</w:t>
            </w:r>
          </w:p>
        </w:tc>
        <w:tc>
          <w:tcPr>
            <w:tcW w:w="1860" w:type="dxa"/>
            <w:tcBorders>
              <w:top w:val="single" w:color="auto" w:sz="6" w:space="0"/>
              <w:left w:val="single" w:color="auto" w:sz="6" w:space="0"/>
              <w:bottom w:val="single" w:color="auto" w:sz="6" w:space="0"/>
              <w:right w:val="single" w:color="auto" w:sz="6" w:space="0"/>
            </w:tcBorders>
            <w:vAlign w:val="center"/>
          </w:tcPr>
          <w:p>
            <w:pPr>
              <w:pStyle w:val="77"/>
            </w:pPr>
            <w:r>
              <w:rPr>
                <w:rFonts w:hint="eastAsia"/>
              </w:rPr>
              <w:t>厂界</w:t>
            </w:r>
          </w:p>
        </w:tc>
        <w:tc>
          <w:tcPr>
            <w:tcW w:w="2676" w:type="dxa"/>
            <w:vMerge w:val="restart"/>
            <w:tcBorders>
              <w:top w:val="single" w:color="auto" w:sz="6" w:space="0"/>
              <w:left w:val="single" w:color="auto" w:sz="6" w:space="0"/>
            </w:tcBorders>
            <w:vAlign w:val="center"/>
          </w:tcPr>
          <w:p>
            <w:pPr>
              <w:pStyle w:val="77"/>
              <w:jc w:val="both"/>
            </w:pPr>
            <w:r>
              <w:rPr>
                <w:rFonts w:hint="eastAsia"/>
              </w:rPr>
              <w:t>选用先进设备、定期检修、加强管理等</w:t>
            </w:r>
          </w:p>
        </w:tc>
        <w:tc>
          <w:tcPr>
            <w:tcW w:w="1957" w:type="dxa"/>
            <w:tcBorders>
              <w:top w:val="single" w:color="auto" w:sz="6" w:space="0"/>
              <w:left w:val="single" w:color="auto" w:sz="6" w:space="0"/>
              <w:bottom w:val="single" w:color="auto" w:sz="6" w:space="0"/>
            </w:tcBorders>
            <w:vAlign w:val="center"/>
          </w:tcPr>
          <w:p>
            <w:pPr>
              <w:pStyle w:val="77"/>
            </w:pPr>
            <w:r>
              <w:rPr>
                <w:rFonts w:hint="eastAsia"/>
                <w:bCs/>
                <w:snapToGrid w:val="0"/>
                <w:kern w:val="0"/>
                <w:szCs w:val="21"/>
              </w:rPr>
              <w:t>非甲烷总烃</w:t>
            </w:r>
          </w:p>
        </w:tc>
        <w:tc>
          <w:tcPr>
            <w:tcW w:w="1756" w:type="dxa"/>
            <w:tcBorders>
              <w:left w:val="single" w:color="auto" w:sz="6" w:space="0"/>
              <w:bottom w:val="single" w:color="auto" w:sz="6" w:space="0"/>
            </w:tcBorders>
            <w:vAlign w:val="center"/>
          </w:tcPr>
          <w:p>
            <w:pPr>
              <w:pStyle w:val="77"/>
            </w:pPr>
            <w:r>
              <w:t>每季度监测一次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continue"/>
            <w:tcBorders>
              <w:right w:val="single" w:color="auto" w:sz="6" w:space="0"/>
            </w:tcBorders>
            <w:vAlign w:val="center"/>
          </w:tcPr>
          <w:p>
            <w:pPr>
              <w:pStyle w:val="77"/>
            </w:pPr>
          </w:p>
        </w:tc>
        <w:tc>
          <w:tcPr>
            <w:tcW w:w="1860" w:type="dxa"/>
            <w:tcBorders>
              <w:top w:val="single" w:color="auto" w:sz="6" w:space="0"/>
              <w:left w:val="single" w:color="auto" w:sz="6" w:space="0"/>
              <w:bottom w:val="single" w:color="auto" w:sz="6" w:space="0"/>
              <w:right w:val="single" w:color="auto" w:sz="6" w:space="0"/>
            </w:tcBorders>
            <w:vAlign w:val="center"/>
          </w:tcPr>
          <w:p>
            <w:pPr>
              <w:pStyle w:val="77"/>
            </w:pPr>
            <w:r>
              <w:rPr>
                <w:rFonts w:hint="eastAsia"/>
              </w:rPr>
              <w:t>泵、压缩机、阀门、开口阀或开口管线、气体/蒸汽泄漏设备、取样连接系统</w:t>
            </w:r>
          </w:p>
        </w:tc>
        <w:tc>
          <w:tcPr>
            <w:tcW w:w="2676" w:type="dxa"/>
            <w:vMerge w:val="continue"/>
            <w:tcBorders>
              <w:left w:val="single" w:color="auto" w:sz="6" w:space="0"/>
            </w:tcBorders>
            <w:vAlign w:val="center"/>
          </w:tcPr>
          <w:p>
            <w:pPr>
              <w:pStyle w:val="77"/>
              <w:jc w:val="both"/>
            </w:pPr>
          </w:p>
        </w:tc>
        <w:tc>
          <w:tcPr>
            <w:tcW w:w="1957" w:type="dxa"/>
            <w:tcBorders>
              <w:top w:val="single" w:color="auto" w:sz="6" w:space="0"/>
              <w:left w:val="single" w:color="auto" w:sz="6" w:space="0"/>
              <w:bottom w:val="single" w:color="auto" w:sz="6" w:space="0"/>
            </w:tcBorders>
            <w:vAlign w:val="center"/>
          </w:tcPr>
          <w:p>
            <w:pPr>
              <w:pStyle w:val="77"/>
              <w:rPr>
                <w:bCs/>
                <w:snapToGrid w:val="0"/>
                <w:kern w:val="0"/>
                <w:szCs w:val="21"/>
              </w:rPr>
            </w:pPr>
            <w:r>
              <w:rPr>
                <w:rFonts w:hint="eastAsia"/>
                <w:bCs/>
                <w:snapToGrid w:val="0"/>
                <w:kern w:val="0"/>
                <w:szCs w:val="21"/>
              </w:rPr>
              <w:t>非甲烷总烃</w:t>
            </w:r>
          </w:p>
        </w:tc>
        <w:tc>
          <w:tcPr>
            <w:tcW w:w="1756" w:type="dxa"/>
            <w:tcBorders>
              <w:left w:val="single" w:color="auto" w:sz="6" w:space="0"/>
              <w:bottom w:val="single" w:color="auto" w:sz="6" w:space="0"/>
            </w:tcBorders>
            <w:vAlign w:val="center"/>
          </w:tcPr>
          <w:p>
            <w:pPr>
              <w:pStyle w:val="77"/>
            </w:pPr>
            <w:r>
              <w:t>每季度监测一次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continue"/>
            <w:tcBorders>
              <w:bottom w:val="single" w:color="auto" w:sz="6" w:space="0"/>
              <w:right w:val="single" w:color="auto" w:sz="6" w:space="0"/>
            </w:tcBorders>
            <w:vAlign w:val="center"/>
          </w:tcPr>
          <w:p>
            <w:pPr>
              <w:pStyle w:val="77"/>
            </w:pPr>
          </w:p>
        </w:tc>
        <w:tc>
          <w:tcPr>
            <w:tcW w:w="1860" w:type="dxa"/>
            <w:tcBorders>
              <w:top w:val="single" w:color="auto" w:sz="6" w:space="0"/>
              <w:left w:val="single" w:color="auto" w:sz="6" w:space="0"/>
              <w:bottom w:val="single" w:color="auto" w:sz="6" w:space="0"/>
              <w:right w:val="single" w:color="auto" w:sz="6" w:space="0"/>
            </w:tcBorders>
            <w:vAlign w:val="center"/>
          </w:tcPr>
          <w:p>
            <w:pPr>
              <w:pStyle w:val="77"/>
            </w:pPr>
            <w:r>
              <w:rPr>
                <w:rFonts w:hint="eastAsia"/>
              </w:rPr>
              <w:t>法兰及其他连接件、其他密封设备</w:t>
            </w:r>
          </w:p>
        </w:tc>
        <w:tc>
          <w:tcPr>
            <w:tcW w:w="2676" w:type="dxa"/>
            <w:vMerge w:val="continue"/>
            <w:tcBorders>
              <w:left w:val="single" w:color="auto" w:sz="6" w:space="0"/>
              <w:bottom w:val="single" w:color="auto" w:sz="6" w:space="0"/>
            </w:tcBorders>
            <w:vAlign w:val="center"/>
          </w:tcPr>
          <w:p>
            <w:pPr>
              <w:pStyle w:val="77"/>
              <w:jc w:val="both"/>
            </w:pPr>
          </w:p>
        </w:tc>
        <w:tc>
          <w:tcPr>
            <w:tcW w:w="1957" w:type="dxa"/>
            <w:tcBorders>
              <w:top w:val="single" w:color="auto" w:sz="6" w:space="0"/>
              <w:left w:val="single" w:color="auto" w:sz="6" w:space="0"/>
              <w:bottom w:val="single" w:color="auto" w:sz="6" w:space="0"/>
            </w:tcBorders>
            <w:vAlign w:val="center"/>
          </w:tcPr>
          <w:p>
            <w:pPr>
              <w:pStyle w:val="77"/>
              <w:rPr>
                <w:bCs/>
                <w:snapToGrid w:val="0"/>
                <w:kern w:val="0"/>
                <w:szCs w:val="21"/>
              </w:rPr>
            </w:pPr>
            <w:r>
              <w:rPr>
                <w:rFonts w:hint="eastAsia"/>
                <w:bCs/>
                <w:snapToGrid w:val="0"/>
                <w:kern w:val="0"/>
                <w:szCs w:val="21"/>
              </w:rPr>
              <w:t>非甲烷总烃</w:t>
            </w:r>
          </w:p>
        </w:tc>
        <w:tc>
          <w:tcPr>
            <w:tcW w:w="1756" w:type="dxa"/>
            <w:tcBorders>
              <w:left w:val="single" w:color="auto" w:sz="6" w:space="0"/>
              <w:bottom w:val="single" w:color="auto" w:sz="6" w:space="0"/>
            </w:tcBorders>
            <w:vAlign w:val="center"/>
          </w:tcPr>
          <w:p>
            <w:pPr>
              <w:pStyle w:val="77"/>
            </w:pPr>
            <w:r>
              <w:t>每</w:t>
            </w:r>
            <w:r>
              <w:rPr>
                <w:rFonts w:hint="eastAsia"/>
              </w:rPr>
              <w:t>半年</w:t>
            </w:r>
            <w:r>
              <w:t>监测一次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restart"/>
            <w:tcBorders>
              <w:right w:val="single" w:color="auto" w:sz="6" w:space="0"/>
            </w:tcBorders>
            <w:vAlign w:val="center"/>
          </w:tcPr>
          <w:p>
            <w:pPr>
              <w:pStyle w:val="77"/>
            </w:pPr>
            <w:r>
              <w:rPr>
                <w:rFonts w:hint="eastAsia"/>
              </w:rPr>
              <w:t>废水</w:t>
            </w:r>
          </w:p>
        </w:tc>
        <w:tc>
          <w:tcPr>
            <w:tcW w:w="1860" w:type="dxa"/>
            <w:vMerge w:val="restart"/>
            <w:tcBorders>
              <w:top w:val="single" w:color="auto" w:sz="6" w:space="0"/>
              <w:left w:val="single" w:color="auto" w:sz="6" w:space="0"/>
              <w:right w:val="single" w:color="auto" w:sz="6" w:space="0"/>
            </w:tcBorders>
            <w:vAlign w:val="center"/>
          </w:tcPr>
          <w:p>
            <w:pPr>
              <w:pStyle w:val="77"/>
            </w:pPr>
            <w:r>
              <w:rPr>
                <w:rFonts w:hint="eastAsia"/>
              </w:rPr>
              <w:t>厂区废水总排口</w:t>
            </w:r>
          </w:p>
        </w:tc>
        <w:tc>
          <w:tcPr>
            <w:tcW w:w="4633" w:type="dxa"/>
            <w:gridSpan w:val="2"/>
            <w:tcBorders>
              <w:top w:val="single" w:color="auto" w:sz="6" w:space="0"/>
              <w:left w:val="single" w:color="auto" w:sz="6" w:space="0"/>
            </w:tcBorders>
            <w:vAlign w:val="center"/>
          </w:tcPr>
          <w:p>
            <w:pPr>
              <w:pStyle w:val="77"/>
            </w:pPr>
            <w:r>
              <w:rPr>
                <w:rFonts w:hint="eastAsia"/>
              </w:rPr>
              <w:t>流量、COD、NH</w:t>
            </w:r>
            <w:r>
              <w:rPr>
                <w:rFonts w:hint="eastAsia"/>
                <w:vertAlign w:val="subscript"/>
              </w:rPr>
              <w:t>3</w:t>
            </w:r>
            <w:r>
              <w:rPr>
                <w:rFonts w:hint="eastAsia"/>
              </w:rPr>
              <w:t>-N</w:t>
            </w:r>
          </w:p>
        </w:tc>
        <w:tc>
          <w:tcPr>
            <w:tcW w:w="1756" w:type="dxa"/>
            <w:tcBorders>
              <w:left w:val="single" w:color="auto" w:sz="6" w:space="0"/>
              <w:bottom w:val="single" w:color="auto" w:sz="6" w:space="0"/>
            </w:tcBorders>
            <w:vAlign w:val="center"/>
          </w:tcPr>
          <w:p>
            <w:pPr>
              <w:pStyle w:val="77"/>
            </w:pPr>
            <w:r>
              <w:rPr>
                <w:rFonts w:hint="eastAsia"/>
              </w:rPr>
              <w:t>每周一次（自动监测除外）</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continue"/>
            <w:tcBorders>
              <w:right w:val="single" w:color="auto" w:sz="6" w:space="0"/>
            </w:tcBorders>
            <w:vAlign w:val="center"/>
          </w:tcPr>
          <w:p>
            <w:pPr>
              <w:pStyle w:val="77"/>
            </w:pPr>
          </w:p>
        </w:tc>
        <w:tc>
          <w:tcPr>
            <w:tcW w:w="1860" w:type="dxa"/>
            <w:vMerge w:val="continue"/>
            <w:tcBorders>
              <w:left w:val="single" w:color="auto" w:sz="6" w:space="0"/>
              <w:right w:val="single" w:color="auto" w:sz="6" w:space="0"/>
            </w:tcBorders>
            <w:vAlign w:val="center"/>
          </w:tcPr>
          <w:p>
            <w:pPr>
              <w:pStyle w:val="77"/>
            </w:pPr>
          </w:p>
        </w:tc>
        <w:tc>
          <w:tcPr>
            <w:tcW w:w="4633" w:type="dxa"/>
            <w:gridSpan w:val="2"/>
            <w:tcBorders>
              <w:top w:val="single" w:color="auto" w:sz="6" w:space="0"/>
              <w:left w:val="single" w:color="auto" w:sz="6" w:space="0"/>
            </w:tcBorders>
            <w:vAlign w:val="center"/>
          </w:tcPr>
          <w:p>
            <w:pPr>
              <w:pStyle w:val="77"/>
            </w:pPr>
            <w:r>
              <w:rPr>
                <w:rFonts w:hint="eastAsia"/>
              </w:rPr>
              <w:t>pH、SS</w:t>
            </w:r>
          </w:p>
        </w:tc>
        <w:tc>
          <w:tcPr>
            <w:tcW w:w="1756" w:type="dxa"/>
            <w:tcBorders>
              <w:left w:val="single" w:color="auto" w:sz="6" w:space="0"/>
              <w:bottom w:val="single" w:color="auto" w:sz="6" w:space="0"/>
            </w:tcBorders>
            <w:vAlign w:val="center"/>
          </w:tcPr>
          <w:p>
            <w:pPr>
              <w:pStyle w:val="77"/>
            </w:pPr>
            <w:r>
              <w:rPr>
                <w:rFonts w:hint="eastAsia"/>
              </w:rPr>
              <w:t>每月一次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vMerge w:val="continue"/>
            <w:tcBorders>
              <w:right w:val="single" w:color="auto" w:sz="6" w:space="0"/>
            </w:tcBorders>
            <w:vAlign w:val="center"/>
          </w:tcPr>
          <w:p>
            <w:pPr>
              <w:pStyle w:val="77"/>
            </w:pPr>
          </w:p>
        </w:tc>
        <w:tc>
          <w:tcPr>
            <w:tcW w:w="1860" w:type="dxa"/>
            <w:vMerge w:val="continue"/>
            <w:tcBorders>
              <w:left w:val="single" w:color="auto" w:sz="6" w:space="0"/>
              <w:right w:val="single" w:color="auto" w:sz="6" w:space="0"/>
            </w:tcBorders>
            <w:vAlign w:val="center"/>
          </w:tcPr>
          <w:p>
            <w:pPr>
              <w:pStyle w:val="77"/>
            </w:pPr>
          </w:p>
        </w:tc>
        <w:tc>
          <w:tcPr>
            <w:tcW w:w="4633" w:type="dxa"/>
            <w:gridSpan w:val="2"/>
            <w:tcBorders>
              <w:top w:val="single" w:color="auto" w:sz="6" w:space="0"/>
              <w:left w:val="single" w:color="auto" w:sz="6" w:space="0"/>
            </w:tcBorders>
            <w:vAlign w:val="center"/>
          </w:tcPr>
          <w:p>
            <w:pPr>
              <w:pStyle w:val="77"/>
            </w:pPr>
            <w:r>
              <w:rPr>
                <w:rFonts w:hint="eastAsia"/>
              </w:rPr>
              <w:t>BOD</w:t>
            </w:r>
            <w:r>
              <w:rPr>
                <w:rFonts w:hint="eastAsia"/>
                <w:vertAlign w:val="subscript"/>
              </w:rPr>
              <w:t>5</w:t>
            </w:r>
          </w:p>
        </w:tc>
        <w:tc>
          <w:tcPr>
            <w:tcW w:w="1756" w:type="dxa"/>
            <w:tcBorders>
              <w:left w:val="single" w:color="auto" w:sz="6" w:space="0"/>
              <w:bottom w:val="single" w:color="auto" w:sz="6" w:space="0"/>
            </w:tcBorders>
            <w:vAlign w:val="center"/>
          </w:tcPr>
          <w:p>
            <w:pPr>
              <w:pStyle w:val="77"/>
            </w:pPr>
            <w:r>
              <w:rPr>
                <w:rFonts w:hint="eastAsia"/>
              </w:rPr>
              <w:t>每季度一次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765" w:type="dxa"/>
            <w:tcBorders>
              <w:right w:val="single" w:color="auto" w:sz="6" w:space="0"/>
            </w:tcBorders>
            <w:vAlign w:val="center"/>
          </w:tcPr>
          <w:p>
            <w:pPr>
              <w:pStyle w:val="77"/>
            </w:pPr>
            <w:r>
              <w:rPr>
                <w:rFonts w:hint="eastAsia"/>
              </w:rPr>
              <w:t>噪声</w:t>
            </w:r>
          </w:p>
        </w:tc>
        <w:tc>
          <w:tcPr>
            <w:tcW w:w="1860" w:type="dxa"/>
            <w:tcBorders>
              <w:top w:val="single" w:color="auto" w:sz="6" w:space="0"/>
              <w:left w:val="single" w:color="auto" w:sz="6" w:space="0"/>
              <w:right w:val="single" w:color="auto" w:sz="6" w:space="0"/>
            </w:tcBorders>
            <w:vAlign w:val="center"/>
          </w:tcPr>
          <w:p>
            <w:pPr>
              <w:pStyle w:val="77"/>
            </w:pPr>
            <w:r>
              <w:t>厂界四周</w:t>
            </w:r>
          </w:p>
        </w:tc>
        <w:tc>
          <w:tcPr>
            <w:tcW w:w="4633" w:type="dxa"/>
            <w:gridSpan w:val="2"/>
            <w:tcBorders>
              <w:top w:val="single" w:color="auto" w:sz="6" w:space="0"/>
              <w:left w:val="single" w:color="auto" w:sz="6" w:space="0"/>
            </w:tcBorders>
            <w:vAlign w:val="center"/>
          </w:tcPr>
          <w:p>
            <w:pPr>
              <w:pStyle w:val="77"/>
            </w:pPr>
            <w:r>
              <w:t>等效</w:t>
            </w:r>
            <w:r>
              <w:rPr>
                <w:rFonts w:hint="eastAsia"/>
              </w:rPr>
              <w:t>A</w:t>
            </w:r>
            <w:r>
              <w:t>声级</w:t>
            </w:r>
          </w:p>
        </w:tc>
        <w:tc>
          <w:tcPr>
            <w:tcW w:w="1756" w:type="dxa"/>
            <w:tcBorders>
              <w:left w:val="single" w:color="auto" w:sz="6" w:space="0"/>
            </w:tcBorders>
            <w:vAlign w:val="center"/>
          </w:tcPr>
          <w:p>
            <w:pPr>
              <w:pStyle w:val="77"/>
            </w:pPr>
            <w:r>
              <w:rPr>
                <w:rFonts w:hint="eastAsia"/>
              </w:rPr>
              <w:t>每季度至少开展一次昼夜监测</w:t>
            </w:r>
          </w:p>
        </w:tc>
      </w:tr>
    </w:tbl>
    <w:p>
      <w:pPr>
        <w:spacing w:line="260" w:lineRule="exact"/>
        <w:ind w:firstLine="360"/>
        <w:rPr>
          <w:sz w:val="18"/>
          <w:szCs w:val="18"/>
        </w:rPr>
      </w:pPr>
      <w:r>
        <w:rPr>
          <w:sz w:val="18"/>
          <w:szCs w:val="18"/>
        </w:rPr>
        <w:t xml:space="preserve">注：* </w:t>
      </w:r>
      <w:r>
        <w:rPr>
          <w:rFonts w:hint="eastAsia"/>
          <w:sz w:val="18"/>
          <w:szCs w:val="18"/>
        </w:rPr>
        <w:t>待国家污染物监测方法标准发布后实施。</w:t>
      </w:r>
    </w:p>
    <w:p>
      <w:pPr>
        <w:pStyle w:val="6"/>
      </w:pPr>
      <w:r>
        <w:t>验收监测计划</w:t>
      </w:r>
    </w:p>
    <w:p>
      <w:pPr>
        <w:pStyle w:val="14"/>
        <w:snapToGrid w:val="0"/>
      </w:pPr>
      <w:r>
        <w:t>本项目验收监测计划详见</w:t>
      </w:r>
      <w:r>
        <w:rPr>
          <w:rFonts w:hint="eastAsia"/>
        </w:rPr>
        <w:t>表10.3-3</w:t>
      </w:r>
      <w:r>
        <w:t>。</w:t>
      </w:r>
    </w:p>
    <w:p>
      <w:pPr>
        <w:pStyle w:val="76"/>
        <w:ind w:firstLine="482"/>
        <w:rPr>
          <w:rFonts w:cs="Times New Roman"/>
        </w:rPr>
      </w:pPr>
      <w:r>
        <w:rPr>
          <w:rFonts w:hint="eastAsia"/>
        </w:rPr>
        <w:t>表10.3-3</w:t>
      </w:r>
      <w:r>
        <w:rPr>
          <w:rFonts w:cs="Times New Roman"/>
        </w:rPr>
        <w:t xml:space="preserve">  </w:t>
      </w:r>
      <w:r>
        <w:rPr>
          <w:rFonts w:hint="eastAsia" w:cs="Times New Roman"/>
        </w:rPr>
        <w:t xml:space="preserve">                 </w:t>
      </w:r>
      <w:r>
        <w:rPr>
          <w:rFonts w:cs="Times New Roman"/>
        </w:rPr>
        <w:t xml:space="preserve"> 本项目验收监测计划</w:t>
      </w:r>
    </w:p>
    <w:tbl>
      <w:tblPr>
        <w:tblStyle w:val="21"/>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01"/>
        <w:gridCol w:w="1534"/>
        <w:gridCol w:w="2148"/>
        <w:gridCol w:w="824"/>
        <w:gridCol w:w="751"/>
        <w:gridCol w:w="299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4" w:hRule="atLeast"/>
          <w:tblHeader/>
          <w:jc w:val="center"/>
        </w:trPr>
        <w:tc>
          <w:tcPr>
            <w:tcW w:w="1248" w:type="pct"/>
            <w:gridSpan w:val="2"/>
            <w:vMerge w:val="restart"/>
            <w:tcBorders>
              <w:right w:val="single" w:color="auto" w:sz="6" w:space="0"/>
            </w:tcBorders>
            <w:vAlign w:val="center"/>
          </w:tcPr>
          <w:p>
            <w:pPr>
              <w:pStyle w:val="14"/>
              <w:snapToGrid w:val="0"/>
              <w:spacing w:line="260" w:lineRule="exact"/>
              <w:ind w:firstLine="0" w:firstLineChars="0"/>
              <w:jc w:val="center"/>
              <w:rPr>
                <w:b/>
                <w:bCs/>
                <w:sz w:val="21"/>
              </w:rPr>
            </w:pPr>
            <w:r>
              <w:rPr>
                <w:b/>
                <w:bCs/>
                <w:sz w:val="21"/>
              </w:rPr>
              <w:t>项目</w:t>
            </w:r>
          </w:p>
        </w:tc>
        <w:tc>
          <w:tcPr>
            <w:tcW w:w="1199" w:type="pct"/>
            <w:vMerge w:val="restart"/>
            <w:tcBorders>
              <w:left w:val="single" w:color="auto" w:sz="6" w:space="0"/>
              <w:right w:val="single" w:color="auto" w:sz="6" w:space="0"/>
            </w:tcBorders>
            <w:vAlign w:val="center"/>
          </w:tcPr>
          <w:p>
            <w:pPr>
              <w:pStyle w:val="14"/>
              <w:snapToGrid w:val="0"/>
              <w:spacing w:line="260" w:lineRule="exact"/>
              <w:ind w:firstLine="0" w:firstLineChars="0"/>
              <w:jc w:val="center"/>
              <w:rPr>
                <w:b/>
                <w:bCs/>
                <w:sz w:val="21"/>
              </w:rPr>
            </w:pPr>
            <w:r>
              <w:rPr>
                <w:b/>
                <w:bCs/>
                <w:sz w:val="21"/>
              </w:rPr>
              <w:t>处理设施</w:t>
            </w:r>
          </w:p>
        </w:tc>
        <w:tc>
          <w:tcPr>
            <w:tcW w:w="879" w:type="pct"/>
            <w:gridSpan w:val="2"/>
            <w:tcBorders>
              <w:left w:val="single" w:color="auto" w:sz="6" w:space="0"/>
              <w:right w:val="single" w:color="auto" w:sz="6" w:space="0"/>
            </w:tcBorders>
            <w:vAlign w:val="center"/>
          </w:tcPr>
          <w:p>
            <w:pPr>
              <w:pStyle w:val="14"/>
              <w:snapToGrid w:val="0"/>
              <w:spacing w:line="260" w:lineRule="exact"/>
              <w:ind w:firstLine="0" w:firstLineChars="0"/>
              <w:jc w:val="center"/>
              <w:rPr>
                <w:b/>
                <w:bCs/>
                <w:sz w:val="21"/>
              </w:rPr>
            </w:pPr>
            <w:r>
              <w:rPr>
                <w:b/>
                <w:bCs/>
                <w:sz w:val="21"/>
              </w:rPr>
              <w:t>排气筒</w:t>
            </w:r>
            <w:r>
              <w:rPr>
                <w:rFonts w:hint="eastAsia"/>
                <w:b/>
                <w:bCs/>
                <w:sz w:val="21"/>
              </w:rPr>
              <w:t>（</w:t>
            </w:r>
            <w:r>
              <w:rPr>
                <w:b/>
                <w:bCs/>
                <w:sz w:val="21"/>
              </w:rPr>
              <w:t>m</w:t>
            </w:r>
            <w:r>
              <w:rPr>
                <w:rFonts w:hint="eastAsia"/>
                <w:b/>
                <w:bCs/>
                <w:sz w:val="21"/>
              </w:rPr>
              <w:t>）</w:t>
            </w:r>
          </w:p>
        </w:tc>
        <w:tc>
          <w:tcPr>
            <w:tcW w:w="1672" w:type="pct"/>
            <w:vMerge w:val="restart"/>
            <w:tcBorders>
              <w:left w:val="single" w:color="auto" w:sz="6" w:space="0"/>
            </w:tcBorders>
            <w:vAlign w:val="center"/>
          </w:tcPr>
          <w:p>
            <w:pPr>
              <w:pStyle w:val="14"/>
              <w:snapToGrid w:val="0"/>
              <w:spacing w:line="260" w:lineRule="exact"/>
              <w:ind w:firstLine="0" w:firstLineChars="0"/>
              <w:jc w:val="center"/>
              <w:rPr>
                <w:b/>
                <w:bCs/>
                <w:sz w:val="21"/>
              </w:rPr>
            </w:pPr>
            <w:r>
              <w:rPr>
                <w:b/>
                <w:bCs/>
                <w:sz w:val="21"/>
              </w:rPr>
              <w:t>监测项目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4" w:hRule="atLeast"/>
          <w:tblHeader/>
          <w:jc w:val="center"/>
        </w:trPr>
        <w:tc>
          <w:tcPr>
            <w:tcW w:w="1248" w:type="pct"/>
            <w:gridSpan w:val="2"/>
            <w:vMerge w:val="continue"/>
            <w:tcBorders>
              <w:bottom w:val="single" w:color="auto" w:sz="6" w:space="0"/>
              <w:right w:val="single" w:color="auto" w:sz="6" w:space="0"/>
            </w:tcBorders>
            <w:vAlign w:val="center"/>
          </w:tcPr>
          <w:p>
            <w:pPr>
              <w:pStyle w:val="14"/>
              <w:snapToGrid w:val="0"/>
              <w:spacing w:line="260" w:lineRule="exact"/>
              <w:ind w:firstLine="0" w:firstLineChars="0"/>
              <w:jc w:val="center"/>
            </w:pPr>
          </w:p>
        </w:tc>
        <w:tc>
          <w:tcPr>
            <w:tcW w:w="1199" w:type="pct"/>
            <w:vMerge w:val="continue"/>
            <w:tcBorders>
              <w:left w:val="single" w:color="auto" w:sz="6" w:space="0"/>
              <w:bottom w:val="single" w:color="auto" w:sz="6" w:space="0"/>
              <w:right w:val="single" w:color="auto" w:sz="6" w:space="0"/>
            </w:tcBorders>
            <w:vAlign w:val="center"/>
          </w:tcPr>
          <w:p>
            <w:pPr>
              <w:pStyle w:val="14"/>
              <w:snapToGrid w:val="0"/>
              <w:spacing w:line="260" w:lineRule="exact"/>
              <w:ind w:firstLine="0" w:firstLineChars="0"/>
              <w:jc w:val="center"/>
              <w:rPr>
                <w:b/>
                <w:bCs/>
                <w:sz w:val="21"/>
              </w:rPr>
            </w:pPr>
          </w:p>
        </w:tc>
        <w:tc>
          <w:tcPr>
            <w:tcW w:w="460" w:type="pct"/>
            <w:tcBorders>
              <w:left w:val="single" w:color="auto" w:sz="6" w:space="0"/>
              <w:bottom w:val="single" w:color="auto" w:sz="6" w:space="0"/>
              <w:right w:val="single" w:color="auto" w:sz="6" w:space="0"/>
            </w:tcBorders>
            <w:vAlign w:val="center"/>
          </w:tcPr>
          <w:p>
            <w:pPr>
              <w:pStyle w:val="14"/>
              <w:snapToGrid w:val="0"/>
              <w:spacing w:line="260" w:lineRule="exact"/>
              <w:ind w:firstLine="0" w:firstLineChars="0"/>
              <w:jc w:val="center"/>
              <w:rPr>
                <w:b/>
                <w:bCs/>
              </w:rPr>
            </w:pPr>
            <w:r>
              <w:rPr>
                <w:b/>
                <w:bCs/>
                <w:sz w:val="21"/>
              </w:rPr>
              <w:t>高度</w:t>
            </w:r>
          </w:p>
        </w:tc>
        <w:tc>
          <w:tcPr>
            <w:tcW w:w="418" w:type="pct"/>
            <w:tcBorders>
              <w:left w:val="single" w:color="auto" w:sz="6" w:space="0"/>
              <w:bottom w:val="single" w:color="auto" w:sz="6" w:space="0"/>
              <w:right w:val="single" w:color="auto" w:sz="6" w:space="0"/>
            </w:tcBorders>
            <w:vAlign w:val="center"/>
          </w:tcPr>
          <w:p>
            <w:pPr>
              <w:pStyle w:val="14"/>
              <w:snapToGrid w:val="0"/>
              <w:spacing w:line="260" w:lineRule="exact"/>
              <w:ind w:firstLine="0" w:firstLineChars="0"/>
              <w:jc w:val="center"/>
              <w:rPr>
                <w:b/>
                <w:bCs/>
                <w:sz w:val="21"/>
              </w:rPr>
            </w:pPr>
            <w:r>
              <w:rPr>
                <w:rFonts w:hint="eastAsia"/>
                <w:b/>
                <w:bCs/>
                <w:sz w:val="21"/>
              </w:rPr>
              <w:t>内径</w:t>
            </w:r>
          </w:p>
        </w:tc>
        <w:tc>
          <w:tcPr>
            <w:tcW w:w="1672" w:type="pct"/>
            <w:vMerge w:val="continue"/>
            <w:tcBorders>
              <w:left w:val="single" w:color="auto" w:sz="6" w:space="0"/>
              <w:bottom w:val="single" w:color="auto" w:sz="6" w:space="0"/>
            </w:tcBorders>
            <w:vAlign w:val="center"/>
          </w:tcPr>
          <w:p>
            <w:pPr>
              <w:pStyle w:val="14"/>
              <w:snapToGrid w:val="0"/>
              <w:spacing w:line="260" w:lineRule="exact"/>
              <w:ind w:firstLine="0" w:firstLineChars="0"/>
              <w:jc w:val="center"/>
              <w:rPr>
                <w:b/>
                <w:bCs/>
                <w:sz w:val="21"/>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04" w:hRule="atLeast"/>
          <w:jc w:val="center"/>
        </w:trPr>
        <w:tc>
          <w:tcPr>
            <w:tcW w:w="392" w:type="pct"/>
            <w:tcBorders>
              <w:top w:val="single" w:color="auto" w:sz="6" w:space="0"/>
              <w:right w:val="single" w:color="auto" w:sz="6" w:space="0"/>
            </w:tcBorders>
            <w:vAlign w:val="center"/>
          </w:tcPr>
          <w:p>
            <w:pPr>
              <w:pStyle w:val="14"/>
              <w:snapToGrid w:val="0"/>
              <w:spacing w:line="260" w:lineRule="exact"/>
              <w:ind w:firstLine="0" w:firstLineChars="0"/>
              <w:jc w:val="center"/>
              <w:rPr>
                <w:sz w:val="21"/>
              </w:rPr>
            </w:pPr>
            <w:r>
              <w:rPr>
                <w:rFonts w:hint="eastAsia"/>
                <w:sz w:val="21"/>
              </w:rPr>
              <w:t>废气有组织</w:t>
            </w:r>
          </w:p>
        </w:tc>
        <w:tc>
          <w:tcPr>
            <w:tcW w:w="856" w:type="pct"/>
            <w:tcBorders>
              <w:top w:val="single" w:color="auto" w:sz="6" w:space="0"/>
              <w:left w:val="single" w:color="auto" w:sz="6" w:space="0"/>
              <w:right w:val="single" w:color="auto" w:sz="6" w:space="0"/>
            </w:tcBorders>
            <w:vAlign w:val="center"/>
          </w:tcPr>
          <w:p>
            <w:pPr>
              <w:pStyle w:val="77"/>
            </w:pPr>
            <w:r>
              <w:rPr>
                <w:rFonts w:hint="eastAsia"/>
              </w:rPr>
              <w:t>G3真空泵尾气</w:t>
            </w:r>
          </w:p>
        </w:tc>
        <w:tc>
          <w:tcPr>
            <w:tcW w:w="1199" w:type="pct"/>
            <w:tcBorders>
              <w:top w:val="single" w:color="auto" w:sz="6" w:space="0"/>
              <w:left w:val="single" w:color="auto" w:sz="6" w:space="0"/>
              <w:right w:val="single" w:color="auto" w:sz="6" w:space="0"/>
            </w:tcBorders>
            <w:vAlign w:val="center"/>
          </w:tcPr>
          <w:p>
            <w:pPr>
              <w:pStyle w:val="77"/>
              <w:jc w:val="both"/>
            </w:pPr>
            <w:r>
              <w:rPr>
                <w:rFonts w:hint="eastAsia"/>
              </w:rPr>
              <w:t>尾气吸收塔+活性炭吸附罐</w:t>
            </w:r>
          </w:p>
        </w:tc>
        <w:tc>
          <w:tcPr>
            <w:tcW w:w="460" w:type="pct"/>
            <w:tcBorders>
              <w:top w:val="single" w:color="auto" w:sz="6" w:space="0"/>
              <w:left w:val="single" w:color="auto" w:sz="6" w:space="0"/>
              <w:right w:val="single" w:color="auto" w:sz="4" w:space="0"/>
            </w:tcBorders>
            <w:vAlign w:val="center"/>
          </w:tcPr>
          <w:p>
            <w:pPr>
              <w:pStyle w:val="14"/>
              <w:snapToGrid w:val="0"/>
              <w:spacing w:line="260" w:lineRule="exact"/>
              <w:ind w:firstLine="0" w:firstLineChars="0"/>
              <w:jc w:val="center"/>
              <w:rPr>
                <w:sz w:val="21"/>
              </w:rPr>
            </w:pPr>
            <w:r>
              <w:rPr>
                <w:rFonts w:hint="eastAsia"/>
                <w:sz w:val="21"/>
              </w:rPr>
              <w:t>15</w:t>
            </w:r>
          </w:p>
        </w:tc>
        <w:tc>
          <w:tcPr>
            <w:tcW w:w="418" w:type="pct"/>
            <w:tcBorders>
              <w:top w:val="single" w:color="auto" w:sz="6" w:space="0"/>
              <w:left w:val="single" w:color="auto" w:sz="4" w:space="0"/>
              <w:right w:val="single" w:color="auto" w:sz="6" w:space="0"/>
            </w:tcBorders>
            <w:vAlign w:val="center"/>
          </w:tcPr>
          <w:p>
            <w:pPr>
              <w:pStyle w:val="14"/>
              <w:snapToGrid w:val="0"/>
              <w:spacing w:line="260" w:lineRule="exact"/>
              <w:ind w:firstLine="0" w:firstLineChars="0"/>
              <w:jc w:val="center"/>
              <w:rPr>
                <w:sz w:val="21"/>
              </w:rPr>
            </w:pPr>
            <w:r>
              <w:rPr>
                <w:sz w:val="21"/>
              </w:rPr>
              <w:t>0.</w:t>
            </w:r>
            <w:r>
              <w:rPr>
                <w:rFonts w:hint="eastAsia"/>
                <w:sz w:val="21"/>
              </w:rPr>
              <w:t>4</w:t>
            </w:r>
          </w:p>
        </w:tc>
        <w:tc>
          <w:tcPr>
            <w:tcW w:w="1672" w:type="pct"/>
            <w:tcBorders>
              <w:top w:val="single" w:color="auto" w:sz="6" w:space="0"/>
              <w:left w:val="single" w:color="auto" w:sz="6" w:space="0"/>
              <w:bottom w:val="single" w:color="auto" w:sz="4" w:space="0"/>
            </w:tcBorders>
            <w:vAlign w:val="center"/>
          </w:tcPr>
          <w:p>
            <w:pPr>
              <w:pStyle w:val="14"/>
              <w:snapToGrid w:val="0"/>
              <w:spacing w:line="260" w:lineRule="exact"/>
              <w:ind w:firstLine="0" w:firstLineChars="0"/>
              <w:jc w:val="left"/>
              <w:rPr>
                <w:spacing w:val="-6"/>
                <w:sz w:val="21"/>
              </w:rPr>
            </w:pPr>
            <w:r>
              <w:rPr>
                <w:spacing w:val="-6"/>
                <w:sz w:val="21"/>
              </w:rPr>
              <w:t>监测因子：</w:t>
            </w:r>
            <w:r>
              <w:rPr>
                <w:rFonts w:hint="eastAsia"/>
                <w:bCs/>
                <w:snapToGrid w:val="0"/>
                <w:kern w:val="0"/>
                <w:sz w:val="21"/>
                <w:szCs w:val="21"/>
              </w:rPr>
              <w:t>非甲烷总烃、乙二醇</w:t>
            </w:r>
            <w:r>
              <w:rPr>
                <w:sz w:val="18"/>
                <w:szCs w:val="18"/>
              </w:rPr>
              <w:t>*</w:t>
            </w:r>
            <w:r>
              <w:rPr>
                <w:rFonts w:hint="eastAsia"/>
                <w:spacing w:val="-6"/>
                <w:sz w:val="21"/>
              </w:rPr>
              <w:t>；</w:t>
            </w:r>
          </w:p>
          <w:p>
            <w:pPr>
              <w:pStyle w:val="14"/>
              <w:snapToGrid w:val="0"/>
              <w:spacing w:line="260" w:lineRule="exact"/>
              <w:ind w:firstLine="0" w:firstLineChars="0"/>
              <w:jc w:val="left"/>
              <w:rPr>
                <w:sz w:val="21"/>
              </w:rPr>
            </w:pPr>
            <w:r>
              <w:rPr>
                <w:sz w:val="21"/>
              </w:rPr>
              <w:t>监测项目：治理</w:t>
            </w:r>
            <w:r>
              <w:rPr>
                <w:rFonts w:hint="eastAsia"/>
                <w:sz w:val="21"/>
              </w:rPr>
              <w:t>设施</w:t>
            </w:r>
            <w:r>
              <w:rPr>
                <w:sz w:val="21"/>
              </w:rPr>
              <w:t>进出口浓度、废气量、温度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2" w:type="pct"/>
            <w:tcBorders>
              <w:bottom w:val="single" w:color="auto" w:sz="6" w:space="0"/>
              <w:right w:val="single" w:color="auto" w:sz="6" w:space="0"/>
            </w:tcBorders>
            <w:vAlign w:val="center"/>
          </w:tcPr>
          <w:p>
            <w:pPr>
              <w:pStyle w:val="14"/>
              <w:snapToGrid w:val="0"/>
              <w:spacing w:line="260" w:lineRule="exact"/>
              <w:ind w:firstLine="0" w:firstLineChars="0"/>
              <w:jc w:val="center"/>
              <w:rPr>
                <w:sz w:val="21"/>
              </w:rPr>
            </w:pPr>
            <w:r>
              <w:rPr>
                <w:rFonts w:hint="eastAsia"/>
                <w:sz w:val="21"/>
              </w:rPr>
              <w:t>废气无组织</w:t>
            </w:r>
          </w:p>
        </w:tc>
        <w:tc>
          <w:tcPr>
            <w:tcW w:w="856" w:type="pct"/>
            <w:tcBorders>
              <w:top w:val="single" w:color="auto" w:sz="6" w:space="0"/>
              <w:left w:val="single" w:color="auto" w:sz="6" w:space="0"/>
              <w:bottom w:val="single" w:color="auto" w:sz="6" w:space="0"/>
            </w:tcBorders>
            <w:vAlign w:val="center"/>
          </w:tcPr>
          <w:p>
            <w:pPr>
              <w:pStyle w:val="14"/>
              <w:snapToGrid w:val="0"/>
              <w:spacing w:line="260" w:lineRule="exact"/>
              <w:ind w:firstLine="0" w:firstLineChars="0"/>
              <w:rPr>
                <w:sz w:val="21"/>
              </w:rPr>
            </w:pPr>
            <w:r>
              <w:rPr>
                <w:rFonts w:hint="eastAsia"/>
                <w:sz w:val="21"/>
              </w:rPr>
              <w:t>厂界四周</w:t>
            </w:r>
          </w:p>
        </w:tc>
        <w:tc>
          <w:tcPr>
            <w:tcW w:w="1199" w:type="pct"/>
            <w:tcBorders>
              <w:top w:val="single" w:color="auto" w:sz="6" w:space="0"/>
              <w:left w:val="single" w:color="auto" w:sz="4" w:space="0"/>
              <w:bottom w:val="single" w:color="auto" w:sz="6" w:space="0"/>
            </w:tcBorders>
            <w:vAlign w:val="center"/>
          </w:tcPr>
          <w:p>
            <w:pPr>
              <w:pStyle w:val="14"/>
              <w:snapToGrid w:val="0"/>
              <w:spacing w:line="260" w:lineRule="exact"/>
              <w:ind w:firstLine="0" w:firstLineChars="0"/>
              <w:rPr>
                <w:sz w:val="21"/>
              </w:rPr>
            </w:pPr>
            <w:r>
              <w:rPr>
                <w:rFonts w:hint="eastAsia"/>
                <w:sz w:val="21"/>
              </w:rPr>
              <w:t>选用先进设备、定期检修、加强管理等</w:t>
            </w:r>
          </w:p>
        </w:tc>
        <w:tc>
          <w:tcPr>
            <w:tcW w:w="2551" w:type="pct"/>
            <w:gridSpan w:val="3"/>
            <w:tcBorders>
              <w:top w:val="single" w:color="auto" w:sz="6" w:space="0"/>
              <w:left w:val="single" w:color="auto" w:sz="6" w:space="0"/>
              <w:bottom w:val="single" w:color="auto" w:sz="6" w:space="0"/>
            </w:tcBorders>
            <w:vAlign w:val="center"/>
          </w:tcPr>
          <w:p>
            <w:pPr>
              <w:pStyle w:val="14"/>
              <w:snapToGrid w:val="0"/>
              <w:spacing w:line="260" w:lineRule="exact"/>
              <w:ind w:firstLine="0" w:firstLineChars="0"/>
              <w:rPr>
                <w:sz w:val="21"/>
              </w:rPr>
            </w:pPr>
            <w:r>
              <w:rPr>
                <w:sz w:val="21"/>
              </w:rPr>
              <w:t>监测因子：</w:t>
            </w:r>
            <w:r>
              <w:rPr>
                <w:rFonts w:hint="eastAsia"/>
                <w:bCs/>
                <w:snapToGrid w:val="0"/>
                <w:kern w:val="0"/>
                <w:sz w:val="21"/>
                <w:szCs w:val="21"/>
              </w:rPr>
              <w:t>非甲烷总烃、乙二醇</w:t>
            </w:r>
            <w:r>
              <w:rPr>
                <w:sz w:val="18"/>
                <w:szCs w:val="18"/>
              </w:rPr>
              <w:t>*</w:t>
            </w:r>
            <w:r>
              <w:rPr>
                <w:rFonts w:hint="eastAsia"/>
                <w:sz w:val="21"/>
              </w:rPr>
              <w:t>；</w:t>
            </w:r>
          </w:p>
          <w:p>
            <w:pPr>
              <w:pStyle w:val="14"/>
              <w:snapToGrid w:val="0"/>
              <w:spacing w:line="260" w:lineRule="exact"/>
              <w:ind w:firstLine="0" w:firstLineChars="0"/>
              <w:rPr>
                <w:sz w:val="21"/>
              </w:rPr>
            </w:pPr>
            <w:r>
              <w:rPr>
                <w:rFonts w:hint="eastAsia"/>
                <w:sz w:val="21"/>
              </w:rPr>
              <w:t>监测项目：厂界监控浓度最大值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34" w:hRule="atLeast"/>
          <w:jc w:val="center"/>
        </w:trPr>
        <w:tc>
          <w:tcPr>
            <w:tcW w:w="392" w:type="pct"/>
            <w:tcBorders>
              <w:right w:val="single" w:color="auto" w:sz="6" w:space="0"/>
            </w:tcBorders>
            <w:vAlign w:val="center"/>
          </w:tcPr>
          <w:p>
            <w:pPr>
              <w:pStyle w:val="14"/>
              <w:snapToGrid w:val="0"/>
              <w:spacing w:line="260" w:lineRule="exact"/>
              <w:ind w:firstLine="0" w:firstLineChars="0"/>
              <w:jc w:val="center"/>
              <w:rPr>
                <w:sz w:val="21"/>
              </w:rPr>
            </w:pPr>
            <w:r>
              <w:rPr>
                <w:rFonts w:hint="eastAsia"/>
                <w:sz w:val="21"/>
              </w:rPr>
              <w:t>废水</w:t>
            </w:r>
          </w:p>
        </w:tc>
        <w:tc>
          <w:tcPr>
            <w:tcW w:w="856" w:type="pct"/>
            <w:tcBorders>
              <w:top w:val="single" w:color="auto" w:sz="6" w:space="0"/>
              <w:left w:val="single" w:color="auto" w:sz="6" w:space="0"/>
            </w:tcBorders>
            <w:vAlign w:val="center"/>
          </w:tcPr>
          <w:p>
            <w:pPr>
              <w:pStyle w:val="14"/>
              <w:snapToGrid w:val="0"/>
              <w:spacing w:line="260" w:lineRule="exact"/>
              <w:ind w:firstLine="0" w:firstLineChars="0"/>
              <w:rPr>
                <w:sz w:val="21"/>
              </w:rPr>
            </w:pPr>
            <w:r>
              <w:rPr>
                <w:rFonts w:hint="eastAsia"/>
                <w:sz w:val="21"/>
              </w:rPr>
              <w:t>厂区废水总排口</w:t>
            </w:r>
          </w:p>
        </w:tc>
        <w:tc>
          <w:tcPr>
            <w:tcW w:w="1199" w:type="pct"/>
            <w:tcBorders>
              <w:top w:val="single" w:color="auto" w:sz="6" w:space="0"/>
              <w:left w:val="single" w:color="auto" w:sz="4" w:space="0"/>
            </w:tcBorders>
            <w:vAlign w:val="center"/>
          </w:tcPr>
          <w:p>
            <w:pPr>
              <w:pStyle w:val="14"/>
              <w:snapToGrid w:val="0"/>
              <w:spacing w:line="260" w:lineRule="exact"/>
              <w:ind w:firstLine="0" w:firstLineChars="0"/>
              <w:jc w:val="center"/>
              <w:rPr>
                <w:sz w:val="21"/>
              </w:rPr>
            </w:pPr>
            <w:r>
              <w:rPr>
                <w:rFonts w:hint="eastAsia"/>
                <w:sz w:val="21"/>
              </w:rPr>
              <w:t>/</w:t>
            </w:r>
          </w:p>
        </w:tc>
        <w:tc>
          <w:tcPr>
            <w:tcW w:w="2551" w:type="pct"/>
            <w:gridSpan w:val="3"/>
            <w:tcBorders>
              <w:top w:val="single" w:color="auto" w:sz="6" w:space="0"/>
              <w:left w:val="single" w:color="auto" w:sz="6" w:space="0"/>
            </w:tcBorders>
            <w:vAlign w:val="center"/>
          </w:tcPr>
          <w:p>
            <w:pPr>
              <w:pStyle w:val="14"/>
              <w:snapToGrid w:val="0"/>
              <w:spacing w:line="260" w:lineRule="exact"/>
              <w:ind w:firstLine="0" w:firstLineChars="0"/>
              <w:rPr>
                <w:sz w:val="21"/>
              </w:rPr>
            </w:pPr>
            <w:r>
              <w:rPr>
                <w:sz w:val="21"/>
              </w:rPr>
              <w:t>监测因子：</w:t>
            </w:r>
            <w:r>
              <w:rPr>
                <w:rFonts w:hint="eastAsia"/>
                <w:sz w:val="21"/>
              </w:rPr>
              <w:t>流量、pH、COD、NH</w:t>
            </w:r>
            <w:r>
              <w:rPr>
                <w:rFonts w:hint="eastAsia"/>
                <w:sz w:val="21"/>
                <w:vertAlign w:val="subscript"/>
              </w:rPr>
              <w:t>3</w:t>
            </w:r>
            <w:r>
              <w:rPr>
                <w:rFonts w:hint="eastAsia"/>
                <w:sz w:val="21"/>
              </w:rPr>
              <w:t>-N、SS；</w:t>
            </w:r>
          </w:p>
          <w:p>
            <w:pPr>
              <w:pStyle w:val="14"/>
              <w:snapToGrid w:val="0"/>
              <w:spacing w:line="260" w:lineRule="exact"/>
              <w:ind w:firstLine="0" w:firstLineChars="0"/>
              <w:rPr>
                <w:sz w:val="21"/>
              </w:rPr>
            </w:pPr>
            <w:r>
              <w:rPr>
                <w:sz w:val="21"/>
              </w:rPr>
              <w:t>监测项目：</w:t>
            </w:r>
            <w:r>
              <w:rPr>
                <w:rFonts w:hint="eastAsia"/>
                <w:sz w:val="21"/>
              </w:rPr>
              <w:t>进</w:t>
            </w:r>
            <w:r>
              <w:rPr>
                <w:sz w:val="21"/>
              </w:rPr>
              <w:t>出口浓度、流量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392" w:type="pct"/>
            <w:tcBorders>
              <w:right w:val="single" w:color="auto" w:sz="6" w:space="0"/>
            </w:tcBorders>
            <w:vAlign w:val="center"/>
          </w:tcPr>
          <w:p>
            <w:pPr>
              <w:pStyle w:val="14"/>
              <w:snapToGrid w:val="0"/>
              <w:spacing w:line="260" w:lineRule="exact"/>
              <w:ind w:firstLine="0" w:firstLineChars="0"/>
              <w:jc w:val="center"/>
              <w:rPr>
                <w:sz w:val="21"/>
              </w:rPr>
            </w:pPr>
            <w:r>
              <w:rPr>
                <w:rFonts w:hint="eastAsia"/>
                <w:sz w:val="21"/>
              </w:rPr>
              <w:t>噪声</w:t>
            </w:r>
          </w:p>
        </w:tc>
        <w:tc>
          <w:tcPr>
            <w:tcW w:w="856" w:type="pct"/>
            <w:tcBorders>
              <w:top w:val="single" w:color="auto" w:sz="6" w:space="0"/>
              <w:left w:val="single" w:color="auto" w:sz="6" w:space="0"/>
            </w:tcBorders>
            <w:vAlign w:val="center"/>
          </w:tcPr>
          <w:p>
            <w:pPr>
              <w:pStyle w:val="14"/>
              <w:snapToGrid w:val="0"/>
              <w:spacing w:line="260" w:lineRule="exact"/>
              <w:ind w:firstLine="0" w:firstLineChars="0"/>
              <w:jc w:val="left"/>
              <w:rPr>
                <w:sz w:val="21"/>
              </w:rPr>
            </w:pPr>
            <w:r>
              <w:rPr>
                <w:sz w:val="21"/>
              </w:rPr>
              <w:t>厂界四周</w:t>
            </w:r>
          </w:p>
        </w:tc>
        <w:tc>
          <w:tcPr>
            <w:tcW w:w="1199" w:type="pct"/>
            <w:tcBorders>
              <w:top w:val="single" w:color="auto" w:sz="6" w:space="0"/>
              <w:left w:val="single" w:color="auto" w:sz="4" w:space="0"/>
            </w:tcBorders>
            <w:vAlign w:val="center"/>
          </w:tcPr>
          <w:p>
            <w:pPr>
              <w:pStyle w:val="14"/>
              <w:snapToGrid w:val="0"/>
              <w:spacing w:line="260" w:lineRule="exact"/>
              <w:ind w:firstLine="0" w:firstLineChars="0"/>
              <w:jc w:val="left"/>
              <w:rPr>
                <w:sz w:val="21"/>
              </w:rPr>
            </w:pPr>
            <w:r>
              <w:rPr>
                <w:rFonts w:hint="eastAsia"/>
                <w:sz w:val="21"/>
              </w:rPr>
              <w:t>减振、消声、距离衰减等</w:t>
            </w:r>
          </w:p>
        </w:tc>
        <w:tc>
          <w:tcPr>
            <w:tcW w:w="2551" w:type="pct"/>
            <w:gridSpan w:val="3"/>
            <w:tcBorders>
              <w:top w:val="single" w:color="auto" w:sz="6" w:space="0"/>
              <w:left w:val="single" w:color="auto" w:sz="6" w:space="0"/>
            </w:tcBorders>
            <w:vAlign w:val="center"/>
          </w:tcPr>
          <w:p>
            <w:pPr>
              <w:pStyle w:val="14"/>
              <w:snapToGrid w:val="0"/>
              <w:spacing w:line="260" w:lineRule="exact"/>
              <w:ind w:firstLine="0" w:firstLineChars="0"/>
              <w:jc w:val="left"/>
              <w:rPr>
                <w:sz w:val="21"/>
              </w:rPr>
            </w:pPr>
            <w:r>
              <w:rPr>
                <w:sz w:val="21"/>
              </w:rPr>
              <w:t>厂界四周Leq</w:t>
            </w:r>
            <w:r>
              <w:rPr>
                <w:rFonts w:hint="eastAsia"/>
                <w:sz w:val="21"/>
              </w:rPr>
              <w:t>(A)</w:t>
            </w:r>
          </w:p>
        </w:tc>
      </w:tr>
    </w:tbl>
    <w:p>
      <w:pPr>
        <w:spacing w:line="260" w:lineRule="exact"/>
        <w:ind w:firstLine="360"/>
        <w:rPr>
          <w:sz w:val="18"/>
          <w:szCs w:val="18"/>
        </w:rPr>
      </w:pPr>
      <w:r>
        <w:rPr>
          <w:sz w:val="18"/>
          <w:szCs w:val="18"/>
        </w:rPr>
        <w:t xml:space="preserve">注：* </w:t>
      </w:r>
      <w:r>
        <w:rPr>
          <w:rFonts w:hint="eastAsia"/>
          <w:sz w:val="18"/>
          <w:szCs w:val="18"/>
        </w:rPr>
        <w:t>待国家污染物监测方法标准发布后实施。</w:t>
      </w:r>
    </w:p>
    <w:p>
      <w:pPr>
        <w:pStyle w:val="5"/>
      </w:pPr>
      <w:r>
        <w:t>环境</w:t>
      </w:r>
      <w:r>
        <w:rPr>
          <w:rFonts w:hint="eastAsia"/>
        </w:rPr>
        <w:t>质量</w:t>
      </w:r>
      <w:r>
        <w:t>跟踪监测计划</w:t>
      </w:r>
    </w:p>
    <w:p>
      <w:r>
        <w:rPr>
          <w:rFonts w:hint="eastAsia"/>
        </w:rPr>
        <w:t>本项目跟踪监测点位、监测项目、频次根据《排污单位自行监测技术指南 石油化学工业》（HJ947-2018）、《排污单位自行监测技术指南 总则》（HJ 819-2017）、《环境影响评价技术导则 土壤环境(试行)》（HJ964-2018）、《环境影响评价技术导则 地下水环境》（HJ610-2016）综合确定。跟踪监测计划见表10</w:t>
      </w:r>
      <w:r>
        <w:t>.3-5</w:t>
      </w:r>
      <w:r>
        <w:rPr>
          <w:rFonts w:hint="eastAsia"/>
        </w:rPr>
        <w:t>。</w:t>
      </w:r>
    </w:p>
    <w:p>
      <w:pPr>
        <w:pStyle w:val="76"/>
        <w:ind w:firstLine="482"/>
        <w:rPr>
          <w:rFonts w:cs="Times New Roman"/>
          <w:szCs w:val="22"/>
        </w:rPr>
      </w:pPr>
      <w:r>
        <w:rPr>
          <w:rFonts w:hint="eastAsia" w:cs="Times New Roman"/>
          <w:szCs w:val="22"/>
        </w:rPr>
        <w:t>表10.3-</w:t>
      </w:r>
      <w:r>
        <w:rPr>
          <w:rFonts w:cs="Times New Roman"/>
          <w:szCs w:val="22"/>
        </w:rPr>
        <w:t xml:space="preserve">5 </w:t>
      </w:r>
      <w:r>
        <w:rPr>
          <w:rFonts w:hint="eastAsia" w:cs="Times New Roman"/>
          <w:szCs w:val="22"/>
        </w:rPr>
        <w:t xml:space="preserve">         </w:t>
      </w:r>
      <w:r>
        <w:rPr>
          <w:rFonts w:cs="Times New Roman"/>
          <w:szCs w:val="22"/>
        </w:rPr>
        <w:t xml:space="preserve"> </w:t>
      </w:r>
      <w:r>
        <w:rPr>
          <w:rFonts w:hint="eastAsia" w:cs="Times New Roman"/>
          <w:szCs w:val="22"/>
        </w:rPr>
        <w:t>环境空气及地下水跟踪监测计划</w:t>
      </w:r>
    </w:p>
    <w:tbl>
      <w:tblPr>
        <w:tblStyle w:val="21"/>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88"/>
        <w:gridCol w:w="1972"/>
        <w:gridCol w:w="4685"/>
        <w:gridCol w:w="14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trPr>
        <w:tc>
          <w:tcPr>
            <w:tcW w:w="496" w:type="pct"/>
            <w:shd w:val="clear" w:color="auto" w:fill="auto"/>
            <w:vAlign w:val="center"/>
          </w:tcPr>
          <w:p>
            <w:pPr>
              <w:pStyle w:val="77"/>
              <w:rPr>
                <w:b/>
                <w:bCs/>
                <w:lang w:val="zh-CN"/>
              </w:rPr>
            </w:pPr>
            <w:r>
              <w:rPr>
                <w:rFonts w:hint="eastAsia"/>
                <w:b/>
                <w:bCs/>
                <w:lang w:val="zh-CN"/>
              </w:rPr>
              <w:t>分类</w:t>
            </w:r>
          </w:p>
        </w:tc>
        <w:tc>
          <w:tcPr>
            <w:tcW w:w="1101" w:type="pct"/>
            <w:shd w:val="clear" w:color="auto" w:fill="auto"/>
            <w:vAlign w:val="center"/>
          </w:tcPr>
          <w:p>
            <w:pPr>
              <w:pStyle w:val="77"/>
              <w:rPr>
                <w:b/>
                <w:bCs/>
                <w:lang w:val="zh-CN"/>
              </w:rPr>
            </w:pPr>
            <w:r>
              <w:rPr>
                <w:b/>
                <w:bCs/>
                <w:lang w:val="zh-CN"/>
              </w:rPr>
              <w:t>点位</w:t>
            </w:r>
          </w:p>
        </w:tc>
        <w:tc>
          <w:tcPr>
            <w:tcW w:w="2615" w:type="pct"/>
            <w:shd w:val="clear" w:color="auto" w:fill="auto"/>
            <w:vAlign w:val="center"/>
          </w:tcPr>
          <w:p>
            <w:pPr>
              <w:pStyle w:val="77"/>
              <w:rPr>
                <w:b/>
                <w:bCs/>
                <w:lang w:val="zh-CN"/>
              </w:rPr>
            </w:pPr>
            <w:r>
              <w:rPr>
                <w:b/>
                <w:bCs/>
                <w:lang w:val="zh-CN"/>
              </w:rPr>
              <w:t>监测项目</w:t>
            </w:r>
          </w:p>
        </w:tc>
        <w:tc>
          <w:tcPr>
            <w:tcW w:w="786" w:type="pct"/>
            <w:shd w:val="clear" w:color="auto" w:fill="auto"/>
            <w:vAlign w:val="center"/>
          </w:tcPr>
          <w:p>
            <w:pPr>
              <w:pStyle w:val="77"/>
              <w:rPr>
                <w:b/>
                <w:bCs/>
                <w:lang w:val="zh-CN"/>
              </w:rPr>
            </w:pPr>
            <w:r>
              <w:rPr>
                <w:b/>
                <w:bCs/>
                <w:lang w:val="zh-CN"/>
              </w:rPr>
              <w:t>监测频率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trPr>
        <w:tc>
          <w:tcPr>
            <w:tcW w:w="496" w:type="pct"/>
            <w:shd w:val="clear" w:color="auto" w:fill="auto"/>
            <w:vAlign w:val="center"/>
          </w:tcPr>
          <w:p>
            <w:pPr>
              <w:pStyle w:val="77"/>
              <w:rPr>
                <w:lang w:val="zh-CN"/>
              </w:rPr>
            </w:pPr>
            <w:r>
              <w:rPr>
                <w:rFonts w:hint="eastAsia"/>
                <w:lang w:val="zh-CN"/>
              </w:rPr>
              <w:t>环境空气</w:t>
            </w:r>
          </w:p>
        </w:tc>
        <w:tc>
          <w:tcPr>
            <w:tcW w:w="1101" w:type="pct"/>
            <w:shd w:val="clear" w:color="auto" w:fill="auto"/>
            <w:vAlign w:val="center"/>
          </w:tcPr>
          <w:p>
            <w:pPr>
              <w:pStyle w:val="77"/>
              <w:jc w:val="both"/>
              <w:rPr>
                <w:lang w:val="zh-CN"/>
              </w:rPr>
            </w:pPr>
            <w:r>
              <w:rPr>
                <w:rFonts w:hint="eastAsia"/>
                <w:lang w:val="zh-CN"/>
              </w:rPr>
              <w:t>张康呼、濮阳职业技术学校</w:t>
            </w:r>
          </w:p>
        </w:tc>
        <w:tc>
          <w:tcPr>
            <w:tcW w:w="2615" w:type="pct"/>
            <w:shd w:val="clear" w:color="auto" w:fill="auto"/>
            <w:vAlign w:val="center"/>
          </w:tcPr>
          <w:p>
            <w:pPr>
              <w:pStyle w:val="77"/>
              <w:rPr>
                <w:lang w:val="zh-CN"/>
              </w:rPr>
            </w:pPr>
            <w:r>
              <w:rPr>
                <w:rFonts w:hint="eastAsia"/>
              </w:rPr>
              <w:t>非甲烷总烃</w:t>
            </w:r>
          </w:p>
        </w:tc>
        <w:tc>
          <w:tcPr>
            <w:tcW w:w="786" w:type="pct"/>
            <w:shd w:val="clear" w:color="auto" w:fill="auto"/>
            <w:vAlign w:val="center"/>
          </w:tcPr>
          <w:p>
            <w:pPr>
              <w:pStyle w:val="77"/>
              <w:rPr>
                <w:lang w:val="zh-CN"/>
              </w:rPr>
            </w:pPr>
            <w:r>
              <w:rPr>
                <w:rFonts w:hint="eastAsia"/>
                <w:lang w:val="zh-CN"/>
              </w:rPr>
              <w:t>每半年</w:t>
            </w:r>
          </w:p>
          <w:p>
            <w:pPr>
              <w:pStyle w:val="77"/>
              <w:rPr>
                <w:lang w:val="zh-CN"/>
              </w:rPr>
            </w:pPr>
            <w:r>
              <w:rPr>
                <w:rFonts w:hint="eastAsia"/>
                <w:lang w:val="zh-CN"/>
              </w:rPr>
              <w:t>至少监测一次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96" w:type="pct"/>
            <w:shd w:val="clear" w:color="auto" w:fill="auto"/>
            <w:vAlign w:val="center"/>
          </w:tcPr>
          <w:p>
            <w:pPr>
              <w:pStyle w:val="77"/>
            </w:pPr>
            <w:r>
              <w:rPr>
                <w:rFonts w:hint="eastAsia"/>
              </w:rPr>
              <w:t>土壤</w:t>
            </w:r>
          </w:p>
        </w:tc>
        <w:tc>
          <w:tcPr>
            <w:tcW w:w="1101" w:type="pct"/>
            <w:shd w:val="clear" w:color="auto" w:fill="auto"/>
            <w:vAlign w:val="center"/>
          </w:tcPr>
          <w:p>
            <w:pPr>
              <w:pStyle w:val="77"/>
              <w:jc w:val="both"/>
            </w:pPr>
            <w:r>
              <w:rPr>
                <w:rFonts w:hint="eastAsia"/>
              </w:rPr>
              <w:t>合成区、精馏区、</w:t>
            </w:r>
            <w:r>
              <w:t>张康呼村庄</w:t>
            </w:r>
            <w:r>
              <w:rPr>
                <w:rFonts w:hint="eastAsia"/>
              </w:rPr>
              <w:t>、</w:t>
            </w:r>
            <w:r>
              <w:t>张康呼</w:t>
            </w:r>
            <w:r>
              <w:rPr>
                <w:rFonts w:hint="eastAsia"/>
              </w:rPr>
              <w:t>农用地</w:t>
            </w:r>
          </w:p>
        </w:tc>
        <w:tc>
          <w:tcPr>
            <w:tcW w:w="2615" w:type="pct"/>
            <w:shd w:val="clear" w:color="auto" w:fill="auto"/>
            <w:vAlign w:val="center"/>
          </w:tcPr>
          <w:p>
            <w:pPr>
              <w:pStyle w:val="77"/>
            </w:pPr>
            <w:r>
              <w:t>石油烃</w:t>
            </w:r>
          </w:p>
        </w:tc>
        <w:tc>
          <w:tcPr>
            <w:tcW w:w="786" w:type="pct"/>
            <w:shd w:val="clear" w:color="auto" w:fill="auto"/>
            <w:vAlign w:val="center"/>
          </w:tcPr>
          <w:p>
            <w:pPr>
              <w:pStyle w:val="77"/>
            </w:pPr>
            <w:r>
              <w:rPr>
                <w:rFonts w:hint="eastAsia"/>
              </w:rPr>
              <w:t>每三年至少开展一次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75" w:hRule="atLeast"/>
        </w:trPr>
        <w:tc>
          <w:tcPr>
            <w:tcW w:w="496" w:type="pct"/>
            <w:shd w:val="clear" w:color="auto" w:fill="auto"/>
            <w:vAlign w:val="center"/>
          </w:tcPr>
          <w:p>
            <w:pPr>
              <w:pStyle w:val="77"/>
              <w:rPr>
                <w:lang w:val="zh-CN"/>
              </w:rPr>
            </w:pPr>
            <w:r>
              <w:rPr>
                <w:rFonts w:hint="eastAsia"/>
                <w:lang w:val="zh-CN"/>
              </w:rPr>
              <w:t>地下水</w:t>
            </w:r>
          </w:p>
        </w:tc>
        <w:tc>
          <w:tcPr>
            <w:tcW w:w="1101" w:type="pct"/>
            <w:shd w:val="clear" w:color="auto" w:fill="auto"/>
            <w:vAlign w:val="center"/>
          </w:tcPr>
          <w:p>
            <w:pPr>
              <w:pStyle w:val="77"/>
              <w:jc w:val="both"/>
              <w:rPr>
                <w:lang w:val="zh-CN"/>
              </w:rPr>
            </w:pPr>
            <w:r>
              <w:rPr>
                <w:rFonts w:hint="eastAsia"/>
                <w:lang w:val="zh-CN"/>
              </w:rPr>
              <w:t>JC1项目西侧590米处</w:t>
            </w:r>
            <w:r>
              <w:rPr>
                <w:rFonts w:hint="eastAsia"/>
              </w:rPr>
              <w:t>现有农田监测井、</w:t>
            </w:r>
            <w:r>
              <w:rPr>
                <w:rFonts w:hint="eastAsia"/>
                <w:lang w:val="zh-CN"/>
              </w:rPr>
              <w:t>JC2项目西侧180米处</w:t>
            </w:r>
            <w:r>
              <w:rPr>
                <w:rFonts w:hint="eastAsia"/>
              </w:rPr>
              <w:t>现有农田监测井、</w:t>
            </w:r>
            <w:r>
              <w:rPr>
                <w:rFonts w:hint="eastAsia"/>
                <w:lang w:val="zh-CN"/>
              </w:rPr>
              <w:t>JC3现有厂区内东侧</w:t>
            </w:r>
            <w:r>
              <w:rPr>
                <w:rFonts w:hint="eastAsia"/>
              </w:rPr>
              <w:t>监测井</w:t>
            </w:r>
          </w:p>
        </w:tc>
        <w:tc>
          <w:tcPr>
            <w:tcW w:w="2615" w:type="pct"/>
            <w:shd w:val="clear" w:color="auto" w:fill="auto"/>
            <w:vAlign w:val="center"/>
          </w:tcPr>
          <w:p>
            <w:pPr>
              <w:pStyle w:val="77"/>
              <w:jc w:val="both"/>
            </w:pPr>
            <w:r>
              <w:t>①基本因子：钾、钠、钙、镁、砷、汞、镉、铅、铁、锰、六价铬、碳酸盐、重碳酸盐、氯离子、硫酸根、硝酸盐、亚硝酸盐、氟化物、pH值、氨氮、挥发酚、氰化物、总硬度、溶解性总固体、高锰酸盐指数（耗氧量）、总大肠菌群、细菌总数；</w:t>
            </w:r>
          </w:p>
          <w:p>
            <w:pPr>
              <w:pStyle w:val="77"/>
              <w:jc w:val="both"/>
            </w:pPr>
            <w:r>
              <w:t>②特征因子：石油类、硫化物</w:t>
            </w:r>
          </w:p>
        </w:tc>
        <w:tc>
          <w:tcPr>
            <w:tcW w:w="786" w:type="pct"/>
            <w:shd w:val="clear" w:color="auto" w:fill="auto"/>
            <w:vAlign w:val="center"/>
          </w:tcPr>
          <w:p>
            <w:pPr>
              <w:pStyle w:val="77"/>
              <w:rPr>
                <w:lang w:val="zh-CN"/>
              </w:rPr>
            </w:pPr>
            <w:r>
              <w:rPr>
                <w:rFonts w:hint="eastAsia"/>
                <w:lang w:val="zh-CN"/>
              </w:rPr>
              <w:t>每年至少监测一次</w:t>
            </w:r>
          </w:p>
        </w:tc>
      </w:tr>
    </w:tbl>
    <w:p>
      <w:pPr>
        <w:pStyle w:val="5"/>
      </w:pPr>
      <w:r>
        <w:rPr>
          <w:rFonts w:hint="eastAsia"/>
        </w:rPr>
        <w:t>环境</w:t>
      </w:r>
      <w:r>
        <w:t>风险</w:t>
      </w:r>
      <w:r>
        <w:rPr>
          <w:rFonts w:hint="eastAsia"/>
        </w:rPr>
        <w:t>应急</w:t>
      </w:r>
      <w:r>
        <w:t>监测计划</w:t>
      </w:r>
    </w:p>
    <w:p>
      <w:r>
        <w:rPr>
          <w:szCs w:val="28"/>
        </w:rPr>
        <w:t>在事故发生后，环境应急事件应急监测工作可</w:t>
      </w:r>
      <w:r>
        <w:rPr>
          <w:rFonts w:hint="eastAsia"/>
          <w:szCs w:val="28"/>
        </w:rPr>
        <w:t>委托濮阳市环境监测站</w:t>
      </w:r>
      <w:r>
        <w:rPr>
          <w:szCs w:val="28"/>
        </w:rPr>
        <w:t>负责，厂内环境监控组配合。对现场进行全天候的空气、水质等项目监控，防止大气和废水污染区扩大。按照环境污染事故的类型，分别进行大气和水环境等监测，监测频率可按每小时一次安排。监测结果需随时提供给专业指挥部，为应急决策提供支持。</w:t>
      </w:r>
      <w:r>
        <w:rPr>
          <w:rFonts w:hint="eastAsia"/>
        </w:rPr>
        <w:t>环评建议的</w:t>
      </w:r>
      <w:r>
        <w:rPr>
          <w:szCs w:val="28"/>
        </w:rPr>
        <w:t>应急监测方案</w:t>
      </w:r>
      <w:r>
        <w:rPr>
          <w:rFonts w:hint="eastAsia"/>
          <w:szCs w:val="28"/>
        </w:rPr>
        <w:t>见</w:t>
      </w:r>
      <w:r>
        <w:rPr>
          <w:rFonts w:hint="eastAsia"/>
        </w:rPr>
        <w:t>表10.3-5及风险分析章节相关内容。</w:t>
      </w:r>
      <w:bookmarkStart w:id="298" w:name="OLE_LINK29"/>
      <w:bookmarkStart w:id="299" w:name="OLE_LINK30"/>
    </w:p>
    <w:p>
      <w:pPr>
        <w:pStyle w:val="76"/>
        <w:ind w:firstLine="482"/>
        <w:rPr>
          <w:rStyle w:val="25"/>
          <w:rFonts w:eastAsia="宋体" w:cs="Times New Roman"/>
          <w:b w:val="0"/>
        </w:rPr>
      </w:pPr>
      <w:r>
        <w:rPr>
          <w:rFonts w:hint="eastAsia" w:cs="Times New Roman"/>
          <w:szCs w:val="22"/>
        </w:rPr>
        <w:t>表10.3-5</w:t>
      </w:r>
      <w:r>
        <w:rPr>
          <w:rFonts w:cs="Times New Roman"/>
          <w:szCs w:val="22"/>
        </w:rPr>
        <w:t xml:space="preserve"> </w:t>
      </w:r>
      <w:bookmarkEnd w:id="298"/>
      <w:bookmarkEnd w:id="299"/>
      <w:r>
        <w:rPr>
          <w:rFonts w:cs="Times New Roman"/>
          <w:szCs w:val="22"/>
        </w:rPr>
        <w:t xml:space="preserve"> </w:t>
      </w:r>
      <w:r>
        <w:rPr>
          <w:rFonts w:hint="eastAsia" w:cs="Times New Roman"/>
          <w:szCs w:val="22"/>
        </w:rPr>
        <w:t xml:space="preserve">         </w:t>
      </w:r>
      <w:r>
        <w:rPr>
          <w:rFonts w:cs="Times New Roman"/>
          <w:szCs w:val="22"/>
        </w:rPr>
        <w:t xml:space="preserve">  </w:t>
      </w:r>
      <w:r>
        <w:rPr>
          <w:rFonts w:hint="eastAsia" w:cs="Times New Roman"/>
          <w:szCs w:val="22"/>
        </w:rPr>
        <w:t xml:space="preserve"> 本项目事故应急监测方案</w:t>
      </w:r>
    </w:p>
    <w:tbl>
      <w:tblPr>
        <w:tblStyle w:val="21"/>
        <w:tblW w:w="5000"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217"/>
        <w:gridCol w:w="2985"/>
        <w:gridCol w:w="3281"/>
        <w:gridCol w:w="1531"/>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Align w:val="center"/>
          </w:tcPr>
          <w:p>
            <w:pPr>
              <w:pStyle w:val="36"/>
              <w:rPr>
                <w:b/>
                <w:bCs/>
                <w:color w:val="auto"/>
              </w:rPr>
            </w:pPr>
            <w:r>
              <w:rPr>
                <w:rFonts w:hint="eastAsia"/>
                <w:b/>
                <w:bCs/>
                <w:color w:val="auto"/>
              </w:rPr>
              <w:t>类别</w:t>
            </w:r>
          </w:p>
        </w:tc>
        <w:tc>
          <w:tcPr>
            <w:tcW w:w="1656" w:type="pct"/>
            <w:vAlign w:val="center"/>
          </w:tcPr>
          <w:p>
            <w:pPr>
              <w:pStyle w:val="36"/>
              <w:rPr>
                <w:b/>
                <w:bCs/>
                <w:color w:val="auto"/>
              </w:rPr>
            </w:pPr>
            <w:r>
              <w:rPr>
                <w:rFonts w:hint="eastAsia"/>
                <w:b/>
                <w:bCs/>
                <w:color w:val="auto"/>
              </w:rPr>
              <w:t>监测点位</w:t>
            </w:r>
          </w:p>
        </w:tc>
        <w:tc>
          <w:tcPr>
            <w:tcW w:w="1820" w:type="pct"/>
            <w:vAlign w:val="center"/>
          </w:tcPr>
          <w:p>
            <w:pPr>
              <w:pStyle w:val="36"/>
              <w:rPr>
                <w:b/>
                <w:bCs/>
                <w:color w:val="auto"/>
              </w:rPr>
            </w:pPr>
            <w:r>
              <w:rPr>
                <w:rFonts w:hint="eastAsia"/>
                <w:b/>
                <w:bCs/>
                <w:color w:val="auto"/>
              </w:rPr>
              <w:t>监测因子</w:t>
            </w:r>
          </w:p>
        </w:tc>
        <w:tc>
          <w:tcPr>
            <w:tcW w:w="849" w:type="pct"/>
            <w:vAlign w:val="center"/>
          </w:tcPr>
          <w:p>
            <w:pPr>
              <w:pStyle w:val="36"/>
              <w:rPr>
                <w:b/>
                <w:bCs/>
                <w:color w:val="auto"/>
              </w:rPr>
            </w:pPr>
            <w:r>
              <w:rPr>
                <w:rFonts w:hint="eastAsia"/>
                <w:b/>
                <w:bCs/>
                <w:color w:val="auto"/>
              </w:rPr>
              <w:t>备注</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Align w:val="center"/>
          </w:tcPr>
          <w:p>
            <w:pPr>
              <w:pStyle w:val="36"/>
              <w:rPr>
                <w:color w:val="auto"/>
              </w:rPr>
            </w:pPr>
            <w:r>
              <w:rPr>
                <w:rFonts w:hint="eastAsia"/>
                <w:color w:val="auto"/>
              </w:rPr>
              <w:t>环境空气</w:t>
            </w:r>
          </w:p>
        </w:tc>
        <w:tc>
          <w:tcPr>
            <w:tcW w:w="1656" w:type="pct"/>
            <w:vAlign w:val="center"/>
          </w:tcPr>
          <w:p>
            <w:pPr>
              <w:pStyle w:val="36"/>
              <w:rPr>
                <w:color w:val="auto"/>
              </w:rPr>
            </w:pPr>
            <w:r>
              <w:rPr>
                <w:rFonts w:hint="eastAsia"/>
                <w:color w:val="auto"/>
              </w:rPr>
              <w:t>厂界四周、下风向最近居民点</w:t>
            </w:r>
          </w:p>
        </w:tc>
        <w:tc>
          <w:tcPr>
            <w:tcW w:w="1820" w:type="pct"/>
            <w:vAlign w:val="center"/>
          </w:tcPr>
          <w:p>
            <w:pPr>
              <w:pStyle w:val="36"/>
              <w:rPr>
                <w:color w:val="auto"/>
              </w:rPr>
            </w:pPr>
            <w:r>
              <w:rPr>
                <w:rFonts w:hint="eastAsia"/>
                <w:color w:val="auto"/>
              </w:rPr>
              <w:t>非甲烷总烃、C</w:t>
            </w:r>
            <w:r>
              <w:rPr>
                <w:color w:val="auto"/>
              </w:rPr>
              <w:t>O</w:t>
            </w:r>
          </w:p>
        </w:tc>
        <w:tc>
          <w:tcPr>
            <w:tcW w:w="849" w:type="pct"/>
            <w:vAlign w:val="center"/>
          </w:tcPr>
          <w:p>
            <w:pPr>
              <w:pStyle w:val="36"/>
              <w:rPr>
                <w:color w:val="auto"/>
              </w:rPr>
            </w:pPr>
            <w:r>
              <w:rPr>
                <w:rFonts w:hint="eastAsia"/>
                <w:color w:val="auto"/>
              </w:rPr>
              <w:t>即时监测</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Merge w:val="restart"/>
            <w:vAlign w:val="center"/>
          </w:tcPr>
          <w:p>
            <w:pPr>
              <w:pStyle w:val="36"/>
              <w:rPr>
                <w:color w:val="auto"/>
              </w:rPr>
            </w:pPr>
            <w:r>
              <w:rPr>
                <w:rFonts w:hint="eastAsia"/>
                <w:color w:val="auto"/>
              </w:rPr>
              <w:t>排水水质</w:t>
            </w:r>
          </w:p>
        </w:tc>
        <w:tc>
          <w:tcPr>
            <w:tcW w:w="1656" w:type="pct"/>
            <w:vAlign w:val="center"/>
          </w:tcPr>
          <w:p>
            <w:pPr>
              <w:pStyle w:val="36"/>
              <w:rPr>
                <w:color w:val="auto"/>
              </w:rPr>
            </w:pPr>
            <w:r>
              <w:rPr>
                <w:rFonts w:hint="eastAsia"/>
                <w:color w:val="auto"/>
              </w:rPr>
              <w:t>污水总排口</w:t>
            </w:r>
          </w:p>
        </w:tc>
        <w:tc>
          <w:tcPr>
            <w:tcW w:w="1820" w:type="pct"/>
            <w:vMerge w:val="restart"/>
            <w:vAlign w:val="center"/>
          </w:tcPr>
          <w:p>
            <w:pPr>
              <w:pStyle w:val="36"/>
              <w:rPr>
                <w:color w:val="auto"/>
              </w:rPr>
            </w:pPr>
            <w:r>
              <w:rPr>
                <w:rFonts w:hint="eastAsia"/>
                <w:color w:val="auto"/>
              </w:rPr>
              <w:t>石油类、COD、SS</w:t>
            </w:r>
          </w:p>
        </w:tc>
        <w:tc>
          <w:tcPr>
            <w:tcW w:w="849" w:type="pct"/>
            <w:vMerge w:val="restart"/>
            <w:vAlign w:val="center"/>
          </w:tcPr>
          <w:p>
            <w:pPr>
              <w:pStyle w:val="36"/>
              <w:rPr>
                <w:color w:val="auto"/>
              </w:rPr>
            </w:pPr>
            <w:r>
              <w:rPr>
                <w:rFonts w:hint="eastAsia"/>
                <w:color w:val="auto"/>
              </w:rPr>
              <w:t>即时监测</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trPr>
        <w:tc>
          <w:tcPr>
            <w:tcW w:w="675" w:type="pct"/>
            <w:vMerge w:val="continue"/>
            <w:vAlign w:val="center"/>
          </w:tcPr>
          <w:p>
            <w:pPr>
              <w:pStyle w:val="36"/>
              <w:rPr>
                <w:color w:val="auto"/>
              </w:rPr>
            </w:pPr>
          </w:p>
        </w:tc>
        <w:tc>
          <w:tcPr>
            <w:tcW w:w="1656" w:type="pct"/>
            <w:vAlign w:val="center"/>
          </w:tcPr>
          <w:p>
            <w:pPr>
              <w:pStyle w:val="36"/>
              <w:rPr>
                <w:color w:val="auto"/>
              </w:rPr>
            </w:pPr>
            <w:r>
              <w:rPr>
                <w:rFonts w:hint="eastAsia"/>
                <w:color w:val="auto"/>
              </w:rPr>
              <w:t>集聚区污水厂进口</w:t>
            </w:r>
          </w:p>
        </w:tc>
        <w:tc>
          <w:tcPr>
            <w:tcW w:w="1820" w:type="pct"/>
            <w:vMerge w:val="continue"/>
            <w:vAlign w:val="center"/>
          </w:tcPr>
          <w:p>
            <w:pPr>
              <w:pStyle w:val="36"/>
              <w:rPr>
                <w:color w:val="auto"/>
              </w:rPr>
            </w:pPr>
          </w:p>
        </w:tc>
        <w:tc>
          <w:tcPr>
            <w:tcW w:w="849" w:type="pct"/>
            <w:vMerge w:val="continue"/>
            <w:vAlign w:val="center"/>
          </w:tcPr>
          <w:p>
            <w:pPr>
              <w:pStyle w:val="36"/>
              <w:rPr>
                <w:color w:val="auto"/>
              </w:rPr>
            </w:pPr>
          </w:p>
        </w:tc>
      </w:tr>
    </w:tbl>
    <w:p>
      <w:pPr>
        <w:pStyle w:val="5"/>
      </w:pPr>
      <w:r>
        <w:t>自行监测</w:t>
      </w:r>
      <w:r>
        <w:rPr>
          <w:rFonts w:hint="eastAsia"/>
        </w:rPr>
        <w:t>计划</w:t>
      </w:r>
    </w:p>
    <w:p>
      <w:pPr>
        <w:spacing w:line="500" w:lineRule="exact"/>
      </w:pPr>
      <w:r>
        <w:t>根据“关于印发《国家重点监控企业自行监测及信息公开办法（试行）》和《国家重点监控企业污染源监督性监测及信息公开办法（试行）》的通知”（环发[2013]81号）要求，该办法适用于国家重点监控企业、以及纳入各地年度减排计划且向水体集中直接排放污水的规模化畜禽养殖场(小区)。其他企业可参照执行。</w:t>
      </w:r>
      <w:r>
        <w:rPr>
          <w:rFonts w:hint="eastAsia"/>
        </w:rPr>
        <w:t>建议按照《排污单位自行监测技术指南 石油化学工业》（HJ947-2018）、《排污单位自行监测技术指南 总则》（HJ 819-2017）（HJ942—2018）要求开展运营</w:t>
      </w:r>
      <w:r>
        <w:t>自行监测。</w:t>
      </w:r>
    </w:p>
    <w:p>
      <w:pPr>
        <w:pStyle w:val="5"/>
      </w:pPr>
      <w:r>
        <w:t>监测仪器及监测方法</w:t>
      </w:r>
    </w:p>
    <w:p>
      <w:pPr>
        <w:pStyle w:val="14"/>
        <w:spacing w:line="500" w:lineRule="exact"/>
      </w:pPr>
      <w:r>
        <w:t>根据“关于印发《国家重点监控企业自行监测及信息公开办法（试行）》和《国家重点监控企业污染源监督性监测及信息公开办法（试行）》的通知”（环发[2013]81号）要求，</w:t>
      </w:r>
      <w:r>
        <w:rPr>
          <w:rFonts w:hint="eastAsia"/>
        </w:rPr>
        <w:t>企业可依托自有人员、场所、设备开展自行监测，也可委托其他检（监）测机构代其开展自行监测。本项目拟委托第三方检测机构开展检测，相关</w:t>
      </w:r>
      <w:r>
        <w:t>监测</w:t>
      </w:r>
      <w:r>
        <w:rPr>
          <w:rFonts w:hint="eastAsia"/>
        </w:rPr>
        <w:t>采样</w:t>
      </w:r>
      <w:r>
        <w:t>分析方法标准及</w:t>
      </w:r>
      <w:r>
        <w:rPr>
          <w:rFonts w:hint="eastAsia"/>
        </w:rPr>
        <w:t>规范见表10.3-6。</w:t>
      </w:r>
    </w:p>
    <w:p>
      <w:pPr>
        <w:pStyle w:val="76"/>
        <w:ind w:firstLine="482"/>
        <w:rPr>
          <w:rFonts w:cs="Times New Roman"/>
        </w:rPr>
      </w:pPr>
      <w:r>
        <w:rPr>
          <w:rFonts w:hint="eastAsia" w:cs="Times New Roman"/>
        </w:rPr>
        <w:t>表10.3-7</w:t>
      </w:r>
      <w:r>
        <w:rPr>
          <w:rFonts w:cs="Times New Roman"/>
        </w:rPr>
        <w:t xml:space="preserve"> </w:t>
      </w:r>
      <w:r>
        <w:rPr>
          <w:rFonts w:hint="eastAsia" w:cs="Times New Roman"/>
        </w:rPr>
        <w:t xml:space="preserve"> </w:t>
      </w:r>
      <w:r>
        <w:rPr>
          <w:rFonts w:cs="Times New Roman"/>
        </w:rPr>
        <w:t xml:space="preserve"> </w:t>
      </w:r>
      <w:r>
        <w:rPr>
          <w:rFonts w:hint="eastAsia" w:cs="Times New Roman"/>
        </w:rPr>
        <w:t xml:space="preserve">         </w:t>
      </w:r>
      <w:r>
        <w:rPr>
          <w:rFonts w:cs="Times New Roman"/>
        </w:rPr>
        <w:t xml:space="preserve"> 监测</w:t>
      </w:r>
      <w:r>
        <w:rPr>
          <w:rFonts w:hint="eastAsia" w:cs="Times New Roman"/>
        </w:rPr>
        <w:t>采样</w:t>
      </w:r>
      <w:r>
        <w:rPr>
          <w:rFonts w:cs="Times New Roman"/>
        </w:rPr>
        <w:t>分析方法参考标准及规范</w:t>
      </w:r>
    </w:p>
    <w:tbl>
      <w:tblPr>
        <w:tblStyle w:val="22"/>
        <w:tblW w:w="9174"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78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350" w:type="dxa"/>
            <w:vAlign w:val="center"/>
          </w:tcPr>
          <w:p>
            <w:pPr>
              <w:spacing w:line="300" w:lineRule="exact"/>
              <w:ind w:firstLine="0" w:firstLineChars="0"/>
              <w:jc w:val="center"/>
              <w:rPr>
                <w:b/>
                <w:sz w:val="21"/>
                <w:szCs w:val="21"/>
              </w:rPr>
            </w:pPr>
            <w:r>
              <w:rPr>
                <w:b/>
                <w:sz w:val="21"/>
                <w:szCs w:val="21"/>
              </w:rPr>
              <w:t>项目</w:t>
            </w:r>
          </w:p>
        </w:tc>
        <w:tc>
          <w:tcPr>
            <w:tcW w:w="7824" w:type="dxa"/>
            <w:vAlign w:val="center"/>
          </w:tcPr>
          <w:p>
            <w:pPr>
              <w:spacing w:line="300" w:lineRule="exact"/>
              <w:ind w:firstLine="0" w:firstLineChars="0"/>
              <w:jc w:val="center"/>
              <w:rPr>
                <w:b/>
                <w:sz w:val="21"/>
                <w:szCs w:val="21"/>
              </w:rPr>
            </w:pPr>
            <w:r>
              <w:rPr>
                <w:b/>
                <w:sz w:val="21"/>
                <w:szCs w:val="21"/>
              </w:rPr>
              <w:t>参考标准及规范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环境空气</w:t>
            </w:r>
          </w:p>
        </w:tc>
        <w:tc>
          <w:tcPr>
            <w:tcW w:w="7824" w:type="dxa"/>
            <w:vAlign w:val="center"/>
          </w:tcPr>
          <w:p>
            <w:pPr>
              <w:spacing w:line="300" w:lineRule="exact"/>
              <w:ind w:firstLine="0" w:firstLineChars="0"/>
              <w:rPr>
                <w:sz w:val="21"/>
                <w:szCs w:val="21"/>
              </w:rPr>
            </w:pPr>
            <w:r>
              <w:rPr>
                <w:sz w:val="21"/>
                <w:szCs w:val="21"/>
              </w:rPr>
              <w:t>环境空气质量监测点位布设技术规范（试行）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地下水</w:t>
            </w:r>
          </w:p>
        </w:tc>
        <w:tc>
          <w:tcPr>
            <w:tcW w:w="7824" w:type="dxa"/>
            <w:vAlign w:val="center"/>
          </w:tcPr>
          <w:p>
            <w:pPr>
              <w:spacing w:line="300" w:lineRule="exact"/>
              <w:ind w:firstLine="0" w:firstLineChars="0"/>
              <w:rPr>
                <w:sz w:val="21"/>
                <w:szCs w:val="21"/>
              </w:rPr>
            </w:pPr>
            <w:r>
              <w:rPr>
                <w:sz w:val="21"/>
                <w:szCs w:val="21"/>
              </w:rPr>
              <w:t>地下水环境监测技术规范（HJ/T 164-2004）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土壤</w:t>
            </w:r>
          </w:p>
        </w:tc>
        <w:tc>
          <w:tcPr>
            <w:tcW w:w="7824" w:type="dxa"/>
            <w:vAlign w:val="center"/>
          </w:tcPr>
          <w:p>
            <w:pPr>
              <w:spacing w:line="300" w:lineRule="exact"/>
              <w:ind w:firstLine="0" w:firstLineChars="0"/>
              <w:rPr>
                <w:sz w:val="21"/>
                <w:szCs w:val="21"/>
              </w:rPr>
            </w:pPr>
            <w:r>
              <w:rPr>
                <w:sz w:val="21"/>
                <w:szCs w:val="21"/>
              </w:rPr>
              <w:t>土壤环境监测技术规范（HJ/T 166-2004）</w:t>
            </w:r>
          </w:p>
          <w:p>
            <w:pPr>
              <w:spacing w:line="300" w:lineRule="exact"/>
              <w:ind w:firstLine="0" w:firstLineChars="0"/>
              <w:rPr>
                <w:sz w:val="21"/>
                <w:szCs w:val="21"/>
              </w:rPr>
            </w:pPr>
            <w:r>
              <w:rPr>
                <w:sz w:val="21"/>
                <w:szCs w:val="21"/>
              </w:rPr>
              <w:t>土壤环境质量标准</w:t>
            </w:r>
            <w:r>
              <w:rPr>
                <w:rFonts w:hint="eastAsia"/>
                <w:sz w:val="21"/>
                <w:szCs w:val="21"/>
              </w:rPr>
              <w:t xml:space="preserve">  建设用地土壤污染风险管控标准（试行）（GB36600-2018）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废气</w:t>
            </w:r>
          </w:p>
        </w:tc>
        <w:tc>
          <w:tcPr>
            <w:tcW w:w="7824" w:type="dxa"/>
            <w:vAlign w:val="center"/>
          </w:tcPr>
          <w:p>
            <w:pPr>
              <w:spacing w:line="300" w:lineRule="exact"/>
              <w:ind w:firstLine="0" w:firstLineChars="0"/>
              <w:rPr>
                <w:sz w:val="21"/>
                <w:szCs w:val="21"/>
              </w:rPr>
            </w:pPr>
            <w:r>
              <w:rPr>
                <w:sz w:val="21"/>
                <w:szCs w:val="21"/>
              </w:rPr>
              <w:t>固定源废气监测技术规范（HJ/T 397-2007）</w:t>
            </w:r>
          </w:p>
          <w:p>
            <w:pPr>
              <w:spacing w:line="300" w:lineRule="exact"/>
              <w:ind w:firstLine="0" w:firstLineChars="0"/>
              <w:rPr>
                <w:sz w:val="21"/>
                <w:szCs w:val="21"/>
              </w:rPr>
            </w:pPr>
            <w:r>
              <w:rPr>
                <w:sz w:val="21"/>
                <w:szCs w:val="21"/>
              </w:rPr>
              <w:t>固定污染源排气中颗粒物和气态污染物采样方法（GB/T 16157-1996）</w:t>
            </w:r>
          </w:p>
          <w:p>
            <w:pPr>
              <w:spacing w:line="300" w:lineRule="exact"/>
              <w:ind w:firstLine="0" w:firstLineChars="0"/>
              <w:rPr>
                <w:sz w:val="21"/>
                <w:szCs w:val="21"/>
              </w:rPr>
            </w:pPr>
            <w:r>
              <w:rPr>
                <w:sz w:val="21"/>
                <w:szCs w:val="21"/>
              </w:rPr>
              <w:t>大气污染物无组织排放监测技术导则（HJ/T 55-2000）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废水</w:t>
            </w:r>
          </w:p>
        </w:tc>
        <w:tc>
          <w:tcPr>
            <w:tcW w:w="7824" w:type="dxa"/>
            <w:vAlign w:val="center"/>
          </w:tcPr>
          <w:p>
            <w:pPr>
              <w:spacing w:line="300" w:lineRule="exact"/>
              <w:ind w:firstLine="0" w:firstLineChars="0"/>
              <w:rPr>
                <w:sz w:val="21"/>
                <w:szCs w:val="21"/>
              </w:rPr>
            </w:pPr>
            <w:r>
              <w:rPr>
                <w:sz w:val="21"/>
                <w:szCs w:val="21"/>
              </w:rPr>
              <w:t>地表水和污水监测技术规范（HJ/T 91-2002）</w:t>
            </w:r>
          </w:p>
          <w:p>
            <w:pPr>
              <w:spacing w:line="300" w:lineRule="exact"/>
              <w:ind w:firstLine="0" w:firstLineChars="0"/>
              <w:rPr>
                <w:sz w:val="21"/>
                <w:szCs w:val="21"/>
              </w:rPr>
            </w:pPr>
            <w:r>
              <w:rPr>
                <w:sz w:val="21"/>
                <w:szCs w:val="21"/>
              </w:rPr>
              <w:t>水污染物排放总量监测技术规范（HJ/T 92-2002）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0" w:type="dxa"/>
            <w:vAlign w:val="center"/>
          </w:tcPr>
          <w:p>
            <w:pPr>
              <w:spacing w:line="300" w:lineRule="exact"/>
              <w:ind w:firstLine="0" w:firstLineChars="0"/>
              <w:jc w:val="center"/>
              <w:rPr>
                <w:sz w:val="21"/>
                <w:szCs w:val="21"/>
              </w:rPr>
            </w:pPr>
            <w:r>
              <w:rPr>
                <w:sz w:val="21"/>
                <w:szCs w:val="21"/>
              </w:rPr>
              <w:t>噪声</w:t>
            </w:r>
          </w:p>
        </w:tc>
        <w:tc>
          <w:tcPr>
            <w:tcW w:w="7824" w:type="dxa"/>
            <w:vAlign w:val="center"/>
          </w:tcPr>
          <w:p>
            <w:pPr>
              <w:spacing w:line="300" w:lineRule="exact"/>
              <w:ind w:firstLine="0" w:firstLineChars="0"/>
              <w:rPr>
                <w:sz w:val="21"/>
                <w:szCs w:val="21"/>
              </w:rPr>
            </w:pPr>
            <w:r>
              <w:rPr>
                <w:sz w:val="21"/>
                <w:szCs w:val="21"/>
              </w:rPr>
              <w:t>声环境质量标准（GB3096-2008）</w:t>
            </w:r>
          </w:p>
          <w:p>
            <w:pPr>
              <w:spacing w:line="300" w:lineRule="exact"/>
              <w:ind w:firstLine="0" w:firstLineChars="0"/>
              <w:rPr>
                <w:sz w:val="21"/>
                <w:szCs w:val="21"/>
              </w:rPr>
            </w:pPr>
            <w:r>
              <w:rPr>
                <w:sz w:val="21"/>
                <w:szCs w:val="21"/>
              </w:rPr>
              <w:t>工业企业厂界噪声排放标准（GB12348-2008）</w:t>
            </w:r>
          </w:p>
        </w:tc>
      </w:tr>
    </w:tbl>
    <w:p>
      <w:pPr>
        <w:pStyle w:val="4"/>
      </w:pPr>
      <w:r>
        <w:rPr>
          <w:rFonts w:hint="eastAsia"/>
        </w:rPr>
        <w:t>环境</w:t>
      </w:r>
      <w:r>
        <w:t>信息公开内容</w:t>
      </w:r>
    </w:p>
    <w:p>
      <w:pPr>
        <w:pStyle w:val="5"/>
      </w:pPr>
      <w:bookmarkStart w:id="300" w:name="OLE_LINK17"/>
      <w:bookmarkStart w:id="301" w:name="OLE_LINK16"/>
      <w:r>
        <w:t>《企业事业单位环境信息公开办法》（环保部令 第31号）</w:t>
      </w:r>
      <w:r>
        <w:rPr>
          <w:rFonts w:hint="eastAsia"/>
        </w:rPr>
        <w:t>要求</w:t>
      </w:r>
    </w:p>
    <w:bookmarkEnd w:id="300"/>
    <w:bookmarkEnd w:id="301"/>
    <w:p>
      <w:pPr>
        <w:pStyle w:val="8"/>
        <w:ind w:firstLine="560"/>
        <w:rPr>
          <w:color w:val="auto"/>
        </w:rPr>
      </w:pPr>
      <w:r>
        <w:rPr>
          <w:color w:val="auto"/>
        </w:rPr>
        <w:t>根据《企业事业单位环境信息公开办法》（环保部令 第31号），“企业事业单位应当按照强制公开和自愿公开相结合的原则，及时、如实地公开其环境信息”；“企业事业单位应当建立健全本单位环境信息公开制度，指定机构负责本单位环境信息公开日常工作”。若企业被列入重点排污单位名录，需公开如下内容：</w:t>
      </w:r>
    </w:p>
    <w:p>
      <w:pPr>
        <w:pStyle w:val="8"/>
        <w:ind w:firstLine="560"/>
        <w:rPr>
          <w:color w:val="auto"/>
        </w:rPr>
      </w:pPr>
      <w:r>
        <w:rPr>
          <w:color w:val="auto"/>
        </w:rPr>
        <w:t>（1）基础信息，包括单位名称、组织机构代码、法定代表人、生产地址、联系方式，以及生产经营和管理服务的主要内容、产品及规模；</w:t>
      </w:r>
    </w:p>
    <w:p>
      <w:pPr>
        <w:pStyle w:val="8"/>
        <w:ind w:firstLine="560"/>
        <w:rPr>
          <w:color w:val="auto"/>
        </w:rPr>
      </w:pPr>
      <w:r>
        <w:rPr>
          <w:color w:val="auto"/>
        </w:rPr>
        <w:t>（2）排污信息，包括主要污染物及特征污染物的名称、排放方式、排放口数量和分布情况、排放浓度和总量、超标情况，以及执行的污染物排放标准、核定的排放总量；</w:t>
      </w:r>
    </w:p>
    <w:p>
      <w:pPr>
        <w:pStyle w:val="8"/>
        <w:ind w:firstLine="560"/>
        <w:rPr>
          <w:color w:val="auto"/>
        </w:rPr>
      </w:pPr>
      <w:r>
        <w:rPr>
          <w:color w:val="auto"/>
        </w:rPr>
        <w:t>（3）防治污染设施的建设和运行情况；</w:t>
      </w:r>
    </w:p>
    <w:p>
      <w:pPr>
        <w:pStyle w:val="8"/>
        <w:ind w:firstLine="560"/>
        <w:rPr>
          <w:color w:val="auto"/>
        </w:rPr>
      </w:pPr>
      <w:r>
        <w:rPr>
          <w:color w:val="auto"/>
        </w:rPr>
        <w:t>（4）建设项目环境影响评价及其他环境保护行政许可情况；</w:t>
      </w:r>
    </w:p>
    <w:p>
      <w:pPr>
        <w:pStyle w:val="8"/>
        <w:ind w:firstLine="560"/>
        <w:rPr>
          <w:color w:val="auto"/>
        </w:rPr>
      </w:pPr>
      <w:r>
        <w:rPr>
          <w:color w:val="auto"/>
        </w:rPr>
        <w:t>（5）突发环境事件应急预案；</w:t>
      </w:r>
    </w:p>
    <w:p>
      <w:pPr>
        <w:pStyle w:val="8"/>
        <w:ind w:firstLine="560"/>
        <w:rPr>
          <w:color w:val="auto"/>
        </w:rPr>
      </w:pPr>
      <w:r>
        <w:rPr>
          <w:color w:val="auto"/>
        </w:rPr>
        <w:t>（6）其他应当公开的环境信息。</w:t>
      </w:r>
    </w:p>
    <w:p>
      <w:pPr>
        <w:pStyle w:val="8"/>
        <w:ind w:firstLine="560"/>
        <w:rPr>
          <w:color w:val="auto"/>
        </w:rPr>
      </w:pPr>
      <w:r>
        <w:rPr>
          <w:color w:val="auto"/>
        </w:rPr>
        <w:t>（7）列入国家重点监控企业名单的重点排污单位还应当公开其环境自行监测方案。</w:t>
      </w:r>
    </w:p>
    <w:p>
      <w:pPr>
        <w:pStyle w:val="8"/>
        <w:ind w:firstLine="560"/>
        <w:rPr>
          <w:color w:val="auto"/>
        </w:rPr>
      </w:pPr>
      <w:r>
        <w:rPr>
          <w:color w:val="auto"/>
        </w:rPr>
        <w:t>重点排污单位应当通过其网站、企业事业单位环境信息公开平台或者当地报刊等便于公众知晓的方式公开环境信息，同时可以采取以下一种或者几种方式予以公开：</w:t>
      </w:r>
    </w:p>
    <w:p>
      <w:pPr>
        <w:pStyle w:val="8"/>
        <w:ind w:firstLine="560"/>
        <w:rPr>
          <w:color w:val="auto"/>
        </w:rPr>
      </w:pPr>
      <w:r>
        <w:rPr>
          <w:color w:val="auto"/>
        </w:rPr>
        <w:t>（1）公告或者公开发行的信息专刊；</w:t>
      </w:r>
    </w:p>
    <w:p>
      <w:pPr>
        <w:pStyle w:val="8"/>
        <w:ind w:firstLine="560"/>
        <w:rPr>
          <w:color w:val="auto"/>
        </w:rPr>
      </w:pPr>
      <w:r>
        <w:rPr>
          <w:color w:val="auto"/>
        </w:rPr>
        <w:t>（2）广播、电视等新闻媒体；</w:t>
      </w:r>
    </w:p>
    <w:p>
      <w:pPr>
        <w:pStyle w:val="8"/>
        <w:ind w:firstLine="560"/>
        <w:rPr>
          <w:color w:val="auto"/>
        </w:rPr>
      </w:pPr>
      <w:r>
        <w:rPr>
          <w:color w:val="auto"/>
        </w:rPr>
        <w:t>（3）信息公开服务、监督热线电话；</w:t>
      </w:r>
    </w:p>
    <w:p>
      <w:pPr>
        <w:pStyle w:val="8"/>
        <w:ind w:firstLine="560"/>
        <w:rPr>
          <w:color w:val="auto"/>
        </w:rPr>
      </w:pPr>
      <w:r>
        <w:rPr>
          <w:color w:val="auto"/>
        </w:rPr>
        <w:t>（4）本单位的资料索取点、信息公开栏、信息亭、电子屏幕、电子触摸屏等场所或者设施；</w:t>
      </w:r>
    </w:p>
    <w:p>
      <w:pPr>
        <w:pStyle w:val="8"/>
        <w:ind w:firstLine="560"/>
        <w:rPr>
          <w:color w:val="auto"/>
        </w:rPr>
      </w:pPr>
      <w:r>
        <w:rPr>
          <w:color w:val="auto"/>
        </w:rPr>
        <w:t>（5）其他便于公众及时、准确获得信息的方式。</w:t>
      </w:r>
    </w:p>
    <w:p>
      <w:pPr>
        <w:pStyle w:val="5"/>
      </w:pPr>
      <w:r>
        <w:t>《国家重点监控企业自行监测及信息公开办法（试行）》</w:t>
      </w:r>
      <w:r>
        <w:rPr>
          <w:rFonts w:hint="eastAsia"/>
        </w:rPr>
        <w:t>要求</w:t>
      </w:r>
    </w:p>
    <w:p>
      <w:r>
        <w:t>企业应将自行监测工作开展情况及监测结果向社会公众公开，公开内容应包括：</w:t>
      </w:r>
    </w:p>
    <w:p>
      <w:pPr>
        <w:ind w:firstLine="298" w:firstLineChars="142"/>
      </w:pPr>
      <w:r>
        <w:t>（1）基础信息：企业名称、法人代表、所属行业、地理位置、生产周期、联系方式、委托监测机构名称等；</w:t>
      </w:r>
    </w:p>
    <w:p>
      <w:pPr>
        <w:ind w:firstLine="319" w:firstLineChars="152"/>
      </w:pPr>
      <w:r>
        <w:t>（2）自行监测方案；</w:t>
      </w:r>
    </w:p>
    <w:p>
      <w:pPr>
        <w:ind w:firstLine="319" w:firstLineChars="152"/>
      </w:pPr>
      <w:r>
        <w:t>（3）自行监测结果：全部监测点位、监测时间、污染物种类及浓度、标准限值、达标情况、超标倍数、污染物排放方式及排放去向；</w:t>
      </w:r>
    </w:p>
    <w:p>
      <w:pPr>
        <w:ind w:firstLine="319" w:firstLineChars="152"/>
      </w:pPr>
      <w:r>
        <w:t>（4）未开展自行监测的原因；</w:t>
      </w:r>
    </w:p>
    <w:p>
      <w:pPr>
        <w:pStyle w:val="8"/>
        <w:ind w:firstLine="425" w:firstLineChars="152"/>
        <w:rPr>
          <w:color w:val="auto"/>
        </w:rPr>
      </w:pPr>
      <w:r>
        <w:rPr>
          <w:rFonts w:hint="eastAsia"/>
          <w:color w:val="auto"/>
        </w:rPr>
        <w:t>（</w:t>
      </w:r>
      <w:r>
        <w:rPr>
          <w:color w:val="auto"/>
        </w:rPr>
        <w:t>5）污染源监测年度报告。</w:t>
      </w:r>
    </w:p>
    <w:p>
      <w:pPr>
        <w:ind w:firstLine="424" w:firstLineChars="202"/>
      </w:pPr>
      <w:r>
        <w:rPr>
          <w:rFonts w:hint="eastAsia"/>
        </w:rPr>
        <w:t>企业可通过对外网站、报纸、广播、电视等便于公众知晓的方式公开自行监测信息。同时，应当在省级或地市级环境保护主管部门统一组织建立的公布平台上公开自行监测信息，并至少保存一年。</w:t>
      </w:r>
    </w:p>
    <w:p>
      <w:pPr>
        <w:pStyle w:val="5"/>
      </w:pPr>
      <w:r>
        <w:rPr>
          <w:rFonts w:hint="eastAsia"/>
        </w:rPr>
        <w:t>清洁生产审核信息公示</w:t>
      </w:r>
    </w:p>
    <w:p>
      <w:pPr>
        <w:rPr>
          <w:szCs w:val="22"/>
        </w:rPr>
      </w:pPr>
      <w:r>
        <w:rPr>
          <w:rFonts w:hint="eastAsia"/>
        </w:rPr>
        <w:t>根据《清洁生产审核办法》（国家发展和改革委员会 环境保护部 令 第38号 ），有</w:t>
      </w:r>
      <w:r>
        <w:rPr>
          <w:rFonts w:hint="eastAsia"/>
          <w:szCs w:val="22"/>
        </w:rPr>
        <w:t>下列情形之一的企业，应当实施强制性清洁生产审核：</w:t>
      </w:r>
    </w:p>
    <w:p>
      <w:pPr>
        <w:numPr>
          <w:ilvl w:val="0"/>
          <w:numId w:val="4"/>
        </w:numPr>
        <w:rPr>
          <w:szCs w:val="22"/>
        </w:rPr>
      </w:pPr>
      <w:r>
        <w:rPr>
          <w:rFonts w:hint="eastAsia"/>
          <w:szCs w:val="22"/>
        </w:rPr>
        <w:t>污染物排放超过国家或者地方规定的排放标准，或者虽未超过国家或者地方规定的排放标准，但超过重点污染物排放总量控制指标的；</w:t>
      </w:r>
    </w:p>
    <w:p>
      <w:pPr>
        <w:numPr>
          <w:ilvl w:val="0"/>
          <w:numId w:val="4"/>
        </w:numPr>
        <w:rPr>
          <w:szCs w:val="22"/>
        </w:rPr>
      </w:pPr>
      <w:r>
        <w:rPr>
          <w:rFonts w:hint="eastAsia"/>
          <w:szCs w:val="22"/>
        </w:rPr>
        <w:t>超过单位产品能源消耗限额标准构成高耗能的；</w:t>
      </w:r>
    </w:p>
    <w:p>
      <w:pPr>
        <w:numPr>
          <w:ilvl w:val="0"/>
          <w:numId w:val="4"/>
        </w:numPr>
        <w:rPr>
          <w:szCs w:val="22"/>
        </w:rPr>
      </w:pPr>
      <w:r>
        <w:rPr>
          <w:rFonts w:hint="eastAsia"/>
          <w:szCs w:val="22"/>
        </w:rPr>
        <w:t>使用有毒有害原料进行生产或者在生产中排放有毒有害物质的。</w:t>
      </w:r>
    </w:p>
    <w:p>
      <w:pPr>
        <w:rPr>
          <w:szCs w:val="22"/>
        </w:rPr>
      </w:pPr>
      <w:r>
        <w:rPr>
          <w:rFonts w:hint="eastAsia"/>
          <w:szCs w:val="22"/>
        </w:rPr>
        <w:t>其中有毒有害原料或物质包括以下几类：第一类，危险废物。包括列入《国家危险废物名录》的危险废物，以及根据国家规定的危险废物鉴别标准和鉴别方法认定的具有 危险特性的废物。第二类，剧毒化学品、列入《重点环境管理危险化学品目录》的化学品，以及含有上述化学品的物质。第三类，含有铅、汞、镉、铬等重金属和类金属砷的物质。第四类，《关于持久性有机污染物的斯德哥尔摩公约》附件所列物质。第五类，其他具有毒性、可能污染环境的物质。</w:t>
      </w:r>
    </w:p>
    <w:p>
      <w:pPr>
        <w:ind w:firstLine="424" w:firstLineChars="202"/>
        <w:rPr>
          <w:szCs w:val="22"/>
        </w:rPr>
      </w:pPr>
      <w:r>
        <w:rPr>
          <w:rFonts w:hint="eastAsia"/>
          <w:szCs w:val="22"/>
        </w:rPr>
        <w:t>实施强制性清洁生产审核的企业，应当在名单公布后一个月内，在当地主要媒体、企业官方网站或采取其他便于公众知晓的方式公布企业相关信息。</w:t>
      </w:r>
    </w:p>
    <w:p>
      <w:pPr>
        <w:ind w:firstLine="424" w:firstLineChars="202"/>
        <w:rPr>
          <w:szCs w:val="22"/>
        </w:rPr>
      </w:pPr>
    </w:p>
    <w:p>
      <w:pPr>
        <w:pStyle w:val="2"/>
        <w:ind w:left="0" w:leftChars="0" w:firstLine="0" w:firstLineChars="0"/>
      </w:pPr>
    </w:p>
    <w:p>
      <w:pPr>
        <w:pStyle w:val="78"/>
        <w:spacing w:before="240" w:after="240"/>
        <w:rPr>
          <w:rFonts w:cs="Times New Roman"/>
        </w:rPr>
      </w:pPr>
      <w:r>
        <w:rPr>
          <w:rFonts w:cs="Times New Roman"/>
        </w:rPr>
        <w:t>第</w:t>
      </w:r>
      <w:r>
        <w:rPr>
          <w:rFonts w:hint="eastAsia" w:cs="Times New Roman"/>
        </w:rPr>
        <w:t>1</w:t>
      </w:r>
      <w:r>
        <w:rPr>
          <w:rFonts w:cs="Times New Roman"/>
        </w:rPr>
        <w:t>1章  评价结论</w:t>
      </w:r>
      <w:r>
        <w:rPr>
          <w:rFonts w:hint="eastAsia" w:cs="Times New Roman"/>
        </w:rPr>
        <w:t>及</w:t>
      </w:r>
      <w:r>
        <w:rPr>
          <w:rFonts w:cs="Times New Roman"/>
        </w:rPr>
        <w:t>建议</w:t>
      </w:r>
    </w:p>
    <w:p>
      <w:pPr>
        <w:pStyle w:val="79"/>
        <w:rPr>
          <w:rFonts w:ascii="Times New Roman" w:hAnsi="Times New Roman" w:cs="Times New Roman"/>
        </w:rPr>
      </w:pPr>
      <w:r>
        <w:rPr>
          <w:rFonts w:hint="eastAsia" w:ascii="Times New Roman" w:hAnsi="Times New Roman" w:cs="Times New Roman"/>
        </w:rPr>
        <w:t>1</w:t>
      </w:r>
      <w:r>
        <w:rPr>
          <w:rFonts w:ascii="Times New Roman" w:hAnsi="Times New Roman" w:cs="Times New Roman"/>
        </w:rPr>
        <w:t>1.1  评价结论</w:t>
      </w:r>
    </w:p>
    <w:p>
      <w:pPr>
        <w:pStyle w:val="5"/>
      </w:pPr>
      <w:r>
        <w:rPr>
          <w:rFonts w:hint="eastAsia"/>
        </w:rPr>
        <w:t>1</w:t>
      </w:r>
      <w:r>
        <w:t>1.1.1  工程符合国家的产业政策</w:t>
      </w:r>
    </w:p>
    <w:p>
      <w:pPr>
        <w:pStyle w:val="28"/>
        <w:spacing w:line="520" w:lineRule="exact"/>
        <w:ind w:right="278" w:firstLine="560" w:firstLineChars="200"/>
        <w:jc w:val="both"/>
        <w:rPr>
          <w:rFonts w:ascii="Times New Roman" w:cs="Times New Roman"/>
          <w:bCs/>
          <w:color w:val="auto"/>
          <w:sz w:val="28"/>
          <w:szCs w:val="28"/>
        </w:rPr>
      </w:pPr>
      <w:r>
        <w:rPr>
          <w:rFonts w:ascii="Times New Roman" w:cs="Times New Roman"/>
          <w:color w:val="auto"/>
          <w:sz w:val="28"/>
          <w:szCs w:val="28"/>
        </w:rPr>
        <w:t>河南省中原大化集团有限责任公司千吨级秸秆糖制乙二醇中试项目，</w:t>
      </w:r>
      <w:r>
        <w:rPr>
          <w:rFonts w:ascii="Times New Roman" w:cs="Times New Roman"/>
          <w:bCs/>
          <w:color w:val="auto"/>
          <w:sz w:val="28"/>
          <w:szCs w:val="28"/>
        </w:rPr>
        <w:t>以生物质秸秆糖水溶液和氢气为原料，经过乙二醇合成、乙二醇精馏工序生产乙二醇，属于工程技术研究和试验发展中试实验装置。与《产业结构调整指导目录（2019年本）》对比，项目建设不属于《产业结构调整指导目录（2019年本）》限制和淘汰类，符合国家相关产业政策。</w:t>
      </w:r>
    </w:p>
    <w:p>
      <w:pPr>
        <w:pStyle w:val="5"/>
      </w:pPr>
      <w:r>
        <w:rPr>
          <w:rFonts w:hint="eastAsia"/>
        </w:rPr>
        <w:t>1</w:t>
      </w:r>
      <w:r>
        <w:t>1.1.2  工程厂址符合相关规划</w:t>
      </w:r>
    </w:p>
    <w:p>
      <w:pPr>
        <w:ind w:firstLine="560"/>
      </w:pPr>
      <w:r>
        <w:t>本项目厂址位于</w:t>
      </w:r>
      <w:r>
        <w:rPr>
          <w:rFonts w:hint="eastAsia"/>
        </w:rPr>
        <w:t>濮阳经济技术产业集聚区</w:t>
      </w:r>
      <w:r>
        <w:t>，建设项目符合</w:t>
      </w:r>
      <w:r>
        <w:rPr>
          <w:rFonts w:hint="eastAsia"/>
        </w:rPr>
        <w:t>濮阳市城市发展规划、濮阳市饮用水水源保护区区划、濮阳经济技术产业集聚区、濮阳市城市总体规划</w:t>
      </w:r>
      <w:r>
        <w:t>和土地利用规划。</w:t>
      </w:r>
    </w:p>
    <w:p>
      <w:pPr>
        <w:pStyle w:val="5"/>
      </w:pPr>
      <w:r>
        <w:rPr>
          <w:rFonts w:hint="eastAsia"/>
        </w:rPr>
        <w:t>1</w:t>
      </w:r>
      <w:r>
        <w:t>1.1.3  工程污染防治措施可行，废气污染物达标排放，废水</w:t>
      </w:r>
      <w:r>
        <w:rPr>
          <w:rFonts w:hint="eastAsia"/>
        </w:rPr>
        <w:t>全部回用</w:t>
      </w:r>
      <w:r>
        <w:t>，固体废物得到妥善处理，厂界噪声满足标准要求</w:t>
      </w:r>
    </w:p>
    <w:p>
      <w:pPr>
        <w:ind w:firstLine="0" w:firstLineChars="0"/>
        <w:outlineLvl w:val="3"/>
        <w:rPr>
          <w:b/>
        </w:rPr>
      </w:pPr>
      <w:r>
        <w:rPr>
          <w:rFonts w:hint="eastAsia"/>
          <w:b/>
        </w:rPr>
        <w:t>1</w:t>
      </w:r>
      <w:r>
        <w:rPr>
          <w:b/>
        </w:rPr>
        <w:t>1</w:t>
      </w:r>
      <w:r>
        <w:rPr>
          <w:rFonts w:hint="eastAsia"/>
          <w:b/>
        </w:rPr>
        <w:t>.</w:t>
      </w:r>
      <w:r>
        <w:rPr>
          <w:b/>
        </w:rPr>
        <w:t>1.3.1  废气</w:t>
      </w:r>
    </w:p>
    <w:p>
      <w:pPr>
        <w:ind w:firstLine="560"/>
        <w:rPr>
          <w:rFonts w:hint="eastAsia"/>
          <w:szCs w:val="28"/>
        </w:rPr>
      </w:pPr>
      <w:r>
        <w:rPr>
          <w:rFonts w:hint="eastAsia"/>
          <w:szCs w:val="28"/>
        </w:rPr>
        <w:t>项目合成反应氢气驰放气、</w:t>
      </w:r>
      <w:r>
        <w:rPr>
          <w:rFonts w:hint="eastAsia"/>
          <w:kern w:val="0"/>
          <w:szCs w:val="28"/>
        </w:rPr>
        <w:t>闪蒸不凝气</w:t>
      </w:r>
      <w:r>
        <w:rPr>
          <w:szCs w:val="28"/>
        </w:rPr>
        <w:t>管道收集送</w:t>
      </w:r>
      <w:r>
        <w:rPr>
          <w:rFonts w:hint="eastAsia"/>
          <w:szCs w:val="28"/>
        </w:rPr>
        <w:t>现有</w:t>
      </w:r>
      <w:r>
        <w:rPr>
          <w:szCs w:val="28"/>
        </w:rPr>
        <w:t>火炬系统焚烧处理</w:t>
      </w:r>
      <w:r>
        <w:rPr>
          <w:rFonts w:hint="eastAsia"/>
          <w:szCs w:val="28"/>
        </w:rPr>
        <w:t>，真空泵尾气通过</w:t>
      </w:r>
      <w:r>
        <w:rPr>
          <w:rFonts w:hint="eastAsia"/>
          <w:kern w:val="0"/>
          <w:szCs w:val="28"/>
        </w:rPr>
        <w:t>尾气洗涤塔+活性炭吸附罐处理，项目废气处理措施可行有效。</w:t>
      </w:r>
    </w:p>
    <w:p>
      <w:pPr>
        <w:ind w:firstLine="0" w:firstLineChars="0"/>
        <w:outlineLvl w:val="3"/>
        <w:rPr>
          <w:b/>
        </w:rPr>
      </w:pPr>
      <w:r>
        <w:rPr>
          <w:b/>
        </w:rPr>
        <w:t>1</w:t>
      </w:r>
      <w:r>
        <w:rPr>
          <w:rFonts w:hint="eastAsia"/>
          <w:b/>
        </w:rPr>
        <w:t>1</w:t>
      </w:r>
      <w:r>
        <w:rPr>
          <w:b/>
        </w:rPr>
        <w:t>.1.3.2  废水</w:t>
      </w:r>
    </w:p>
    <w:p>
      <w:pPr>
        <w:pStyle w:val="27"/>
        <w:ind w:firstLine="560"/>
      </w:pPr>
      <w:r>
        <w:rPr>
          <w:rFonts w:hint="eastAsia"/>
          <w:szCs w:val="28"/>
        </w:rPr>
        <w:t>项目废水</w:t>
      </w:r>
      <w:r>
        <w:rPr>
          <w:rFonts w:hint="eastAsia"/>
          <w:szCs w:val="28"/>
          <w:lang w:eastAsia="zh-CN"/>
        </w:rPr>
        <w:t>主要是</w:t>
      </w:r>
      <w:r>
        <w:rPr>
          <w:rFonts w:hint="eastAsia"/>
        </w:rPr>
        <w:t>尾气洗涤塔废水、真空泵废水、地面冲洗水、新增的</w:t>
      </w:r>
      <w:r>
        <w:t>循环冷却排污水</w:t>
      </w:r>
      <w:r>
        <w:rPr>
          <w:rFonts w:hint="eastAsia"/>
        </w:rPr>
        <w:t>和脱盐水站排水。</w:t>
      </w:r>
      <w:r>
        <w:rPr>
          <w:szCs w:val="28"/>
        </w:rPr>
        <w:t>尾气洗涤塔外排水、</w:t>
      </w:r>
      <w:r>
        <w:rPr>
          <w:snapToGrid w:val="0"/>
          <w:kern w:val="0"/>
          <w:szCs w:val="28"/>
        </w:rPr>
        <w:t>真空系统废水</w:t>
      </w:r>
      <w:r>
        <w:rPr>
          <w:szCs w:val="28"/>
        </w:rPr>
        <w:t>、</w:t>
      </w:r>
      <w:r>
        <w:rPr>
          <w:snapToGrid w:val="0"/>
          <w:kern w:val="0"/>
          <w:szCs w:val="28"/>
        </w:rPr>
        <w:t>地面冲洗废水</w:t>
      </w:r>
      <w:r>
        <w:rPr>
          <w:szCs w:val="28"/>
        </w:rPr>
        <w:t>送厂区现有污水处理站处理</w:t>
      </w:r>
      <w:r>
        <w:rPr>
          <w:rFonts w:hint="eastAsia"/>
          <w:szCs w:val="28"/>
          <w:lang w:eastAsia="zh-CN"/>
        </w:rPr>
        <w:t>，经处理后</w:t>
      </w:r>
      <w:r>
        <w:rPr>
          <w:rFonts w:hint="eastAsia"/>
          <w:szCs w:val="28"/>
        </w:rPr>
        <w:t>出水</w:t>
      </w:r>
      <w:r>
        <w:rPr>
          <w:szCs w:val="28"/>
        </w:rPr>
        <w:t>水质满足《污水综合排放标准》（GB8978-1996）表4</w:t>
      </w:r>
      <w:r>
        <w:rPr>
          <w:rFonts w:hint="eastAsia"/>
          <w:szCs w:val="28"/>
        </w:rPr>
        <w:t>二</w:t>
      </w:r>
      <w:r>
        <w:rPr>
          <w:szCs w:val="28"/>
        </w:rPr>
        <w:t>级标准限值要求</w:t>
      </w:r>
      <w:r>
        <w:rPr>
          <w:rFonts w:hint="eastAsia"/>
          <w:szCs w:val="28"/>
          <w:lang w:eastAsia="zh-CN"/>
        </w:rPr>
        <w:t>，</w:t>
      </w:r>
      <w:r>
        <w:rPr>
          <w:rFonts w:hint="eastAsia"/>
          <w:szCs w:val="28"/>
        </w:rPr>
        <w:t>由厂区总排口排入濮阳市第二污水处理厂。</w:t>
      </w:r>
      <w:r>
        <w:rPr>
          <w:szCs w:val="28"/>
        </w:rPr>
        <w:t>新增的循环冷却外排水和脱盐水站排污水均属清净下水，直接排入濮阳市第二污水处理厂处理。</w:t>
      </w:r>
    </w:p>
    <w:p>
      <w:pPr>
        <w:ind w:firstLine="0" w:firstLineChars="0"/>
        <w:outlineLvl w:val="3"/>
        <w:rPr>
          <w:b/>
        </w:rPr>
      </w:pPr>
      <w:r>
        <w:rPr>
          <w:b/>
        </w:rPr>
        <w:t>11.1.3.3  噪声</w:t>
      </w:r>
    </w:p>
    <w:p>
      <w:pPr>
        <w:ind w:firstLine="560"/>
      </w:pPr>
      <w:r>
        <w:rPr>
          <w:kern w:val="0"/>
          <w:szCs w:val="28"/>
        </w:rPr>
        <w:t>项目的噪声污染来源主要为各类机泵、</w:t>
      </w:r>
      <w:r>
        <w:rPr>
          <w:rFonts w:hint="eastAsia"/>
          <w:kern w:val="0"/>
          <w:szCs w:val="28"/>
        </w:rPr>
        <w:t>压缩机</w:t>
      </w:r>
      <w:r>
        <w:rPr>
          <w:kern w:val="0"/>
          <w:szCs w:val="28"/>
        </w:rPr>
        <w:t>等</w:t>
      </w:r>
      <w:r>
        <w:rPr>
          <w:rFonts w:hint="eastAsia"/>
          <w:kern w:val="0"/>
          <w:szCs w:val="28"/>
        </w:rPr>
        <w:t>；</w:t>
      </w:r>
      <w:r>
        <w:rPr>
          <w:kern w:val="0"/>
          <w:szCs w:val="28"/>
        </w:rPr>
        <w:t>针对生产</w:t>
      </w:r>
      <w:r>
        <w:rPr>
          <w:rFonts w:hint="eastAsia"/>
          <w:kern w:val="0"/>
          <w:szCs w:val="28"/>
        </w:rPr>
        <w:t>设备</w:t>
      </w:r>
      <w:r>
        <w:rPr>
          <w:kern w:val="0"/>
          <w:szCs w:val="28"/>
        </w:rPr>
        <w:t>噪声，主要通过对</w:t>
      </w:r>
      <w:r>
        <w:rPr>
          <w:rFonts w:hint="eastAsia"/>
          <w:kern w:val="0"/>
          <w:szCs w:val="28"/>
        </w:rPr>
        <w:t>高噪声</w:t>
      </w:r>
      <w:r>
        <w:rPr>
          <w:kern w:val="0"/>
          <w:szCs w:val="28"/>
        </w:rPr>
        <w:t>设备采取隔声及减振等措施来降低噪声影响</w:t>
      </w:r>
      <w:r>
        <w:rPr>
          <w:rFonts w:hint="eastAsia"/>
          <w:kern w:val="0"/>
          <w:szCs w:val="28"/>
        </w:rPr>
        <w:t>，</w:t>
      </w:r>
      <w:r>
        <w:rPr>
          <w:rFonts w:hint="eastAsia"/>
        </w:rPr>
        <w:t>各设备噪声值可降至60~70dB（A）。通过噪声影响预测表明：工程营运后，厂界噪声满足《工业企业厂界噪声标准》（GB12348-2008）3类标准要求，不会造成噪声扰民现象。</w:t>
      </w:r>
    </w:p>
    <w:p>
      <w:pPr>
        <w:ind w:firstLine="0" w:firstLineChars="0"/>
        <w:outlineLvl w:val="3"/>
        <w:rPr>
          <w:b/>
        </w:rPr>
      </w:pPr>
      <w:r>
        <w:rPr>
          <w:b/>
        </w:rPr>
        <w:t>11.1.3.4  固废</w:t>
      </w:r>
    </w:p>
    <w:p>
      <w:pPr>
        <w:pStyle w:val="10"/>
        <w:spacing w:line="500" w:lineRule="exact"/>
        <w:ind w:firstLine="560"/>
      </w:pPr>
      <w:r>
        <w:rPr>
          <w:rFonts w:hint="eastAsia"/>
        </w:rPr>
        <w:t>项目固废主要是合成反应催化剂和废润滑油，均属于危险固废，由有相应处理资质的单位代为处置；项目危险废物依托现有工程危险废物暂存间暂存。</w:t>
      </w:r>
    </w:p>
    <w:p>
      <w:pPr>
        <w:pStyle w:val="5"/>
      </w:pPr>
      <w:r>
        <w:rPr>
          <w:rFonts w:hint="eastAsia"/>
        </w:rPr>
        <w:t>1</w:t>
      </w:r>
      <w:r>
        <w:t>1.1.4  环境质量现状</w:t>
      </w:r>
    </w:p>
    <w:p>
      <w:pPr>
        <w:pStyle w:val="29"/>
      </w:pPr>
      <w:r>
        <w:rPr>
          <w:rFonts w:hint="eastAsia"/>
        </w:rPr>
        <w:t>1</w:t>
      </w:r>
      <w:r>
        <w:t>1.</w:t>
      </w:r>
      <w:r>
        <w:rPr>
          <w:rFonts w:hint="eastAsia"/>
        </w:rPr>
        <w:t>1</w:t>
      </w:r>
      <w:r>
        <w:t>.4.1  环境空气</w:t>
      </w:r>
    </w:p>
    <w:p>
      <w:pPr>
        <w:ind w:firstLine="560"/>
        <w:rPr>
          <w:rFonts w:hint="eastAsia"/>
        </w:rPr>
      </w:pPr>
      <w:r>
        <w:rPr>
          <w:szCs w:val="28"/>
        </w:rPr>
        <w:t>根据2019年</w:t>
      </w:r>
      <w:r>
        <w:rPr>
          <w:rFonts w:hint="eastAsia"/>
          <w:szCs w:val="28"/>
        </w:rPr>
        <w:t>濮阳市</w:t>
      </w:r>
      <w:r>
        <w:rPr>
          <w:szCs w:val="28"/>
        </w:rPr>
        <w:t>环境空气质量监测网的基本污染物环境空气质量数据以及特征污染物的补充监测结果，项目所在区域基本污染物中的</w:t>
      </w:r>
      <w:r>
        <w:t>PM</w:t>
      </w:r>
      <w:r>
        <w:rPr>
          <w:vertAlign w:val="subscript"/>
        </w:rPr>
        <w:t>10</w:t>
      </w:r>
      <w:r>
        <w:rPr>
          <w:rFonts w:hint="eastAsia"/>
        </w:rPr>
        <w:t>、</w:t>
      </w:r>
      <w:r>
        <w:t>PM</w:t>
      </w:r>
      <w:r>
        <w:rPr>
          <w:vertAlign w:val="subscript"/>
        </w:rPr>
        <w:t>2.5</w:t>
      </w:r>
      <w:r>
        <w:rPr>
          <w:rFonts w:hint="eastAsia"/>
        </w:rPr>
        <w:t>和</w:t>
      </w:r>
      <w:r>
        <w:t>O</w:t>
      </w:r>
      <w:r>
        <w:rPr>
          <w:vertAlign w:val="subscript"/>
        </w:rPr>
        <w:t>3</w:t>
      </w:r>
      <w:r>
        <w:rPr>
          <w:rFonts w:hint="eastAsia"/>
        </w:rPr>
        <w:t>的年评价项目、</w:t>
      </w:r>
      <w:r>
        <w:t>NO</w:t>
      </w:r>
      <w:r>
        <w:rPr>
          <w:vertAlign w:val="subscript"/>
        </w:rPr>
        <w:t>2</w:t>
      </w:r>
      <w:r>
        <w:rPr>
          <w:rFonts w:hint="eastAsia"/>
        </w:rPr>
        <w:t>的日平均质量浓度均不达标，属于不达标区；</w:t>
      </w:r>
      <w:r>
        <w:rPr>
          <w:szCs w:val="28"/>
        </w:rPr>
        <w:t>区域环境空气质量不达标需要通过削减相关污染物的排放来提高区域环境空气质量。</w:t>
      </w:r>
    </w:p>
    <w:p>
      <w:pPr>
        <w:ind w:firstLine="560"/>
        <w:rPr>
          <w:szCs w:val="28"/>
        </w:rPr>
      </w:pPr>
      <w:r>
        <w:rPr>
          <w:rFonts w:hint="eastAsia"/>
          <w:szCs w:val="28"/>
        </w:rPr>
        <w:t>补充</w:t>
      </w:r>
      <w:r>
        <w:rPr>
          <w:szCs w:val="28"/>
        </w:rPr>
        <w:t>监测期间评价区域内各监测点位</w:t>
      </w:r>
      <w:r>
        <w:rPr>
          <w:rFonts w:hint="eastAsia"/>
          <w:szCs w:val="28"/>
        </w:rPr>
        <w:t>甲醇、乙二醇、非甲烷总烃的环境质量现状值均能满足相应标准要求</w:t>
      </w:r>
      <w:r>
        <w:rPr>
          <w:szCs w:val="28"/>
        </w:rPr>
        <w:t>。</w:t>
      </w:r>
    </w:p>
    <w:p>
      <w:pPr>
        <w:pStyle w:val="29"/>
      </w:pPr>
      <w:r>
        <w:rPr>
          <w:rFonts w:hint="eastAsia"/>
        </w:rPr>
        <w:t>1</w:t>
      </w:r>
      <w:r>
        <w:t>1.</w:t>
      </w:r>
      <w:r>
        <w:rPr>
          <w:rFonts w:hint="eastAsia"/>
        </w:rPr>
        <w:t>1</w:t>
      </w:r>
      <w:r>
        <w:t>.4.</w:t>
      </w:r>
      <w:r>
        <w:rPr>
          <w:rFonts w:hint="eastAsia"/>
        </w:rPr>
        <w:t>2</w:t>
      </w:r>
      <w:r>
        <w:t xml:space="preserve">  地下水环境</w:t>
      </w:r>
    </w:p>
    <w:p>
      <w:pPr>
        <w:pStyle w:val="27"/>
        <w:ind w:firstLine="560"/>
      </w:pPr>
      <w:r>
        <w:t>调查评价区内浅层地下水化学类型主要为：</w:t>
      </w:r>
      <w:r>
        <w:rPr>
          <w:rFonts w:hint="eastAsia"/>
        </w:rPr>
        <w:t>HCO</w:t>
      </w:r>
      <w:r>
        <w:rPr>
          <w:rFonts w:hint="eastAsia"/>
          <w:vertAlign w:val="subscript"/>
        </w:rPr>
        <w:t>3</w:t>
      </w:r>
      <w:r>
        <w:rPr>
          <w:rFonts w:hint="eastAsia"/>
        </w:rPr>
        <w:t>—Ca·Mg</w:t>
      </w:r>
      <w:r>
        <w:t>型水、</w:t>
      </w:r>
      <w:r>
        <w:rPr>
          <w:rFonts w:hint="eastAsia"/>
        </w:rPr>
        <w:t>HCO</w:t>
      </w:r>
      <w:r>
        <w:rPr>
          <w:rFonts w:hint="eastAsia"/>
          <w:vertAlign w:val="subscript"/>
        </w:rPr>
        <w:t>3</w:t>
      </w:r>
      <w:r>
        <w:rPr>
          <w:rFonts w:hint="eastAsia"/>
        </w:rPr>
        <w:t>·SO</w:t>
      </w:r>
      <w:r>
        <w:rPr>
          <w:rFonts w:hint="eastAsia"/>
          <w:vertAlign w:val="subscript"/>
        </w:rPr>
        <w:t>4</w:t>
      </w:r>
      <w:r>
        <w:rPr>
          <w:rFonts w:hint="eastAsia"/>
        </w:rPr>
        <w:t>—Mg·Ca</w:t>
      </w:r>
      <w:r>
        <w:t>型水、</w:t>
      </w:r>
      <w:r>
        <w:rPr>
          <w:rFonts w:hint="eastAsia"/>
        </w:rPr>
        <w:t>HCO</w:t>
      </w:r>
      <w:r>
        <w:rPr>
          <w:rFonts w:hint="eastAsia"/>
          <w:vertAlign w:val="subscript"/>
        </w:rPr>
        <w:t>3</w:t>
      </w:r>
      <w:r>
        <w:rPr>
          <w:rFonts w:hint="eastAsia"/>
        </w:rPr>
        <w:t>—Mg·Na·Ca</w:t>
      </w:r>
      <w:r>
        <w:t>型水、</w:t>
      </w:r>
      <w:r>
        <w:rPr>
          <w:rFonts w:hint="eastAsia"/>
        </w:rPr>
        <w:t>Cl·SO</w:t>
      </w:r>
      <w:r>
        <w:rPr>
          <w:rFonts w:hint="eastAsia"/>
          <w:vertAlign w:val="subscript"/>
        </w:rPr>
        <w:t>4</w:t>
      </w:r>
      <w:r>
        <w:rPr>
          <w:rFonts w:hint="eastAsia"/>
        </w:rPr>
        <w:t>—Na·Mg</w:t>
      </w:r>
      <w:r>
        <w:t>型水。从水化学类型来看，调查评价区内浅层地下水阳离子主要为Ca、Mg、</w:t>
      </w:r>
      <w:r>
        <w:rPr>
          <w:rFonts w:hint="eastAsia"/>
        </w:rPr>
        <w:t>Na</w:t>
      </w:r>
      <w:r>
        <w:t>离子，阴离子主要为HCO</w:t>
      </w:r>
      <w:r>
        <w:rPr>
          <w:vertAlign w:val="subscript"/>
        </w:rPr>
        <w:t>3</w:t>
      </w:r>
      <w:r>
        <w:rPr>
          <w:vertAlign w:val="superscript"/>
        </w:rPr>
        <w:t>-</w:t>
      </w:r>
      <w:r>
        <w:t>、Cl</w:t>
      </w:r>
      <w:r>
        <w:rPr>
          <w:rFonts w:hint="eastAsia"/>
          <w:vertAlign w:val="superscript"/>
          <w:lang w:val="en-US" w:eastAsia="zh-CN"/>
        </w:rPr>
        <w:t>-</w:t>
      </w:r>
      <w:r>
        <w:t>、</w:t>
      </w:r>
      <w:r>
        <w:rPr>
          <w:rFonts w:hint="eastAsia"/>
        </w:rPr>
        <w:t>SO</w:t>
      </w:r>
      <w:r>
        <w:rPr>
          <w:rFonts w:hint="eastAsia"/>
          <w:vertAlign w:val="subscript"/>
        </w:rPr>
        <w:t>4</w:t>
      </w:r>
      <w:r>
        <w:rPr>
          <w:rFonts w:hint="eastAsia"/>
          <w:vertAlign w:val="superscript"/>
          <w:lang w:val="en-US" w:eastAsia="zh-CN"/>
        </w:rPr>
        <w:t>2-</w:t>
      </w:r>
      <w:r>
        <w:t>离子。</w:t>
      </w:r>
    </w:p>
    <w:p>
      <w:pPr>
        <w:pStyle w:val="27"/>
        <w:ind w:firstLine="560"/>
      </w:pPr>
      <w:r>
        <w:rPr>
          <w:rFonts w:hint="eastAsia"/>
          <w:lang w:eastAsia="zh-CN"/>
        </w:rPr>
        <w:t>根据水质监测结果，</w:t>
      </w:r>
      <w:r>
        <w:rPr>
          <w:rFonts w:hint="eastAsia"/>
        </w:rPr>
        <w:t>监测</w:t>
      </w:r>
      <w:r>
        <w:t>点位</w:t>
      </w:r>
      <w:r>
        <w:rPr>
          <w:rFonts w:hint="eastAsia"/>
        </w:rPr>
        <w:t>中锰、总硬度、氟化物普遍</w:t>
      </w:r>
      <w:r>
        <w:t>超标</w:t>
      </w:r>
      <w:r>
        <w:rPr>
          <w:rFonts w:hint="eastAsia"/>
        </w:rPr>
        <w:t>，其中</w:t>
      </w:r>
      <w:r>
        <w:t>7</w:t>
      </w:r>
      <w:r>
        <w:rPr>
          <w:rFonts w:hint="eastAsia"/>
        </w:rPr>
        <w:t>号点中另有氯离子、硫酸根指标</w:t>
      </w:r>
      <w:r>
        <w:t>超标。</w:t>
      </w:r>
      <w:r>
        <w:rPr>
          <w:rFonts w:hint="eastAsia"/>
        </w:rPr>
        <w:t>超标原因</w:t>
      </w:r>
      <w:r>
        <w:t>主要</w:t>
      </w:r>
      <w:r>
        <w:rPr>
          <w:rFonts w:hint="eastAsia"/>
        </w:rPr>
        <w:t>与地质原生背景关系较大。其他</w:t>
      </w:r>
      <w:r>
        <w:t>评价</w:t>
      </w:r>
      <w:r>
        <w:rPr>
          <w:rFonts w:hint="eastAsia"/>
        </w:rPr>
        <w:t>指标均满足《地下水质量标准》</w:t>
      </w:r>
      <w:r>
        <w:t>(GB/T14848</w:t>
      </w:r>
      <w:r>
        <w:rPr>
          <w:rFonts w:hint="eastAsia"/>
          <w:lang w:eastAsia="zh-CN"/>
        </w:rPr>
        <w:t>-</w:t>
      </w:r>
      <w:r>
        <w:t>2017)</w:t>
      </w:r>
      <w:r>
        <w:rPr>
          <w:rFonts w:hint="eastAsia"/>
        </w:rPr>
        <w:t>Ⅲ类标准。</w:t>
      </w:r>
    </w:p>
    <w:p>
      <w:pPr>
        <w:pStyle w:val="29"/>
      </w:pPr>
      <w:r>
        <w:rPr>
          <w:rFonts w:hint="eastAsia"/>
        </w:rPr>
        <w:t>1</w:t>
      </w:r>
      <w:r>
        <w:t>1.</w:t>
      </w:r>
      <w:r>
        <w:rPr>
          <w:rFonts w:hint="eastAsia"/>
        </w:rPr>
        <w:t>1</w:t>
      </w:r>
      <w:r>
        <w:t>.4.</w:t>
      </w:r>
      <w:r>
        <w:rPr>
          <w:rFonts w:hint="eastAsia"/>
        </w:rPr>
        <w:t xml:space="preserve">3  </w:t>
      </w:r>
      <w:r>
        <w:t>地表水环境质量</w:t>
      </w:r>
    </w:p>
    <w:p>
      <w:pPr>
        <w:ind w:firstLine="560"/>
        <w:rPr>
          <w:szCs w:val="28"/>
        </w:rPr>
      </w:pPr>
      <w:r>
        <w:rPr>
          <w:szCs w:val="28"/>
        </w:rPr>
        <w:t>根据统计结果可知，2020年1~1</w:t>
      </w:r>
      <w:r>
        <w:rPr>
          <w:rFonts w:hint="eastAsia"/>
          <w:szCs w:val="28"/>
        </w:rPr>
        <w:t>1</w:t>
      </w:r>
      <w:r>
        <w:rPr>
          <w:szCs w:val="28"/>
        </w:rPr>
        <w:t>月</w:t>
      </w:r>
      <w:r>
        <w:rPr>
          <w:rFonts w:hint="eastAsia"/>
          <w:szCs w:val="28"/>
        </w:rPr>
        <w:t>马颊河南乐水文站</w:t>
      </w:r>
      <w:r>
        <w:rPr>
          <w:szCs w:val="20"/>
        </w:rPr>
        <w:t>断面</w:t>
      </w:r>
      <w:r>
        <w:rPr>
          <w:rFonts w:hint="eastAsia"/>
          <w:szCs w:val="28"/>
        </w:rPr>
        <w:t>C</w:t>
      </w:r>
      <w:r>
        <w:rPr>
          <w:szCs w:val="28"/>
        </w:rPr>
        <w:t>OD</w:t>
      </w:r>
      <w:r>
        <w:rPr>
          <w:rFonts w:hint="eastAsia"/>
          <w:szCs w:val="28"/>
        </w:rPr>
        <w:t>、</w:t>
      </w:r>
      <w:r>
        <w:rPr>
          <w:szCs w:val="28"/>
        </w:rPr>
        <w:t>氨氮</w:t>
      </w:r>
      <w:r>
        <w:rPr>
          <w:rFonts w:hint="eastAsia"/>
          <w:szCs w:val="28"/>
        </w:rPr>
        <w:t>、</w:t>
      </w:r>
      <w:r>
        <w:rPr>
          <w:szCs w:val="28"/>
        </w:rPr>
        <w:t>总磷</w:t>
      </w:r>
      <w:r>
        <w:rPr>
          <w:rFonts w:hint="eastAsia"/>
          <w:szCs w:val="28"/>
        </w:rPr>
        <w:t>均</w:t>
      </w:r>
      <w:r>
        <w:rPr>
          <w:szCs w:val="28"/>
        </w:rPr>
        <w:t>满足《地表水环境质量标准》（GB3838-2002）</w:t>
      </w:r>
      <w:r>
        <w:rPr>
          <w:rFonts w:hint="eastAsia"/>
          <w:sz w:val="21"/>
          <w:szCs w:val="21"/>
        </w:rPr>
        <w:fldChar w:fldCharType="begin"/>
      </w:r>
      <w:r>
        <w:rPr>
          <w:rFonts w:hint="eastAsia"/>
          <w:sz w:val="21"/>
          <w:szCs w:val="21"/>
        </w:rPr>
        <w:instrText xml:space="preserve"> = 4 \* ROMAN \* MERGEFORMAT </w:instrText>
      </w:r>
      <w:r>
        <w:rPr>
          <w:rFonts w:hint="eastAsia"/>
          <w:sz w:val="21"/>
          <w:szCs w:val="21"/>
        </w:rPr>
        <w:fldChar w:fldCharType="separate"/>
      </w:r>
      <w:r>
        <w:t>IV</w:t>
      </w:r>
      <w:r>
        <w:rPr>
          <w:rFonts w:hint="eastAsia"/>
          <w:sz w:val="21"/>
          <w:szCs w:val="21"/>
        </w:rPr>
        <w:fldChar w:fldCharType="end"/>
      </w:r>
      <w:r>
        <w:rPr>
          <w:szCs w:val="28"/>
        </w:rPr>
        <w:t>类标准的要求。</w:t>
      </w:r>
    </w:p>
    <w:p>
      <w:pPr>
        <w:pStyle w:val="29"/>
      </w:pPr>
      <w:r>
        <w:rPr>
          <w:rFonts w:hint="eastAsia"/>
        </w:rPr>
        <w:t>1</w:t>
      </w:r>
      <w:r>
        <w:t>1.</w:t>
      </w:r>
      <w:r>
        <w:rPr>
          <w:rFonts w:hint="eastAsia"/>
        </w:rPr>
        <w:t>1</w:t>
      </w:r>
      <w:r>
        <w:t>.4.</w:t>
      </w:r>
      <w:r>
        <w:rPr>
          <w:rFonts w:hint="eastAsia"/>
        </w:rPr>
        <w:t>4</w:t>
      </w:r>
      <w:r>
        <w:t xml:space="preserve">  声环境</w:t>
      </w:r>
    </w:p>
    <w:p>
      <w:pPr>
        <w:pStyle w:val="27"/>
        <w:ind w:firstLine="560"/>
        <w:rPr>
          <w:rFonts w:hint="eastAsia"/>
          <w:lang w:eastAsia="zh-CN"/>
        </w:rPr>
      </w:pPr>
      <w:r>
        <w:rPr>
          <w:rFonts w:hint="eastAsia" w:hAnsi="宋体"/>
          <w:szCs w:val="28"/>
        </w:rPr>
        <w:t>监测期间，</w:t>
      </w:r>
      <w:r>
        <w:t>厂址声环境质量现状满足《声环境质量标准》（GB3096-2008）</w:t>
      </w:r>
      <w:r>
        <w:rPr>
          <w:rFonts w:hint="eastAsia"/>
          <w:lang w:eastAsia="zh-CN"/>
        </w:rPr>
        <w:t>3</w:t>
      </w:r>
      <w:r>
        <w:t>类标准要求。</w:t>
      </w:r>
    </w:p>
    <w:p>
      <w:pPr>
        <w:pStyle w:val="29"/>
        <w:rPr>
          <w:rFonts w:hint="eastAsia"/>
        </w:rPr>
      </w:pPr>
      <w:r>
        <w:rPr>
          <w:rFonts w:hint="eastAsia"/>
        </w:rPr>
        <w:t>1</w:t>
      </w:r>
      <w:r>
        <w:t>1.</w:t>
      </w:r>
      <w:r>
        <w:rPr>
          <w:rFonts w:hint="eastAsia"/>
        </w:rPr>
        <w:t>1</w:t>
      </w:r>
      <w:r>
        <w:t xml:space="preserve">.4.5  </w:t>
      </w:r>
      <w:r>
        <w:rPr>
          <w:rFonts w:hint="eastAsia"/>
        </w:rPr>
        <w:t>土壤</w:t>
      </w:r>
    </w:p>
    <w:p>
      <w:pPr>
        <w:pStyle w:val="27"/>
        <w:ind w:firstLine="560"/>
      </w:pPr>
      <w:r>
        <w:rPr>
          <w:rFonts w:hint="eastAsia"/>
          <w:lang w:val="en-US" w:eastAsia="zh-CN"/>
        </w:rPr>
        <w:t>建设用地</w:t>
      </w:r>
      <w:r>
        <w:rPr>
          <w:rFonts w:hint="eastAsia"/>
        </w:rPr>
        <w:t>各监测点位</w:t>
      </w:r>
      <w:r>
        <w:rPr>
          <w:rFonts w:hint="eastAsia"/>
          <w:lang w:val="en-US" w:eastAsia="zh-CN"/>
        </w:rPr>
        <w:t>的</w:t>
      </w:r>
      <w:r>
        <w:rPr>
          <w:rFonts w:hint="eastAsia"/>
        </w:rPr>
        <w:t>45</w:t>
      </w:r>
      <w:r>
        <w:rPr>
          <w:rFonts w:hint="eastAsia"/>
          <w:lang w:val="en-US" w:eastAsia="zh-CN"/>
        </w:rPr>
        <w:t>个</w:t>
      </w:r>
      <w:r>
        <w:rPr>
          <w:rFonts w:hint="eastAsia"/>
        </w:rPr>
        <w:t>基本因子以及其他项目</w:t>
      </w:r>
      <w:r>
        <w:rPr>
          <w:rFonts w:hint="eastAsia"/>
          <w:lang w:val="en-US" w:eastAsia="zh-CN"/>
        </w:rPr>
        <w:t>氰化物（现有污水处理站区域柱状样）、</w:t>
      </w:r>
      <w:r>
        <w:rPr>
          <w:rFonts w:hint="eastAsia"/>
        </w:rPr>
        <w:t>石油烃</w:t>
      </w:r>
      <w:r>
        <w:rPr>
          <w:rFonts w:hint="eastAsia"/>
          <w:lang w:val="en-US" w:eastAsia="zh-CN"/>
        </w:rPr>
        <w:t>的检测结果</w:t>
      </w:r>
      <w:r>
        <w:rPr>
          <w:rFonts w:hint="eastAsia"/>
        </w:rPr>
        <w:t>均</w:t>
      </w:r>
      <w:r>
        <w:rPr>
          <w:rFonts w:hint="eastAsia"/>
          <w:lang w:val="en-US" w:eastAsia="zh-CN"/>
        </w:rPr>
        <w:t>低于</w:t>
      </w:r>
      <w:r>
        <w:rPr>
          <w:rFonts w:hint="eastAsia"/>
        </w:rPr>
        <w:t>《土壤环境质量 建设用地土壤污染风险管控标准(试行)》(GB36600-2018)表1和表2</w:t>
      </w:r>
      <w:r>
        <w:rPr>
          <w:rFonts w:hint="eastAsia"/>
          <w:szCs w:val="28"/>
        </w:rPr>
        <w:t>第二类用地的筛选值要求。</w:t>
      </w:r>
    </w:p>
    <w:p>
      <w:pPr>
        <w:pStyle w:val="27"/>
        <w:ind w:firstLine="560"/>
      </w:pPr>
      <w:r>
        <w:rPr>
          <w:rFonts w:hint="eastAsia"/>
          <w:lang w:val="en-US" w:eastAsia="zh-CN"/>
        </w:rPr>
        <w:t>农用地监测点位的8个基本项目的检测结果均低于</w:t>
      </w:r>
      <w:r>
        <w:rPr>
          <w:rFonts w:hint="eastAsia"/>
        </w:rPr>
        <w:t xml:space="preserve">《土壤环境质量 </w:t>
      </w:r>
      <w:r>
        <w:rPr>
          <w:rFonts w:hint="eastAsia"/>
          <w:lang w:val="en-US" w:eastAsia="zh-CN"/>
        </w:rPr>
        <w:t>农</w:t>
      </w:r>
      <w:r>
        <w:rPr>
          <w:rFonts w:hint="eastAsia"/>
        </w:rPr>
        <w:t xml:space="preserve">用地土壤污染风险管控标准（试行）》（GB </w:t>
      </w:r>
      <w:r>
        <w:rPr>
          <w:rFonts w:hint="eastAsia"/>
          <w:lang w:val="en-US" w:eastAsia="zh-CN"/>
        </w:rPr>
        <w:t>15618</w:t>
      </w:r>
      <w:r>
        <w:rPr>
          <w:rFonts w:hint="eastAsia"/>
        </w:rPr>
        <w:t>-2018）</w:t>
      </w:r>
      <w:r>
        <w:rPr>
          <w:rFonts w:hint="eastAsia"/>
          <w:lang w:val="en-US" w:eastAsia="zh-CN"/>
        </w:rPr>
        <w:t>表1筛选值。</w:t>
      </w:r>
    </w:p>
    <w:p>
      <w:pPr>
        <w:pStyle w:val="5"/>
      </w:pPr>
      <w:r>
        <w:rPr>
          <w:rFonts w:hint="eastAsia"/>
        </w:rPr>
        <w:t>1</w:t>
      </w:r>
      <w:r>
        <w:t>1.1.5  环境影响预测</w:t>
      </w:r>
    </w:p>
    <w:p>
      <w:pPr>
        <w:ind w:firstLine="0" w:firstLineChars="0"/>
        <w:outlineLvl w:val="3"/>
        <w:rPr>
          <w:b/>
        </w:rPr>
      </w:pPr>
      <w:r>
        <w:rPr>
          <w:rFonts w:hint="eastAsia"/>
          <w:b/>
        </w:rPr>
        <w:t>1</w:t>
      </w:r>
      <w:r>
        <w:rPr>
          <w:b/>
        </w:rPr>
        <w:t>1</w:t>
      </w:r>
      <w:r>
        <w:rPr>
          <w:rFonts w:hint="eastAsia"/>
          <w:b/>
        </w:rPr>
        <w:t>.</w:t>
      </w:r>
      <w:r>
        <w:rPr>
          <w:b/>
        </w:rPr>
        <w:t>1.5.1  环境空气</w:t>
      </w:r>
    </w:p>
    <w:p>
      <w:pPr>
        <w:pStyle w:val="27"/>
        <w:ind w:firstLine="560"/>
      </w:pPr>
      <w:r>
        <w:rPr>
          <w:lang w:val="en-US" w:eastAsia="zh-CN"/>
        </w:rPr>
        <w:t>本项目</w:t>
      </w:r>
      <w:r>
        <w:rPr>
          <w:rFonts w:hint="eastAsia"/>
          <w:lang w:val="en-US" w:eastAsia="zh-CN"/>
        </w:rPr>
        <w:t>最大占标率</w:t>
      </w:r>
      <w:r>
        <w:t>P</w:t>
      </w:r>
      <w:r>
        <w:rPr>
          <w:vertAlign w:val="subscript"/>
        </w:rPr>
        <w:t>max</w:t>
      </w:r>
      <w:r>
        <w:rPr>
          <w:lang w:val="en-US" w:eastAsia="zh-CN"/>
        </w:rPr>
        <w:t>=0.92%（</w:t>
      </w:r>
      <w:r>
        <w:rPr>
          <w:szCs w:val="21"/>
        </w:rPr>
        <w:t>g</w:t>
      </w:r>
      <w:r>
        <w:rPr>
          <w:szCs w:val="21"/>
          <w:vertAlign w:val="subscript"/>
        </w:rPr>
        <w:t>1</w:t>
      </w:r>
      <w:r>
        <w:rPr>
          <w:szCs w:val="21"/>
        </w:rPr>
        <w:t>无组织</w:t>
      </w:r>
      <w:r>
        <w:rPr>
          <w:lang w:val="en-US" w:eastAsia="zh-CN"/>
        </w:rPr>
        <w:t>）&lt;</w:t>
      </w:r>
      <w:r>
        <w:t>1%。根据HJ2.2-2018</w:t>
      </w:r>
      <w:r>
        <w:rPr>
          <w:lang w:val="en-US" w:eastAsia="zh-CN"/>
        </w:rPr>
        <w:t>规定</w:t>
      </w:r>
      <w:r>
        <w:t>，</w:t>
      </w:r>
      <w:r>
        <w:rPr>
          <w:lang w:val="en-US" w:eastAsia="zh-CN"/>
        </w:rPr>
        <w:t>项目评价等级提高一级。因此本</w:t>
      </w:r>
      <w:r>
        <w:t>项目大气影响评价工作等级为</w:t>
      </w:r>
      <w:r>
        <w:rPr>
          <w:lang w:val="en-US" w:eastAsia="zh-CN"/>
        </w:rPr>
        <w:t>二</w:t>
      </w:r>
      <w:r>
        <w:t>级。</w:t>
      </w:r>
    </w:p>
    <w:p>
      <w:pPr>
        <w:pStyle w:val="27"/>
        <w:ind w:firstLine="560"/>
      </w:pPr>
      <w:r>
        <w:rPr>
          <w:rFonts w:hint="eastAsia"/>
          <w:lang w:val="en-US" w:eastAsia="zh-CN"/>
        </w:rPr>
        <w:t>根据预测分析，</w:t>
      </w:r>
      <w:r>
        <w:t>项目营运期的废气对周围环境影响较小，不会对周边大气环境造成明显不利影响。</w:t>
      </w:r>
    </w:p>
    <w:p>
      <w:pPr>
        <w:ind w:firstLine="0" w:firstLineChars="0"/>
        <w:outlineLvl w:val="3"/>
        <w:rPr>
          <w:b/>
        </w:rPr>
      </w:pPr>
      <w:r>
        <w:rPr>
          <w:rFonts w:hint="eastAsia"/>
          <w:b/>
        </w:rPr>
        <w:t>1</w:t>
      </w:r>
      <w:r>
        <w:rPr>
          <w:b/>
        </w:rPr>
        <w:t>1.1.5.2  地表水</w:t>
      </w:r>
    </w:p>
    <w:p>
      <w:pPr>
        <w:pStyle w:val="27"/>
        <w:ind w:firstLine="560"/>
        <w:rPr>
          <w:rFonts w:hint="eastAsia"/>
          <w:lang w:val="en-US" w:eastAsia="zh-CN"/>
        </w:rPr>
      </w:pPr>
      <w:r>
        <w:t>本项目废水对中原大化现有污水处理站出水现状贡献值很小，废水进入中原大化污水处理站处理后，厂区总排口出水可满足GB8978-1996《污水综合排放标准》表4二级标准限值要求和濮阳市第二污水处理厂收水水质要求</w:t>
      </w:r>
      <w:r>
        <w:rPr>
          <w:rFonts w:hint="eastAsia"/>
          <w:lang w:eastAsia="zh-CN"/>
        </w:rPr>
        <w:t>；同时濮阳市第二污水处理厂</w:t>
      </w:r>
      <w:r>
        <w:rPr>
          <w:lang w:val="en-US" w:eastAsia="zh-CN"/>
        </w:rPr>
        <w:t>处理余量为1万m</w:t>
      </w:r>
      <w:r>
        <w:rPr>
          <w:vertAlign w:val="superscript"/>
          <w:lang w:val="en-US" w:eastAsia="zh-CN"/>
        </w:rPr>
        <w:t>3</w:t>
      </w:r>
      <w:r>
        <w:rPr>
          <w:lang w:val="en-US" w:eastAsia="zh-CN"/>
        </w:rPr>
        <w:t>/d</w:t>
      </w:r>
      <w:r>
        <w:rPr>
          <w:rFonts w:hint="eastAsia"/>
          <w:lang w:val="en-US" w:eastAsia="zh-CN"/>
        </w:rPr>
        <w:t>，项目废水排放增量较小（</w:t>
      </w:r>
      <w:r>
        <w:rPr>
          <w:lang w:val="en-US" w:eastAsia="zh-CN"/>
        </w:rPr>
        <w:t>48.48t</w:t>
      </w:r>
      <w:r>
        <w:rPr>
          <w:lang w:val="zh-CN"/>
        </w:rPr>
        <w:t>/d</w:t>
      </w:r>
      <w:r>
        <w:rPr>
          <w:rFonts w:hint="eastAsia"/>
          <w:lang w:val="en-US" w:eastAsia="zh-CN"/>
        </w:rPr>
        <w:t>），对污水处理厂冲击较小。</w:t>
      </w:r>
    </w:p>
    <w:p>
      <w:pPr>
        <w:ind w:firstLine="0" w:firstLineChars="0"/>
        <w:outlineLvl w:val="3"/>
        <w:rPr>
          <w:b/>
        </w:rPr>
      </w:pPr>
      <w:r>
        <w:rPr>
          <w:rFonts w:hint="eastAsia"/>
          <w:b/>
        </w:rPr>
        <w:t>1</w:t>
      </w:r>
      <w:r>
        <w:rPr>
          <w:b/>
        </w:rPr>
        <w:t>1.1.5.3  声环境</w:t>
      </w:r>
    </w:p>
    <w:p>
      <w:pPr>
        <w:ind w:firstLine="560"/>
        <w:rPr>
          <w:szCs w:val="28"/>
        </w:rPr>
      </w:pPr>
      <w:r>
        <w:rPr>
          <w:szCs w:val="28"/>
        </w:rPr>
        <w:t>工程投产运营后，东、南、北厂界噪声</w:t>
      </w:r>
      <w:r>
        <w:rPr>
          <w:rFonts w:hint="eastAsia"/>
          <w:szCs w:val="28"/>
        </w:rPr>
        <w:t>昼夜预测值</w:t>
      </w:r>
      <w:r>
        <w:rPr>
          <w:szCs w:val="28"/>
        </w:rPr>
        <w:t>均能够满足《工业企业厂界环境噪声排放标准》（GB12348-2008）中3类标准限值要求。</w:t>
      </w:r>
    </w:p>
    <w:p>
      <w:pPr>
        <w:pStyle w:val="29"/>
      </w:pPr>
      <w:r>
        <w:rPr>
          <w:rFonts w:hint="eastAsia"/>
        </w:rPr>
        <w:t>1</w:t>
      </w:r>
      <w:r>
        <w:t>1.1.5.4  固体废物</w:t>
      </w:r>
    </w:p>
    <w:p>
      <w:pPr>
        <w:ind w:firstLine="560"/>
        <w:rPr>
          <w:rFonts w:hint="eastAsia"/>
        </w:rPr>
      </w:pPr>
      <w:r>
        <w:t>固体废弃物均得到妥善处置和综合利用，在严格按照评价提出的堆存和处置利用措施后，对周围环境不会产生不良影响。</w:t>
      </w:r>
    </w:p>
    <w:p>
      <w:pPr>
        <w:pStyle w:val="29"/>
        <w:rPr>
          <w:rFonts w:hint="eastAsia"/>
        </w:rPr>
      </w:pPr>
      <w:r>
        <w:rPr>
          <w:rFonts w:hint="eastAsia"/>
        </w:rPr>
        <w:t>1</w:t>
      </w:r>
      <w:r>
        <w:t xml:space="preserve">1.1.5.5  </w:t>
      </w:r>
      <w:r>
        <w:rPr>
          <w:rFonts w:hint="eastAsia"/>
        </w:rPr>
        <w:t>土壤</w:t>
      </w:r>
    </w:p>
    <w:p>
      <w:pPr>
        <w:ind w:firstLine="573" w:firstLineChars="0"/>
      </w:pPr>
      <w:r>
        <w:rPr>
          <w:rFonts w:hint="eastAsia"/>
        </w:rPr>
        <w:t>根据土壤预测结果，对任意一个观测点，当污染物垂直运移到该点后，200天内土壤中COD浓度快速升高；250天后土壤中COD浓度基本达到最大值，最大值为12mg/cm</w:t>
      </w:r>
      <w:r>
        <w:rPr>
          <w:rFonts w:hint="eastAsia"/>
          <w:vertAlign w:val="superscript"/>
        </w:rPr>
        <w:t>3</w:t>
      </w:r>
      <w:r>
        <w:rPr>
          <w:rFonts w:hint="eastAsia"/>
        </w:rPr>
        <w:t>，之后不再升高；COD垂直入渗至5m深度大约需要250天，750天时5m深度的土壤中COD浓度达到最大值，污染物垂直入渗速率较大。土壤对污染物的运移有一定的阻滞作用，但污染防护性能较差，污染物垂直运移速率较快。建议建设单位应加强污水处理设施的运维，利用设备检修期对包括尾气吸收塔在内的各种污水管线、水池的防渗层进行检查，减少非正常工况下的</w:t>
      </w:r>
      <w:r>
        <w:t>“</w:t>
      </w:r>
      <w:r>
        <w:rPr>
          <w:rFonts w:hint="eastAsia"/>
        </w:rPr>
        <w:t>跑冒滴漏</w:t>
      </w:r>
      <w:r>
        <w:t>”</w:t>
      </w:r>
      <w:r>
        <w:rPr>
          <w:rFonts w:hint="eastAsia"/>
        </w:rPr>
        <w:t>，从源头控制土壤污染。</w:t>
      </w:r>
    </w:p>
    <w:p>
      <w:pPr>
        <w:ind w:firstLine="0" w:firstLineChars="0"/>
        <w:outlineLvl w:val="3"/>
        <w:rPr>
          <w:b/>
        </w:rPr>
      </w:pPr>
      <w:r>
        <w:rPr>
          <w:rFonts w:hint="eastAsia"/>
          <w:b/>
        </w:rPr>
        <w:t>1</w:t>
      </w:r>
      <w:r>
        <w:rPr>
          <w:b/>
        </w:rPr>
        <w:t>1</w:t>
      </w:r>
      <w:r>
        <w:rPr>
          <w:rFonts w:hint="eastAsia"/>
          <w:b/>
        </w:rPr>
        <w:t>.</w:t>
      </w:r>
      <w:r>
        <w:rPr>
          <w:b/>
        </w:rPr>
        <w:t>1.5.</w:t>
      </w:r>
      <w:r>
        <w:rPr>
          <w:rFonts w:hint="eastAsia"/>
          <w:b/>
        </w:rPr>
        <w:t>6</w:t>
      </w:r>
      <w:r>
        <w:rPr>
          <w:b/>
        </w:rPr>
        <w:t xml:space="preserve">  环境</w:t>
      </w:r>
      <w:r>
        <w:rPr>
          <w:rFonts w:hint="eastAsia"/>
          <w:b/>
        </w:rPr>
        <w:t>风险</w:t>
      </w:r>
    </w:p>
    <w:p>
      <w:pPr>
        <w:pStyle w:val="8"/>
        <w:spacing w:line="500" w:lineRule="exact"/>
        <w:ind w:firstLine="560"/>
        <w:rPr>
          <w:rFonts w:hint="eastAsia"/>
          <w:color w:val="auto"/>
          <w:sz w:val="28"/>
          <w:szCs w:val="28"/>
        </w:rPr>
      </w:pPr>
      <w:r>
        <w:rPr>
          <w:rFonts w:hint="eastAsia"/>
          <w:color w:val="auto"/>
          <w:sz w:val="28"/>
          <w:szCs w:val="28"/>
        </w:rPr>
        <w:t>项目危险物质数量与临界量比值</w:t>
      </w:r>
      <w:r>
        <w:rPr>
          <w:color w:val="auto"/>
          <w:sz w:val="28"/>
          <w:szCs w:val="28"/>
        </w:rPr>
        <w:t>Q＜1</w:t>
      </w:r>
      <w:r>
        <w:rPr>
          <w:rFonts w:hint="eastAsia"/>
          <w:color w:val="auto"/>
          <w:sz w:val="28"/>
          <w:szCs w:val="28"/>
        </w:rPr>
        <w:t>，</w:t>
      </w:r>
      <w:r>
        <w:rPr>
          <w:color w:val="auto"/>
          <w:sz w:val="28"/>
          <w:szCs w:val="28"/>
        </w:rPr>
        <w:t>根据《建设项目环境风险评价技术导则》（HJ169-2018）</w:t>
      </w:r>
      <w:r>
        <w:rPr>
          <w:rFonts w:hint="eastAsia"/>
          <w:color w:val="auto"/>
          <w:sz w:val="28"/>
          <w:szCs w:val="28"/>
        </w:rPr>
        <w:t>附录C</w:t>
      </w:r>
      <w:r>
        <w:rPr>
          <w:color w:val="auto"/>
          <w:sz w:val="28"/>
          <w:szCs w:val="28"/>
        </w:rPr>
        <w:t>，项目风险潜势级别为I级</w:t>
      </w:r>
      <w:r>
        <w:rPr>
          <w:rFonts w:hint="eastAsia"/>
          <w:color w:val="auto"/>
          <w:sz w:val="28"/>
          <w:szCs w:val="28"/>
        </w:rPr>
        <w:t>，环境风险评价工作级别为简要分析。</w:t>
      </w:r>
    </w:p>
    <w:p>
      <w:pPr>
        <w:pStyle w:val="8"/>
        <w:spacing w:line="520" w:lineRule="exact"/>
        <w:ind w:firstLine="560"/>
        <w:rPr>
          <w:color w:val="auto"/>
          <w:sz w:val="28"/>
          <w:szCs w:val="28"/>
        </w:rPr>
      </w:pPr>
      <w:r>
        <w:rPr>
          <w:color w:val="auto"/>
          <w:sz w:val="28"/>
          <w:szCs w:val="28"/>
        </w:rPr>
        <w:t>项目</w:t>
      </w:r>
      <w:r>
        <w:rPr>
          <w:rFonts w:hint="eastAsia"/>
          <w:color w:val="auto"/>
          <w:sz w:val="28"/>
          <w:szCs w:val="28"/>
        </w:rPr>
        <w:t>涉及</w:t>
      </w:r>
      <w:r>
        <w:rPr>
          <w:color w:val="auto"/>
          <w:sz w:val="28"/>
          <w:szCs w:val="28"/>
        </w:rPr>
        <w:t>主要危险物质为</w:t>
      </w:r>
      <w:r>
        <w:rPr>
          <w:rFonts w:hint="eastAsia"/>
          <w:color w:val="auto"/>
          <w:sz w:val="28"/>
          <w:szCs w:val="28"/>
        </w:rPr>
        <w:t>氢气、乙二醇、丙二醇，</w:t>
      </w:r>
      <w:r>
        <w:rPr>
          <w:color w:val="auto"/>
          <w:sz w:val="28"/>
          <w:szCs w:val="28"/>
        </w:rPr>
        <w:t>主要分布在</w:t>
      </w:r>
      <w:r>
        <w:rPr>
          <w:rFonts w:hint="eastAsia"/>
          <w:color w:val="auto"/>
          <w:sz w:val="28"/>
          <w:szCs w:val="28"/>
        </w:rPr>
        <w:t>乙二醇合成和乙二醇精馏</w:t>
      </w:r>
      <w:r>
        <w:rPr>
          <w:color w:val="auto"/>
          <w:sz w:val="28"/>
          <w:szCs w:val="28"/>
        </w:rPr>
        <w:t>单元，环境风险因素主要为火灾爆炸事故次生污染物排放</w:t>
      </w:r>
      <w:r>
        <w:rPr>
          <w:rFonts w:hint="eastAsia"/>
          <w:color w:val="auto"/>
          <w:sz w:val="28"/>
          <w:szCs w:val="28"/>
        </w:rPr>
        <w:t>。</w:t>
      </w:r>
    </w:p>
    <w:p>
      <w:pPr>
        <w:ind w:firstLine="560"/>
        <w:rPr>
          <w:rFonts w:hint="eastAsia"/>
          <w:szCs w:val="28"/>
        </w:rPr>
      </w:pPr>
      <w:r>
        <w:rPr>
          <w:rFonts w:hint="eastAsia"/>
          <w:kern w:val="0"/>
          <w:szCs w:val="28"/>
        </w:rPr>
        <w:t>对于工程可能产生的风险事故，通过采取相应的风险防范措施，其影响处于可以接受的范围。</w:t>
      </w:r>
    </w:p>
    <w:p>
      <w:pPr>
        <w:pStyle w:val="5"/>
        <w:rPr>
          <w:rFonts w:hint="eastAsia"/>
        </w:rPr>
      </w:pPr>
      <w:r>
        <w:rPr>
          <w:rFonts w:hint="eastAsia"/>
        </w:rPr>
        <w:t>1</w:t>
      </w:r>
      <w:r>
        <w:t>1.1.6</w:t>
      </w:r>
      <w:r>
        <w:rPr>
          <w:rFonts w:hint="eastAsia"/>
        </w:rPr>
        <w:t xml:space="preserve">  环境影响经济损益分析</w:t>
      </w:r>
    </w:p>
    <w:p>
      <w:pPr>
        <w:pStyle w:val="27"/>
        <w:ind w:firstLine="560"/>
        <w:rPr>
          <w:szCs w:val="28"/>
          <w:lang w:eastAsia="zh-CN"/>
        </w:rPr>
      </w:pPr>
      <w:r>
        <w:rPr>
          <w:szCs w:val="28"/>
        </w:rPr>
        <w:t>本项目总投资2098万元，</w:t>
      </w:r>
      <w:r>
        <w:rPr>
          <w:kern w:val="0"/>
          <w:szCs w:val="28"/>
        </w:rPr>
        <w:t>估算环保投资共2</w:t>
      </w:r>
      <w:r>
        <w:rPr>
          <w:rFonts w:hint="eastAsia"/>
          <w:kern w:val="0"/>
          <w:szCs w:val="28"/>
        </w:rPr>
        <w:t>7</w:t>
      </w:r>
      <w:r>
        <w:rPr>
          <w:kern w:val="0"/>
          <w:szCs w:val="28"/>
        </w:rPr>
        <w:t>0万元，占总投资</w:t>
      </w:r>
      <w:r>
        <w:rPr>
          <w:rFonts w:hint="eastAsia"/>
          <w:kern w:val="0"/>
          <w:szCs w:val="28"/>
        </w:rPr>
        <w:t>约12.9</w:t>
      </w:r>
      <w:r>
        <w:rPr>
          <w:kern w:val="0"/>
          <w:szCs w:val="28"/>
        </w:rPr>
        <w:t>%。</w:t>
      </w:r>
      <w:r>
        <w:t>环保措施的实施，将大幅度减少工艺装置污染物的排放量，减轻由于项目建设对评价区周围环境质量的影响，环境效益较显著。因此，本</w:t>
      </w:r>
      <w:bookmarkStart w:id="303" w:name="_GoBack"/>
      <w:bookmarkEnd w:id="303"/>
      <w:r>
        <w:t>项目在坚持加强环境保护、重视节能降耗和资源综合回收利用的情况下，具有一定的环境效益。实现了社会效益、经济效益和环境效益的统一，环保投入确保了其对环境的影响控制在最低限度内。</w:t>
      </w:r>
    </w:p>
    <w:p>
      <w:pPr>
        <w:pStyle w:val="5"/>
      </w:pPr>
      <w:r>
        <w:rPr>
          <w:rFonts w:hint="eastAsia"/>
        </w:rPr>
        <w:t>1</w:t>
      </w:r>
      <w:r>
        <w:t xml:space="preserve">1.1.7  </w:t>
      </w:r>
      <w:r>
        <w:rPr>
          <w:rFonts w:hint="eastAsia"/>
        </w:rPr>
        <w:t>环境管理与监测计划</w:t>
      </w:r>
    </w:p>
    <w:p>
      <w:pPr>
        <w:autoSpaceDE w:val="0"/>
        <w:autoSpaceDN w:val="0"/>
        <w:adjustRightInd w:val="0"/>
        <w:ind w:firstLine="560"/>
        <w:rPr>
          <w:rFonts w:hint="eastAsia"/>
          <w:kern w:val="0"/>
          <w:szCs w:val="28"/>
        </w:rPr>
      </w:pPr>
      <w:r>
        <w:rPr>
          <w:kern w:val="0"/>
          <w:szCs w:val="28"/>
        </w:rPr>
        <w:t>项目建成后，应加强</w:t>
      </w:r>
      <w:r>
        <w:rPr>
          <w:rFonts w:hint="eastAsia"/>
          <w:kern w:val="0"/>
          <w:szCs w:val="28"/>
        </w:rPr>
        <w:t>自身污染源和</w:t>
      </w:r>
      <w:r>
        <w:rPr>
          <w:kern w:val="0"/>
          <w:szCs w:val="28"/>
        </w:rPr>
        <w:t>对周围环境质量的监测</w:t>
      </w:r>
      <w:r>
        <w:rPr>
          <w:rFonts w:hint="eastAsia"/>
          <w:kern w:val="0"/>
          <w:szCs w:val="28"/>
        </w:rPr>
        <w:t>，</w:t>
      </w:r>
      <w:r>
        <w:rPr>
          <w:kern w:val="0"/>
          <w:szCs w:val="28"/>
        </w:rPr>
        <w:t>由企业自行委托具备相关资质的单位开展实施</w:t>
      </w:r>
      <w:r>
        <w:rPr>
          <w:rFonts w:hint="eastAsia"/>
          <w:kern w:val="0"/>
          <w:szCs w:val="28"/>
        </w:rPr>
        <w:t>。</w:t>
      </w:r>
    </w:p>
    <w:p>
      <w:pPr>
        <w:pStyle w:val="80"/>
        <w:rPr>
          <w:rFonts w:ascii="Times New Roman" w:hAnsi="Times New Roman" w:cs="Times New Roman"/>
        </w:rPr>
      </w:pPr>
      <w:r>
        <w:rPr>
          <w:rFonts w:hint="eastAsia" w:ascii="Times New Roman" w:hAnsi="Times New Roman" w:cs="Times New Roman"/>
        </w:rPr>
        <w:t>1</w:t>
      </w:r>
      <w:r>
        <w:rPr>
          <w:rFonts w:ascii="Times New Roman" w:hAnsi="Times New Roman" w:cs="Times New Roman"/>
        </w:rPr>
        <w:t>1.2  对策建议</w:t>
      </w:r>
    </w:p>
    <w:p>
      <w:pPr>
        <w:pStyle w:val="81"/>
        <w:ind w:firstLine="560"/>
        <w:rPr>
          <w:bCs w:val="0"/>
        </w:rPr>
      </w:pPr>
      <w:r>
        <w:rPr>
          <w:bCs w:val="0"/>
        </w:rPr>
        <w:t>（1）认真落实各项污染防治措施，确保资金投入，严格执行</w:t>
      </w:r>
      <w:r>
        <w:rPr>
          <w:rFonts w:hint="eastAsia"/>
          <w:bCs w:val="0"/>
        </w:rPr>
        <w:t>“</w:t>
      </w:r>
      <w:r>
        <w:rPr>
          <w:bCs w:val="0"/>
        </w:rPr>
        <w:t>三同时</w:t>
      </w:r>
      <w:r>
        <w:rPr>
          <w:rFonts w:hint="eastAsia"/>
          <w:bCs w:val="0"/>
        </w:rPr>
        <w:t>”</w:t>
      </w:r>
      <w:r>
        <w:rPr>
          <w:bCs w:val="0"/>
        </w:rPr>
        <w:t>制度，加强各类环保设施运行中的日常管理和维护工作，确保污染物长期稳定达标排放</w:t>
      </w:r>
      <w:r>
        <w:rPr>
          <w:rFonts w:hint="eastAsia"/>
          <w:bCs w:val="0"/>
        </w:rPr>
        <w:t>；</w:t>
      </w:r>
    </w:p>
    <w:p>
      <w:pPr>
        <w:ind w:firstLine="560"/>
        <w:rPr>
          <w:rFonts w:hint="eastAsia"/>
          <w:szCs w:val="28"/>
        </w:rPr>
      </w:pPr>
      <w:r>
        <w:rPr>
          <w:bCs/>
        </w:rPr>
        <w:t>（2）</w:t>
      </w:r>
      <w:r>
        <w:rPr>
          <w:rFonts w:hint="eastAsia"/>
          <w:bCs/>
        </w:rPr>
        <w:t>严格按照实验方案进行中试生产，密切关注</w:t>
      </w:r>
      <w:r>
        <w:rPr>
          <w:szCs w:val="28"/>
        </w:rPr>
        <w:t>中试实验条件，</w:t>
      </w:r>
      <w:r>
        <w:rPr>
          <w:rFonts w:hint="eastAsia"/>
          <w:szCs w:val="28"/>
        </w:rPr>
        <w:t>降低非正常事故发生概率；</w:t>
      </w:r>
    </w:p>
    <w:p>
      <w:pPr>
        <w:ind w:firstLine="560"/>
        <w:rPr>
          <w:szCs w:val="28"/>
        </w:rPr>
      </w:pPr>
      <w:r>
        <w:rPr>
          <w:rFonts w:hint="eastAsia"/>
          <w:szCs w:val="28"/>
        </w:rPr>
        <w:t>（3）</w:t>
      </w:r>
      <w:r>
        <w:rPr>
          <w:szCs w:val="28"/>
        </w:rPr>
        <w:t>进一步补充和完善突发事件的应急预案，加强对周边居民的宣传，说明所用有毒有害物质的危害性和防护措施，当出现事故时，迅速撤离；同时，加强安全生产管理，防止重大风险事故的发生。</w:t>
      </w:r>
    </w:p>
    <w:p>
      <w:pPr>
        <w:pStyle w:val="80"/>
        <w:rPr>
          <w:rFonts w:ascii="Times New Roman" w:hAnsi="Times New Roman" w:cs="Times New Roman"/>
        </w:rPr>
      </w:pPr>
      <w:r>
        <w:rPr>
          <w:rFonts w:hint="eastAsia" w:ascii="Times New Roman" w:hAnsi="Times New Roman" w:cs="Times New Roman"/>
        </w:rPr>
        <w:t>1</w:t>
      </w:r>
      <w:r>
        <w:rPr>
          <w:rFonts w:ascii="Times New Roman" w:hAnsi="Times New Roman" w:cs="Times New Roman"/>
        </w:rPr>
        <w:t>1.3  总评价结论</w:t>
      </w:r>
    </w:p>
    <w:p>
      <w:pPr>
        <w:pStyle w:val="81"/>
        <w:ind w:firstLine="560"/>
        <w:rPr>
          <w:rFonts w:hAnsi="宋体"/>
          <w:szCs w:val="28"/>
        </w:rPr>
      </w:pPr>
      <w:bookmarkStart w:id="302" w:name="_Toc86727671"/>
      <w:r>
        <w:t>河南省中原大化集团有限责任公司</w:t>
      </w:r>
      <w:r>
        <w:rPr>
          <w:rFonts w:hint="eastAsia" w:ascii="宋体" w:cs="宋体"/>
          <w:kern w:val="0"/>
          <w:szCs w:val="21"/>
        </w:rPr>
        <w:t>千吨级秸秆糖制乙二醇中试项目</w:t>
      </w:r>
      <w:r>
        <w:rPr>
          <w:rFonts w:hAnsi="宋体"/>
          <w:szCs w:val="28"/>
        </w:rPr>
        <w:t>符合国家产业政策和环保政策；工程厂址位于</w:t>
      </w:r>
      <w:r>
        <w:rPr>
          <w:rFonts w:hint="eastAsia" w:hAnsi="宋体"/>
          <w:szCs w:val="28"/>
        </w:rPr>
        <w:t>濮阳经济技术产业集聚区</w:t>
      </w:r>
      <w:r>
        <w:rPr>
          <w:rFonts w:hAnsi="宋体"/>
          <w:szCs w:val="28"/>
        </w:rPr>
        <w:t>内，符合</w:t>
      </w:r>
      <w:r>
        <w:rPr>
          <w:rFonts w:hint="eastAsia" w:hAnsi="宋体"/>
          <w:szCs w:val="28"/>
        </w:rPr>
        <w:t>濮阳市</w:t>
      </w:r>
      <w:r>
        <w:rPr>
          <w:rFonts w:hAnsi="宋体"/>
          <w:szCs w:val="28"/>
        </w:rPr>
        <w:t>城市发展总体规划</w:t>
      </w:r>
      <w:r>
        <w:rPr>
          <w:rFonts w:hint="eastAsia" w:hAnsi="宋体"/>
          <w:szCs w:val="28"/>
        </w:rPr>
        <w:t>、濮阳经济技术产业集聚区发展规划</w:t>
      </w:r>
      <w:r>
        <w:rPr>
          <w:rFonts w:hAnsi="宋体"/>
          <w:szCs w:val="28"/>
        </w:rPr>
        <w:t>和土地利用总体规划要求；生产工艺装备水平和资源、能源利用水平达到国内先进水平；过程控制和污染防治技术较完备，污染防治措施可行，在实施了可行性研究报告和本环评提出的污染治理措施后，各种污染物均可以做到稳定、达标排放；因突发事故引起的环境风险在可接受范围内；</w:t>
      </w:r>
      <w:r>
        <w:rPr>
          <w:rFonts w:hint="eastAsia" w:hAnsi="宋体"/>
          <w:szCs w:val="28"/>
        </w:rPr>
        <w:t>项目无须设置环境防护距离；厂</w:t>
      </w:r>
      <w:r>
        <w:rPr>
          <w:rFonts w:hAnsi="宋体"/>
          <w:szCs w:val="28"/>
        </w:rPr>
        <w:t>区总平面布置可行；在认真执行</w:t>
      </w:r>
      <w:r>
        <w:rPr>
          <w:szCs w:val="28"/>
        </w:rPr>
        <w:t>“</w:t>
      </w:r>
      <w:r>
        <w:rPr>
          <w:rFonts w:hAnsi="宋体"/>
          <w:szCs w:val="28"/>
        </w:rPr>
        <w:t>三同时</w:t>
      </w:r>
      <w:r>
        <w:rPr>
          <w:szCs w:val="28"/>
        </w:rPr>
        <w:t>”</w:t>
      </w:r>
      <w:r>
        <w:rPr>
          <w:rFonts w:hAnsi="宋体"/>
          <w:szCs w:val="28"/>
        </w:rPr>
        <w:t>制度，落实评价提出的污染物防治措施及建议的前提下，从环保的角度考虑，</w:t>
      </w:r>
      <w:r>
        <w:rPr>
          <w:rFonts w:hint="eastAsia" w:hAnsi="宋体"/>
          <w:szCs w:val="28"/>
        </w:rPr>
        <w:t>工程的厂址选择及建设是可行的。</w:t>
      </w:r>
    </w:p>
    <w:bookmarkEnd w:id="302"/>
    <w:p>
      <w:pPr>
        <w:pStyle w:val="81"/>
        <w:ind w:firstLine="560"/>
        <w:rPr>
          <w:kern w:val="0"/>
          <w:szCs w:val="28"/>
        </w:rPr>
      </w:pPr>
    </w:p>
    <w:p>
      <w:pPr>
        <w:pStyle w:val="2"/>
        <w:ind w:left="0" w:leftChars="0" w:firstLine="0" w:firstLineChars="0"/>
      </w:pPr>
    </w:p>
    <w:sectPr>
      <w:headerReference r:id="rId23" w:type="default"/>
      <w:footerReference r:id="rId24" w:type="default"/>
      <w:pgSz w:w="11906" w:h="16838"/>
      <w:pgMar w:top="1474" w:right="1474" w:bottom="1474" w:left="1474" w:header="851" w:footer="851" w:gutter="0"/>
      <w:pgNumType w:start="1"/>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panose1 w:val="0201060903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Batang">
    <w:panose1 w:val="02030600000101010101"/>
    <w:charset w:val="81"/>
    <w:family w:val="roman"/>
    <w:pitch w:val="default"/>
    <w:sig w:usb0="B00002AF" w:usb1="69D77CFB" w:usb2="00000030" w:usb3="00000000" w:csb0="4008009F" w:csb1="DFD70000"/>
  </w:font>
  <w:font w:name="Trebuchet MS">
    <w:panose1 w:val="020B0603020202020204"/>
    <w:charset w:val="00"/>
    <w:family w:val="swiss"/>
    <w:pitch w:val="default"/>
    <w:sig w:usb0="00000287" w:usb1="00000000" w:usb2="00000000" w:usb3="00000000" w:csb0="2000009F" w:csb1="00000000"/>
  </w:font>
  <w:font w:name="Sylfaen">
    <w:panose1 w:val="010A0502050306030303"/>
    <w:charset w:val="00"/>
    <w:family w:val="roman"/>
    <w:pitch w:val="default"/>
    <w:sig w:usb0="04000687" w:usb1="00000000" w:usb2="00000000" w:usb3="00000000" w:csb0="2000009F" w:csb1="00000000"/>
  </w:font>
  <w:font w:name="微软雅黑">
    <w:panose1 w:val="020B0503020204020204"/>
    <w:charset w:val="86"/>
    <w:family w:val="swiss"/>
    <w:pitch w:val="default"/>
    <w:sig w:usb0="80000287" w:usb1="280F3C52" w:usb2="00000016" w:usb3="00000000" w:csb0="0004001F" w:csb1="00000000"/>
  </w:font>
  <w:font w:name="PMingLiU">
    <w:panose1 w:val="02020500000000000000"/>
    <w:charset w:val="88"/>
    <w:family w:val="roman"/>
    <w:pitch w:val="default"/>
    <w:sig w:usb0="A00002FF" w:usb1="28CFFCFA" w:usb2="00000016" w:usb3="00000000" w:csb0="00100001" w:csb1="00000000"/>
  </w:font>
  <w:font w:name="FZSSJW--GB1-0">
    <w:altName w:val="微软雅黑"/>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2FF" w:usb1="420024FF" w:usb2="00000000" w:usb3="00000000" w:csb0="2000019F" w:csb1="00000000"/>
  </w:font>
  <w:font w:name="Tahoma">
    <w:panose1 w:val="020B0604030504040204"/>
    <w:charset w:val="00"/>
    <w:family w:val="swiss"/>
    <w:pitch w:val="default"/>
    <w:sig w:usb0="E1002EFF" w:usb1="C000605B" w:usb2="00000029" w:usb3="00000000" w:csb0="200101FF" w:csb1="20280000"/>
  </w:font>
  <w:font w:name="等线 Light">
    <w:altName w:val="宋体"/>
    <w:panose1 w:val="02010600030101010101"/>
    <w:charset w:val="86"/>
    <w:family w:val="auto"/>
    <w:pitch w:val="default"/>
    <w:sig w:usb0="00000000" w:usb1="00000000" w:usb2="00000016" w:usb3="00000000" w:csb0="0004000F" w:csb1="00000000"/>
  </w:font>
  <w:font w:name="GreekC">
    <w:altName w:val="Courier New"/>
    <w:panose1 w:val="00000400000000000000"/>
    <w:charset w:val="00"/>
    <w:family w:val="auto"/>
    <w:pitch w:val="default"/>
    <w:sig w:usb0="00000000" w:usb1="00000000" w:usb2="00000000" w:usb3="00000000" w:csb0="000001FF" w:csb1="00000000"/>
  </w:font>
  <w:font w:name="TimesNewRoman">
    <w:altName w:val="Times New Roman"/>
    <w:panose1 w:val="00000000000000000000"/>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827" w:wrap="around" w:vAnchor="text" w:hAnchor="page" w:x="5595" w:y="1"/>
      <w:adjustRightInd w:val="0"/>
      <w:jc w:val="center"/>
      <w:rPr>
        <w:rStyle w:val="24"/>
        <w:sz w:val="21"/>
      </w:rPr>
    </w:pPr>
    <w:r>
      <w:rPr>
        <w:rStyle w:val="24"/>
        <w:rFonts w:hint="eastAsia"/>
        <w:sz w:val="21"/>
      </w:rPr>
      <w:t xml:space="preserve">- </w:t>
    </w:r>
    <w:r>
      <w:rPr>
        <w:rStyle w:val="24"/>
        <w:rFonts w:hint="eastAsia"/>
        <w:szCs w:val="24"/>
      </w:rPr>
      <w:t>3</w:t>
    </w:r>
    <w:r>
      <w:rPr>
        <w:rStyle w:val="24"/>
        <w:rFonts w:hint="eastAsia"/>
        <w:sz w:val="21"/>
      </w:rPr>
      <w:t>-</w:t>
    </w:r>
    <w:r>
      <w:rPr>
        <w:szCs w:val="24"/>
      </w:rPr>
      <w:fldChar w:fldCharType="begin"/>
    </w:r>
    <w:r>
      <w:rPr>
        <w:rStyle w:val="24"/>
        <w:szCs w:val="24"/>
      </w:rPr>
      <w:instrText xml:space="preserve">PAGE  </w:instrText>
    </w:r>
    <w:r>
      <w:rPr>
        <w:szCs w:val="24"/>
      </w:rPr>
      <w:fldChar w:fldCharType="separate"/>
    </w:r>
    <w:r>
      <w:rPr>
        <w:rStyle w:val="24"/>
        <w:szCs w:val="24"/>
      </w:rPr>
      <w:t>18</w:t>
    </w:r>
    <w:r>
      <w:rPr>
        <w:szCs w:val="24"/>
      </w:rPr>
      <w:fldChar w:fldCharType="end"/>
    </w:r>
    <w:r>
      <w:rPr>
        <w:rFonts w:hint="eastAsia"/>
        <w:szCs w:val="24"/>
      </w:rPr>
      <w:t xml:space="preserve"> </w:t>
    </w:r>
    <w:r>
      <w:rPr>
        <w:rStyle w:val="24"/>
        <w:rFonts w:hint="eastAsia"/>
        <w:sz w:val="21"/>
      </w:rPr>
      <w:t>-</w:t>
    </w:r>
  </w:p>
  <w:p>
    <w:pPr>
      <w:pStyle w:val="1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0" w:firstLineChars="0"/>
      <w:rPr>
        <w:b/>
        <w:sz w:val="24"/>
        <w:szCs w:val="2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lang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b/>
        <w:bCs/>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center" w:y="1"/>
    </w:pPr>
    <w:r>
      <w:fldChar w:fldCharType="begin"/>
    </w:r>
    <w:r>
      <w:instrText xml:space="preserve">PAGE  </w:instrText>
    </w:r>
    <w:r>
      <w:fldChar w:fldCharType="separate"/>
    </w:r>
    <w:r>
      <w:t>1</w:t>
    </w:r>
    <w:r>
      <w:fldChar w:fldCharType="end"/>
    </w:r>
  </w:p>
  <w:p>
    <w:pPr>
      <w:pStyle w:val="1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left" w:pos="4540"/>
      </w:tabs>
      <w:ind w:firstLine="360"/>
    </w:pPr>
  </w:p>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left" w:pos="4540"/>
      </w:tabs>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b/>
        <w:sz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ascii="隶书"/>
      </w:rPr>
      <w:t>第3章  工程分析</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rFonts w:ascii="隶书" w:hAnsi="隶书" w:eastAsia="隶书" w:cs="隶书"/>
        <w:bCs/>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479"/>
        <w:tab w:val="right" w:pos="8958"/>
        <w:tab w:val="clear" w:pos="4153"/>
        <w:tab w:val="clear" w:pos="830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431442"/>
    <w:multiLevelType w:val="multilevel"/>
    <w:tmpl w:val="E6431442"/>
    <w:lvl w:ilvl="0" w:tentative="0">
      <w:start w:val="10"/>
      <w:numFmt w:val="decimal"/>
      <w:suff w:val="space"/>
      <w:lvlText w:val="第%1章"/>
      <w:lvlJc w:val="left"/>
      <w:pPr>
        <w:ind w:left="0" w:firstLine="0"/>
      </w:pPr>
      <w:rPr>
        <w:rFonts w:hint="eastAsia" w:ascii="Times New Roman" w:hAnsi="Times New Roman" w:eastAsia="黑体"/>
        <w:sz w:val="44"/>
      </w:rPr>
    </w:lvl>
    <w:lvl w:ilvl="1" w:tentative="0">
      <w:start w:val="1"/>
      <w:numFmt w:val="decimal"/>
      <w:suff w:val="space"/>
      <w:lvlText w:val="%1.%2"/>
      <w:lvlJc w:val="left"/>
      <w:pPr>
        <w:ind w:left="426" w:firstLine="0"/>
      </w:pPr>
      <w:rPr>
        <w:rFonts w:hint="eastAsia" w:ascii="Times New Roman" w:hAnsi="Times New Roman" w:eastAsia="黑体"/>
        <w:sz w:val="28"/>
      </w:rPr>
    </w:lvl>
    <w:lvl w:ilvl="2" w:tentative="0">
      <w:start w:val="1"/>
      <w:numFmt w:val="decimal"/>
      <w:suff w:val="space"/>
      <w:lvlText w:val="%1.%2.%3"/>
      <w:lvlJc w:val="left"/>
      <w:pPr>
        <w:ind w:left="5670" w:firstLine="0"/>
      </w:pPr>
      <w:rPr>
        <w:rFonts w:hint="eastAsia" w:ascii="Times New Roman" w:hAnsi="Times New Roman" w:eastAsia="楷体"/>
        <w:sz w:val="28"/>
      </w:rPr>
    </w:lvl>
    <w:lvl w:ilvl="3" w:tentative="0">
      <w:start w:val="1"/>
      <w:numFmt w:val="decimal"/>
      <w:suff w:val="space"/>
      <w:lvlText w:val="%1.%2.%3.%4"/>
      <w:lvlJc w:val="left"/>
      <w:pPr>
        <w:ind w:left="0" w:firstLine="0"/>
      </w:pPr>
      <w:rPr>
        <w:rFonts w:hint="eastAsia" w:ascii="Times New Roman" w:hAnsi="Times New Roman" w:eastAsia="宋体"/>
        <w:sz w:val="28"/>
      </w:rPr>
    </w:lvl>
    <w:lvl w:ilvl="4" w:tentative="0">
      <w:start w:val="1"/>
      <w:numFmt w:val="decimal"/>
      <w:pStyle w:val="7"/>
      <w:suff w:val="nothing"/>
      <w:lvlText w:val="（%5）"/>
      <w:lvlJc w:val="left"/>
      <w:pPr>
        <w:ind w:left="4704" w:firstLine="400"/>
      </w:pPr>
      <w:rPr>
        <w:rFonts w:hint="eastAsia" w:ascii="Times New Roman" w:hAnsi="Times New Roman" w:eastAsia="宋体"/>
        <w:sz w:val="28"/>
      </w:rPr>
    </w:lvl>
    <w:lvl w:ilvl="5" w:tentative="0">
      <w:start w:val="1"/>
      <w:numFmt w:val="decimalEnclosedCircle"/>
      <w:suff w:val="space"/>
      <w:lvlText w:val="%6"/>
      <w:lvlJc w:val="left"/>
      <w:pPr>
        <w:ind w:left="0" w:firstLine="400"/>
      </w:pPr>
      <w:rPr>
        <w:rFonts w:hint="eastAsia" w:ascii="Times New Roman" w:hAnsi="Times New Roman" w:eastAsia="宋体"/>
        <w:sz w:val="28"/>
      </w:rPr>
    </w:lvl>
    <w:lvl w:ilvl="6" w:tentative="0">
      <w:start w:val="1"/>
      <w:numFmt w:val="upperRoman"/>
      <w:suff w:val="space"/>
      <w:lvlText w:val="%7."/>
      <w:lvlJc w:val="left"/>
      <w:pPr>
        <w:ind w:left="0" w:firstLine="400"/>
      </w:pPr>
      <w:rPr>
        <w:rFonts w:hint="eastAsia" w:ascii="Times New Roman" w:hAnsi="Times New Roman" w:eastAsia="宋体"/>
        <w:sz w:val="28"/>
      </w:rPr>
    </w:lvl>
    <w:lvl w:ilvl="7" w:tentative="0">
      <w:start w:val="1"/>
      <w:numFmt w:val="upperLetter"/>
      <w:suff w:val="space"/>
      <w:lvlText w:val="%8."/>
      <w:lvlJc w:val="left"/>
      <w:pPr>
        <w:ind w:left="0" w:firstLine="400"/>
      </w:pPr>
      <w:rPr>
        <w:rFonts w:hint="eastAsia" w:ascii="Times New Roman" w:hAnsi="Times New Roman" w:eastAsia="宋体"/>
        <w:sz w:val="28"/>
      </w:rPr>
    </w:lvl>
    <w:lvl w:ilvl="8" w:tentative="0">
      <w:start w:val="1"/>
      <w:numFmt w:val="lowerLetter"/>
      <w:suff w:val="space"/>
      <w:lvlText w:val="%9."/>
      <w:lvlJc w:val="left"/>
      <w:pPr>
        <w:ind w:left="0" w:firstLine="400"/>
      </w:pPr>
      <w:rPr>
        <w:rFonts w:hint="eastAsia" w:ascii="Times New Roman" w:hAnsi="Times New Roman" w:eastAsia="宋体"/>
        <w:sz w:val="28"/>
      </w:rPr>
    </w:lvl>
  </w:abstractNum>
  <w:abstractNum w:abstractNumId="1">
    <w:nsid w:val="338BEDFE"/>
    <w:multiLevelType w:val="singleLevel"/>
    <w:tmpl w:val="338BEDFE"/>
    <w:lvl w:ilvl="0" w:tentative="0">
      <w:start w:val="1"/>
      <w:numFmt w:val="chineseCounting"/>
      <w:suff w:val="nothing"/>
      <w:lvlText w:val="（%1）"/>
      <w:lvlJc w:val="left"/>
      <w:rPr>
        <w:rFonts w:hint="eastAsia"/>
      </w:rPr>
    </w:lvl>
  </w:abstractNum>
  <w:abstractNum w:abstractNumId="2">
    <w:nsid w:val="40C2083E"/>
    <w:multiLevelType w:val="multilevel"/>
    <w:tmpl w:val="40C2083E"/>
    <w:lvl w:ilvl="0" w:tentative="0">
      <w:start w:val="4"/>
      <w:numFmt w:val="decimal"/>
      <w:lvlText w:val="第%1章"/>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2803E28"/>
    <w:multiLevelType w:val="multilevel"/>
    <w:tmpl w:val="52803E28"/>
    <w:lvl w:ilvl="0" w:tentative="0">
      <w:start w:val="3"/>
      <w:numFmt w:val="decimal"/>
      <w:lvlText w:val="%1"/>
      <w:lvlJc w:val="left"/>
      <w:pPr>
        <w:ind w:left="600" w:hanging="600"/>
      </w:pPr>
      <w:rPr>
        <w:rFonts w:hint="default" w:ascii="Times New Roman" w:hAnsi="Times New Roman" w:eastAsia="楷体_GB2312"/>
        <w:sz w:val="28"/>
      </w:rPr>
    </w:lvl>
    <w:lvl w:ilvl="1" w:tentative="0">
      <w:start w:val="1"/>
      <w:numFmt w:val="decimal"/>
      <w:lvlText w:val="%1.%2"/>
      <w:lvlJc w:val="left"/>
      <w:pPr>
        <w:ind w:left="600" w:hanging="600"/>
      </w:pPr>
      <w:rPr>
        <w:rFonts w:hint="default" w:ascii="Times New Roman" w:hAnsi="Times New Roman" w:eastAsia="楷体_GB2312"/>
        <w:sz w:val="28"/>
      </w:rPr>
    </w:lvl>
    <w:lvl w:ilvl="2" w:tentative="0">
      <w:start w:val="5"/>
      <w:numFmt w:val="decimal"/>
      <w:lvlText w:val="%1.%2.%3"/>
      <w:lvlJc w:val="left"/>
      <w:pPr>
        <w:ind w:left="720" w:hanging="720"/>
      </w:pPr>
      <w:rPr>
        <w:rFonts w:hint="default" w:ascii="Times New Roman" w:hAnsi="Times New Roman" w:eastAsia="楷体_GB2312"/>
        <w:sz w:val="28"/>
      </w:rPr>
    </w:lvl>
    <w:lvl w:ilvl="3" w:tentative="0">
      <w:start w:val="1"/>
      <w:numFmt w:val="decimal"/>
      <w:lvlText w:val="%1.%2.%3.%4"/>
      <w:lvlJc w:val="left"/>
      <w:pPr>
        <w:ind w:left="1080" w:hanging="1080"/>
      </w:pPr>
      <w:rPr>
        <w:rFonts w:hint="default" w:ascii="Times New Roman" w:hAnsi="Times New Roman" w:eastAsia="楷体_GB2312"/>
        <w:sz w:val="28"/>
      </w:rPr>
    </w:lvl>
    <w:lvl w:ilvl="4" w:tentative="0">
      <w:start w:val="1"/>
      <w:numFmt w:val="decimal"/>
      <w:lvlText w:val="%1.%2.%3.%4.%5"/>
      <w:lvlJc w:val="left"/>
      <w:pPr>
        <w:ind w:left="1080" w:hanging="1080"/>
      </w:pPr>
      <w:rPr>
        <w:rFonts w:hint="default" w:ascii="Times New Roman" w:hAnsi="Times New Roman" w:eastAsia="楷体_GB2312"/>
        <w:sz w:val="28"/>
      </w:rPr>
    </w:lvl>
    <w:lvl w:ilvl="5" w:tentative="0">
      <w:start w:val="1"/>
      <w:numFmt w:val="decimal"/>
      <w:lvlText w:val="%1.%2.%3.%4.%5.%6"/>
      <w:lvlJc w:val="left"/>
      <w:pPr>
        <w:ind w:left="1440" w:hanging="1440"/>
      </w:pPr>
      <w:rPr>
        <w:rFonts w:hint="default" w:ascii="Times New Roman" w:hAnsi="Times New Roman" w:eastAsia="楷体_GB2312"/>
        <w:sz w:val="28"/>
      </w:rPr>
    </w:lvl>
    <w:lvl w:ilvl="6" w:tentative="0">
      <w:start w:val="1"/>
      <w:numFmt w:val="decimal"/>
      <w:lvlText w:val="%1.%2.%3.%4.%5.%6.%7"/>
      <w:lvlJc w:val="left"/>
      <w:pPr>
        <w:ind w:left="1440" w:hanging="1440"/>
      </w:pPr>
      <w:rPr>
        <w:rFonts w:hint="default" w:ascii="Times New Roman" w:hAnsi="Times New Roman" w:eastAsia="楷体_GB2312"/>
        <w:sz w:val="28"/>
      </w:rPr>
    </w:lvl>
    <w:lvl w:ilvl="7" w:tentative="0">
      <w:start w:val="1"/>
      <w:numFmt w:val="decimal"/>
      <w:lvlText w:val="%1.%2.%3.%4.%5.%6.%7.%8"/>
      <w:lvlJc w:val="left"/>
      <w:pPr>
        <w:ind w:left="1800" w:hanging="1800"/>
      </w:pPr>
      <w:rPr>
        <w:rFonts w:hint="default" w:ascii="Times New Roman" w:hAnsi="Times New Roman" w:eastAsia="楷体_GB2312"/>
        <w:sz w:val="28"/>
      </w:rPr>
    </w:lvl>
    <w:lvl w:ilvl="8" w:tentative="0">
      <w:start w:val="1"/>
      <w:numFmt w:val="decimal"/>
      <w:lvlText w:val="%1.%2.%3.%4.%5.%6.%7.%8.%9"/>
      <w:lvlJc w:val="left"/>
      <w:pPr>
        <w:ind w:left="2160" w:hanging="2160"/>
      </w:pPr>
      <w:rPr>
        <w:rFonts w:hint="default" w:ascii="Times New Roman" w:hAnsi="Times New Roman" w:eastAsia="楷体_GB2312"/>
        <w:sz w:val="28"/>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15A24FC"/>
    <w:rsid w:val="6A107E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iPriority="0" w:semiHidden="0" w:name="Body Text"/>
    <w:lsdException w:qFormat="1"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spacing w:before="340" w:after="330" w:line="576" w:lineRule="auto"/>
      <w:outlineLvl w:val="0"/>
    </w:pPr>
    <w:rPr>
      <w:b/>
      <w:bCs/>
      <w:kern w:val="44"/>
      <w:sz w:val="44"/>
      <w:szCs w:val="44"/>
      <w:lang w:val="zh-CN" w:eastAsia="zh-CN"/>
    </w:rPr>
  </w:style>
  <w:style w:type="paragraph" w:styleId="4">
    <w:name w:val="heading 2"/>
    <w:basedOn w:val="1"/>
    <w:next w:val="1"/>
    <w:qFormat/>
    <w:uiPriority w:val="0"/>
    <w:pPr>
      <w:keepNext/>
      <w:keepLines/>
      <w:spacing w:before="260" w:after="260" w:line="415" w:lineRule="auto"/>
      <w:outlineLvl w:val="1"/>
    </w:pPr>
    <w:rPr>
      <w:rFonts w:ascii="Cambria" w:hAnsi="Cambria"/>
      <w:b/>
      <w:bCs/>
      <w:sz w:val="32"/>
      <w:szCs w:val="32"/>
    </w:rPr>
  </w:style>
  <w:style w:type="paragraph" w:styleId="5">
    <w:name w:val="heading 3"/>
    <w:basedOn w:val="1"/>
    <w:next w:val="1"/>
    <w:qFormat/>
    <w:uiPriority w:val="0"/>
    <w:pPr>
      <w:keepNext/>
      <w:keepLines/>
      <w:spacing w:before="260" w:after="260" w:line="415" w:lineRule="auto"/>
      <w:outlineLvl w:val="2"/>
    </w:pPr>
    <w:rPr>
      <w:b/>
      <w:bCs/>
      <w:sz w:val="32"/>
      <w:szCs w:val="32"/>
    </w:rPr>
  </w:style>
  <w:style w:type="paragraph" w:styleId="6">
    <w:name w:val="heading 4"/>
    <w:basedOn w:val="1"/>
    <w:next w:val="1"/>
    <w:qFormat/>
    <w:uiPriority w:val="0"/>
    <w:pPr>
      <w:tabs>
        <w:tab w:val="left" w:pos="900"/>
      </w:tabs>
      <w:outlineLvl w:val="3"/>
    </w:pPr>
  </w:style>
  <w:style w:type="paragraph" w:styleId="7">
    <w:name w:val="heading 5"/>
    <w:basedOn w:val="8"/>
    <w:next w:val="1"/>
    <w:qFormat/>
    <w:uiPriority w:val="0"/>
    <w:pPr>
      <w:numPr>
        <w:ilvl w:val="4"/>
        <w:numId w:val="1"/>
      </w:numPr>
      <w:ind w:left="0" w:firstLine="403" w:firstLineChars="0"/>
      <w:outlineLvl w:val="4"/>
    </w:pPr>
  </w:style>
  <w:style w:type="paragraph" w:styleId="9">
    <w:name w:val="heading 6"/>
    <w:basedOn w:val="1"/>
    <w:next w:val="1"/>
    <w:unhideWhenUsed/>
    <w:qFormat/>
    <w:uiPriority w:val="0"/>
    <w:pPr>
      <w:keepNext/>
      <w:keepLines/>
      <w:spacing w:before="240" w:after="64" w:line="320" w:lineRule="auto"/>
      <w:jc w:val="left"/>
      <w:outlineLvl w:val="5"/>
    </w:pPr>
    <w:rPr>
      <w:rFonts w:ascii="Cambria" w:hAnsi="Cambria"/>
      <w:b/>
      <w:bCs/>
      <w:sz w:val="24"/>
      <w:szCs w:val="24"/>
    </w:rPr>
  </w:style>
  <w:style w:type="character" w:default="1" w:styleId="23">
    <w:name w:val="Default Paragraph Font"/>
    <w:semiHidden/>
    <w:uiPriority w:val="0"/>
  </w:style>
  <w:style w:type="table" w:default="1" w:styleId="21">
    <w:name w:val="Normal Table"/>
    <w:semiHidden/>
    <w:uiPriority w:val="0"/>
    <w:tblPr>
      <w:tblCellMar>
        <w:top w:w="0" w:type="dxa"/>
        <w:left w:w="108" w:type="dxa"/>
        <w:bottom w:w="0" w:type="dxa"/>
        <w:right w:w="108" w:type="dxa"/>
      </w:tblCellMar>
    </w:tblPr>
  </w:style>
  <w:style w:type="paragraph" w:styleId="2">
    <w:name w:val="Block Text"/>
    <w:basedOn w:val="1"/>
    <w:unhideWhenUsed/>
    <w:qFormat/>
    <w:uiPriority w:val="0"/>
    <w:pPr>
      <w:snapToGrid w:val="0"/>
      <w:spacing w:line="408" w:lineRule="auto"/>
      <w:ind w:left="-113" w:right="-510" w:firstLine="510"/>
    </w:pPr>
    <w:rPr>
      <w:sz w:val="24"/>
      <w:szCs w:val="20"/>
    </w:rPr>
  </w:style>
  <w:style w:type="paragraph" w:customStyle="1" w:styleId="8">
    <w:name w:val="报告正文"/>
    <w:basedOn w:val="1"/>
    <w:uiPriority w:val="0"/>
    <w:pPr>
      <w:spacing w:line="520" w:lineRule="exact"/>
      <w:ind w:firstLine="200" w:firstLineChars="200"/>
    </w:pPr>
    <w:rPr>
      <w:color w:val="000000"/>
      <w:sz w:val="28"/>
      <w:szCs w:val="24"/>
    </w:rPr>
  </w:style>
  <w:style w:type="paragraph" w:styleId="10">
    <w:name w:val="Normal Indent"/>
    <w:basedOn w:val="1"/>
    <w:unhideWhenUsed/>
    <w:qFormat/>
    <w:uiPriority w:val="0"/>
    <w:pPr>
      <w:ind w:firstLine="420" w:firstLineChars="200"/>
    </w:pPr>
  </w:style>
  <w:style w:type="paragraph" w:styleId="11">
    <w:name w:val="caption"/>
    <w:basedOn w:val="1"/>
    <w:next w:val="1"/>
    <w:link w:val="68"/>
    <w:unhideWhenUsed/>
    <w:qFormat/>
    <w:uiPriority w:val="0"/>
    <w:rPr>
      <w:rFonts w:ascii="等线 Light" w:hAnsi="等线 Light" w:eastAsia="黑体" w:cs="Times New Roman"/>
      <w:sz w:val="20"/>
      <w:szCs w:val="20"/>
    </w:rPr>
  </w:style>
  <w:style w:type="paragraph" w:styleId="12">
    <w:name w:val="Body Text 3"/>
    <w:basedOn w:val="1"/>
    <w:uiPriority w:val="0"/>
    <w:pPr>
      <w:spacing w:after="120"/>
    </w:pPr>
    <w:rPr>
      <w:sz w:val="16"/>
      <w:szCs w:val="16"/>
    </w:rPr>
  </w:style>
  <w:style w:type="paragraph" w:styleId="13">
    <w:name w:val="Body Text"/>
    <w:basedOn w:val="1"/>
    <w:next w:val="1"/>
    <w:unhideWhenUsed/>
    <w:qFormat/>
    <w:uiPriority w:val="0"/>
    <w:pPr>
      <w:spacing w:after="120"/>
    </w:pPr>
  </w:style>
  <w:style w:type="paragraph" w:styleId="14">
    <w:name w:val="Body Text Indent"/>
    <w:basedOn w:val="1"/>
    <w:next w:val="13"/>
    <w:semiHidden/>
    <w:unhideWhenUsed/>
    <w:qFormat/>
    <w:uiPriority w:val="99"/>
    <w:pPr>
      <w:spacing w:after="120"/>
      <w:ind w:left="420" w:leftChars="200"/>
    </w:pPr>
  </w:style>
  <w:style w:type="paragraph" w:styleId="15">
    <w:name w:val="Plain Text"/>
    <w:basedOn w:val="1"/>
    <w:qFormat/>
    <w:uiPriority w:val="0"/>
    <w:rPr>
      <w:rFonts w:ascii="宋体" w:hAnsi="Courier New"/>
      <w:szCs w:val="20"/>
    </w:rPr>
  </w:style>
  <w:style w:type="paragraph" w:styleId="16">
    <w:name w:val="footer"/>
    <w:basedOn w:val="1"/>
    <w:uiPriority w:val="99"/>
    <w:pPr>
      <w:tabs>
        <w:tab w:val="center" w:pos="4153"/>
        <w:tab w:val="right" w:pos="8306"/>
      </w:tabs>
      <w:snapToGrid w:val="0"/>
      <w:jc w:val="left"/>
    </w:pPr>
    <w:rPr>
      <w:rFonts w:ascii="Times New Roman" w:hAnsi="Times New Roman" w:eastAsia="隶书"/>
      <w:b/>
      <w:sz w:val="24"/>
      <w:szCs w:val="18"/>
    </w:rPr>
  </w:style>
  <w:style w:type="paragraph" w:styleId="17">
    <w:name w:val="header"/>
    <w:basedOn w:val="1"/>
    <w:uiPriority w:val="99"/>
    <w:pPr>
      <w:pBdr>
        <w:bottom w:val="single" w:color="auto" w:sz="6" w:space="1"/>
      </w:pBdr>
      <w:tabs>
        <w:tab w:val="center" w:pos="4153"/>
        <w:tab w:val="right" w:pos="8306"/>
      </w:tabs>
      <w:snapToGrid w:val="0"/>
      <w:jc w:val="center"/>
    </w:pPr>
    <w:rPr>
      <w:rFonts w:ascii="Times New Roman" w:hAnsi="Times New Roman" w:eastAsia="隶书"/>
      <w:b/>
      <w:sz w:val="24"/>
      <w:szCs w:val="18"/>
    </w:rPr>
  </w:style>
  <w:style w:type="paragraph" w:styleId="18">
    <w:name w:val="Body Text 2"/>
    <w:basedOn w:val="1"/>
    <w:unhideWhenUsed/>
    <w:qFormat/>
    <w:uiPriority w:val="0"/>
    <w:pPr>
      <w:spacing w:after="120" w:line="480" w:lineRule="auto"/>
    </w:pPr>
  </w:style>
  <w:style w:type="paragraph" w:styleId="19">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20">
    <w:name w:val="Body Text First Indent 2"/>
    <w:basedOn w:val="14"/>
    <w:next w:val="1"/>
    <w:qFormat/>
    <w:uiPriority w:val="0"/>
    <w:pPr>
      <w:ind w:firstLine="420" w:firstLineChars="200"/>
    </w:pPr>
    <w:rPr>
      <w:sz w:val="24"/>
      <w:szCs w:val="20"/>
    </w:rPr>
  </w:style>
  <w:style w:type="table" w:styleId="22">
    <w:name w:val="Table Grid"/>
    <w:basedOn w:val="21"/>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4">
    <w:name w:val="page number"/>
    <w:basedOn w:val="23"/>
    <w:qFormat/>
    <w:uiPriority w:val="0"/>
  </w:style>
  <w:style w:type="character" w:styleId="25">
    <w:name w:val="annotation reference"/>
    <w:qFormat/>
    <w:uiPriority w:val="0"/>
    <w:rPr>
      <w:sz w:val="21"/>
      <w:szCs w:val="21"/>
    </w:rPr>
  </w:style>
  <w:style w:type="paragraph" w:customStyle="1" w:styleId="26">
    <w:name w:val="环评一级标题"/>
    <w:basedOn w:val="27"/>
    <w:next w:val="27"/>
    <w:qFormat/>
    <w:uiPriority w:val="0"/>
    <w:pPr>
      <w:tabs>
        <w:tab w:val="left" w:pos="4540"/>
      </w:tabs>
      <w:spacing w:before="312" w:after="312" w:line="240" w:lineRule="auto"/>
      <w:ind w:firstLine="0" w:firstLineChars="0"/>
      <w:jc w:val="center"/>
      <w:outlineLvl w:val="0"/>
    </w:pPr>
    <w:rPr>
      <w:rFonts w:eastAsia="黑体"/>
      <w:b/>
      <w:sz w:val="44"/>
    </w:rPr>
  </w:style>
  <w:style w:type="paragraph" w:customStyle="1" w:styleId="27">
    <w:name w:val="环评正文"/>
    <w:basedOn w:val="1"/>
    <w:qFormat/>
    <w:uiPriority w:val="0"/>
    <w:pPr>
      <w:tabs>
        <w:tab w:val="left" w:pos="4540"/>
      </w:tabs>
      <w:spacing w:line="520" w:lineRule="exact"/>
      <w:ind w:firstLine="200" w:firstLineChars="200"/>
    </w:pPr>
    <w:rPr>
      <w:rFonts w:ascii="Times New Roman" w:hAnsi="Times New Roman"/>
      <w:sz w:val="28"/>
    </w:rPr>
  </w:style>
  <w:style w:type="paragraph" w:customStyle="1" w:styleId="28">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29">
    <w:name w:val="标题4"/>
    <w:basedOn w:val="6"/>
    <w:next w:val="30"/>
    <w:qFormat/>
    <w:uiPriority w:val="0"/>
    <w:pPr>
      <w:keepNext/>
      <w:keepLines/>
      <w:tabs>
        <w:tab w:val="clear" w:pos="900"/>
      </w:tabs>
      <w:jc w:val="both"/>
    </w:pPr>
    <w:rPr>
      <w:rFonts w:eastAsia="宋体"/>
      <w:bCs/>
      <w:szCs w:val="28"/>
    </w:rPr>
  </w:style>
  <w:style w:type="paragraph" w:customStyle="1" w:styleId="30">
    <w:name w:val="正文{858D7CFB-ED40-4347-BF05-701D383B685F}{858D7CFB-ED40-4347-BF05-701D383B685F}"/>
    <w:basedOn w:val="1"/>
    <w:qFormat/>
    <w:uiPriority w:val="0"/>
    <w:pPr>
      <w:ind w:firstLine="480"/>
    </w:pPr>
    <w:rPr>
      <w:rFonts w:eastAsia="黑体"/>
      <w:kern w:val="0"/>
      <w:sz w:val="24"/>
    </w:rPr>
  </w:style>
  <w:style w:type="paragraph" w:customStyle="1" w:styleId="31">
    <w:name w:val="环评三级标题"/>
    <w:basedOn w:val="1"/>
    <w:next w:val="27"/>
    <w:qFormat/>
    <w:uiPriority w:val="0"/>
    <w:pPr>
      <w:tabs>
        <w:tab w:val="left" w:pos="900"/>
      </w:tabs>
      <w:spacing w:line="520" w:lineRule="exact"/>
      <w:jc w:val="left"/>
      <w:outlineLvl w:val="2"/>
    </w:pPr>
    <w:rPr>
      <w:rFonts w:ascii="Times New Roman" w:hAnsi="Times New Roman" w:eastAsia="楷体_GB2312"/>
      <w:b/>
      <w:sz w:val="28"/>
    </w:rPr>
  </w:style>
  <w:style w:type="paragraph" w:customStyle="1" w:styleId="32">
    <w:name w:val="环评表头"/>
    <w:basedOn w:val="33"/>
    <w:next w:val="1"/>
    <w:qFormat/>
    <w:uiPriority w:val="0"/>
    <w:pPr>
      <w:tabs>
        <w:tab w:val="left" w:pos="900"/>
        <w:tab w:val="left" w:pos="1935"/>
      </w:tabs>
      <w:ind w:firstLine="482" w:firstLineChars="200"/>
      <w:outlineLvl w:val="9"/>
    </w:pPr>
    <w:rPr>
      <w:rFonts w:eastAsia="黑体"/>
      <w:sz w:val="24"/>
    </w:rPr>
  </w:style>
  <w:style w:type="paragraph" w:customStyle="1" w:styleId="33">
    <w:name w:val="环评四级标题"/>
    <w:basedOn w:val="31"/>
    <w:next w:val="27"/>
    <w:qFormat/>
    <w:uiPriority w:val="0"/>
    <w:pPr>
      <w:outlineLvl w:val="3"/>
    </w:pPr>
    <w:rPr>
      <w:rFonts w:eastAsia="宋体"/>
      <w:kern w:val="0"/>
    </w:rPr>
  </w:style>
  <w:style w:type="paragraph" w:customStyle="1" w:styleId="34">
    <w:name w:val="环评表格表头"/>
    <w:basedOn w:val="35"/>
    <w:qFormat/>
    <w:uiPriority w:val="0"/>
    <w:pPr>
      <w:tabs>
        <w:tab w:val="left" w:pos="4540"/>
      </w:tabs>
    </w:pPr>
    <w:rPr>
      <w:b/>
    </w:rPr>
  </w:style>
  <w:style w:type="paragraph" w:customStyle="1" w:styleId="35">
    <w:name w:val="环评表格内容居中"/>
    <w:basedOn w:val="27"/>
    <w:qFormat/>
    <w:uiPriority w:val="0"/>
    <w:pPr>
      <w:spacing w:line="240" w:lineRule="auto"/>
      <w:ind w:firstLine="0" w:firstLineChars="0"/>
      <w:jc w:val="center"/>
    </w:pPr>
    <w:rPr>
      <w:sz w:val="21"/>
    </w:rPr>
  </w:style>
  <w:style w:type="paragraph" w:customStyle="1" w:styleId="36">
    <w:name w:val="表格字体"/>
    <w:basedOn w:val="1"/>
    <w:qFormat/>
    <w:uiPriority w:val="0"/>
    <w:pPr>
      <w:adjustRightInd w:val="0"/>
      <w:spacing w:line="320" w:lineRule="exact"/>
      <w:jc w:val="center"/>
    </w:pPr>
    <w:rPr>
      <w:rFonts w:ascii="Times New Roman" w:hAnsi="Times New Roman"/>
      <w:color w:val="000000"/>
      <w:szCs w:val="20"/>
    </w:rPr>
  </w:style>
  <w:style w:type="character" w:customStyle="1" w:styleId="37">
    <w:name w:val="正文文本 Char1"/>
    <w:qFormat/>
    <w:uiPriority w:val="99"/>
    <w:rPr>
      <w:rFonts w:ascii="Times New Roman" w:hAnsi="Times New Roman" w:eastAsia="宋体" w:cs="Times New Roman"/>
      <w:kern w:val="0"/>
      <w:sz w:val="18"/>
      <w:szCs w:val="20"/>
    </w:rPr>
  </w:style>
  <w:style w:type="paragraph" w:styleId="38">
    <w:name w:val="No Spacing"/>
    <w:qFormat/>
    <w:uiPriority w:val="1"/>
    <w:pPr>
      <w:widowControl w:val="0"/>
      <w:spacing w:line="0" w:lineRule="atLeast"/>
      <w:jc w:val="center"/>
    </w:pPr>
    <w:rPr>
      <w:rFonts w:ascii="Times New Roman" w:hAnsi="Times New Roman" w:eastAsia="宋体" w:cs="Times New Roman"/>
      <w:kern w:val="2"/>
      <w:sz w:val="21"/>
      <w:szCs w:val="28"/>
      <w:lang w:val="en-US" w:eastAsia="zh-CN" w:bidi="ar-SA"/>
    </w:rPr>
  </w:style>
  <w:style w:type="paragraph" w:customStyle="1" w:styleId="39">
    <w:name w:val="样式2"/>
    <w:basedOn w:val="1"/>
    <w:qFormat/>
    <w:uiPriority w:val="0"/>
    <w:pPr>
      <w:adjustRightInd w:val="0"/>
      <w:snapToGrid w:val="0"/>
      <w:spacing w:line="336" w:lineRule="auto"/>
      <w:ind w:firstLine="601"/>
    </w:pPr>
    <w:rPr>
      <w:rFonts w:ascii="仿宋_GB2312" w:hAnsi="Times New Roman" w:eastAsia="仿宋_GB2312"/>
      <w:sz w:val="28"/>
      <w:szCs w:val="24"/>
    </w:rPr>
  </w:style>
  <w:style w:type="paragraph" w:customStyle="1" w:styleId="40">
    <w:name w:val="环评表格内容左对齐居中"/>
    <w:basedOn w:val="1"/>
    <w:qFormat/>
    <w:uiPriority w:val="0"/>
    <w:pPr>
      <w:jc w:val="left"/>
    </w:pPr>
    <w:rPr>
      <w:rFonts w:ascii="Times New Roman" w:hAnsi="Times New Roman"/>
    </w:rPr>
  </w:style>
  <w:style w:type="paragraph" w:customStyle="1" w:styleId="41">
    <w:name w:val="表格"/>
    <w:qFormat/>
    <w:uiPriority w:val="0"/>
    <w:pPr>
      <w:spacing w:line="240" w:lineRule="atLeast"/>
      <w:jc w:val="center"/>
    </w:pPr>
    <w:rPr>
      <w:rFonts w:ascii="Times New Roman" w:hAnsi="Times New Roman" w:eastAsia="宋体" w:cs="Times New Roman"/>
      <w:kern w:val="2"/>
      <w:sz w:val="24"/>
      <w:szCs w:val="24"/>
      <w:lang w:val="en-US" w:eastAsia="zh-CN" w:bidi="ar-SA"/>
    </w:rPr>
  </w:style>
  <w:style w:type="character" w:customStyle="1" w:styleId="42">
    <w:name w:val="正文文本 (15) + Batang"/>
    <w:basedOn w:val="43"/>
    <w:qFormat/>
    <w:uiPriority w:val="0"/>
    <w:rPr>
      <w:rFonts w:ascii="Batang" w:hAnsi="Batang" w:eastAsia="Batang" w:cs="Batang"/>
      <w:b w:val="0"/>
      <w:bCs w:val="0"/>
      <w:color w:val="000000"/>
      <w:spacing w:val="0"/>
      <w:w w:val="100"/>
      <w:position w:val="0"/>
      <w:sz w:val="21"/>
      <w:szCs w:val="21"/>
      <w:u w:val="none"/>
      <w:shd w:val="clear" w:color="auto" w:fill="FFFFFF"/>
      <w:lang w:val="en-US" w:eastAsia="en-US"/>
    </w:rPr>
  </w:style>
  <w:style w:type="character" w:customStyle="1" w:styleId="43">
    <w:name w:val="正文文本 (15)_"/>
    <w:basedOn w:val="23"/>
    <w:link w:val="44"/>
    <w:qFormat/>
    <w:uiPriority w:val="0"/>
    <w:rPr>
      <w:rFonts w:ascii="Trebuchet MS" w:hAnsi="Trebuchet MS" w:cs="Trebuchet MS"/>
      <w:b/>
      <w:bCs/>
      <w:kern w:val="0"/>
      <w:sz w:val="20"/>
      <w:szCs w:val="20"/>
      <w:lang w:eastAsia="en-US"/>
    </w:rPr>
  </w:style>
  <w:style w:type="paragraph" w:customStyle="1" w:styleId="44">
    <w:name w:val="正文文本 (15)"/>
    <w:basedOn w:val="1"/>
    <w:link w:val="43"/>
    <w:qFormat/>
    <w:uiPriority w:val="0"/>
    <w:pPr>
      <w:shd w:val="clear" w:color="auto" w:fill="FFFFFF"/>
      <w:spacing w:line="240" w:lineRule="atLeast"/>
    </w:pPr>
    <w:rPr>
      <w:rFonts w:ascii="Trebuchet MS" w:hAnsi="Trebuchet MS" w:cs="Trebuchet MS"/>
      <w:b/>
      <w:bCs/>
      <w:kern w:val="0"/>
      <w:sz w:val="20"/>
      <w:szCs w:val="20"/>
      <w:lang w:eastAsia="en-US"/>
    </w:rPr>
  </w:style>
  <w:style w:type="paragraph" w:customStyle="1" w:styleId="45">
    <w:name w:val="行距"/>
    <w:qFormat/>
    <w:uiPriority w:val="0"/>
    <w:pPr>
      <w:spacing w:line="520" w:lineRule="exact"/>
      <w:ind w:firstLine="200" w:firstLineChars="200"/>
      <w:jc w:val="both"/>
    </w:pPr>
    <w:rPr>
      <w:rFonts w:ascii="Times New Roman" w:hAnsi="Times New Roman" w:eastAsia="宋体" w:cs="Times New Roman"/>
      <w:kern w:val="2"/>
      <w:sz w:val="28"/>
      <w:szCs w:val="24"/>
      <w:lang w:val="en-US" w:eastAsia="zh-CN" w:bidi="ar-SA"/>
    </w:rPr>
  </w:style>
  <w:style w:type="character" w:customStyle="1" w:styleId="46">
    <w:name w:val="正文文本 (13) + Batang"/>
    <w:basedOn w:val="47"/>
    <w:qFormat/>
    <w:uiPriority w:val="0"/>
    <w:rPr>
      <w:rFonts w:ascii="Batang" w:hAnsi="Batang" w:eastAsia="Batang" w:cs="Batang"/>
      <w:b w:val="0"/>
      <w:bCs w:val="0"/>
      <w:color w:val="000000"/>
      <w:spacing w:val="0"/>
      <w:w w:val="100"/>
      <w:position w:val="0"/>
      <w:sz w:val="21"/>
      <w:szCs w:val="21"/>
      <w:u w:val="none"/>
      <w:shd w:val="clear" w:color="auto" w:fill="FFFFFF"/>
      <w:lang w:val="en-US" w:eastAsia="en-US"/>
    </w:rPr>
  </w:style>
  <w:style w:type="character" w:customStyle="1" w:styleId="47">
    <w:name w:val="正文文本 (13)_"/>
    <w:basedOn w:val="23"/>
    <w:link w:val="48"/>
    <w:qFormat/>
    <w:uiPriority w:val="0"/>
    <w:rPr>
      <w:rFonts w:ascii="Batang" w:eastAsia="Batang" w:cs="Batang"/>
      <w:b/>
      <w:bCs/>
      <w:kern w:val="0"/>
      <w:szCs w:val="21"/>
      <w:lang w:eastAsia="en-US"/>
    </w:rPr>
  </w:style>
  <w:style w:type="paragraph" w:customStyle="1" w:styleId="48">
    <w:name w:val="正文文本 (13)1"/>
    <w:basedOn w:val="1"/>
    <w:link w:val="47"/>
    <w:qFormat/>
    <w:uiPriority w:val="99"/>
    <w:pPr>
      <w:shd w:val="clear" w:color="auto" w:fill="FFFFFF"/>
      <w:spacing w:before="60" w:line="307" w:lineRule="exact"/>
      <w:ind w:hanging="1340"/>
      <w:jc w:val="distribute"/>
    </w:pPr>
    <w:rPr>
      <w:rFonts w:ascii="Batang" w:eastAsia="Batang" w:cs="Batang"/>
      <w:b/>
      <w:bCs/>
      <w:kern w:val="0"/>
      <w:szCs w:val="21"/>
      <w:lang w:eastAsia="en-US"/>
    </w:rPr>
  </w:style>
  <w:style w:type="character" w:customStyle="1" w:styleId="49">
    <w:name w:val="正文文本 + Sylfaen"/>
    <w:basedOn w:val="50"/>
    <w:qFormat/>
    <w:uiPriority w:val="0"/>
    <w:rPr>
      <w:rFonts w:hint="default" w:ascii="Sylfaen" w:hAnsi="Sylfaen" w:eastAsia="Sylfaen" w:cs="Sylfaen"/>
      <w:color w:val="000000"/>
      <w:spacing w:val="0"/>
      <w:w w:val="100"/>
      <w:position w:val="0"/>
      <w:sz w:val="20"/>
      <w:szCs w:val="20"/>
      <w:shd w:val="clear" w:color="auto" w:fill="FFFFFF"/>
      <w:lang w:val="en-US"/>
    </w:rPr>
  </w:style>
  <w:style w:type="character" w:customStyle="1" w:styleId="50">
    <w:name w:val="正文文本_"/>
    <w:basedOn w:val="23"/>
    <w:link w:val="51"/>
    <w:qFormat/>
    <w:locked/>
    <w:uiPriority w:val="0"/>
    <w:rPr>
      <w:rFonts w:ascii="宋体" w:hAnsi="宋体" w:cs="宋体"/>
      <w:kern w:val="0"/>
      <w:sz w:val="19"/>
      <w:szCs w:val="19"/>
    </w:rPr>
  </w:style>
  <w:style w:type="paragraph" w:customStyle="1" w:styleId="51">
    <w:name w:val="正文文本5"/>
    <w:basedOn w:val="1"/>
    <w:link w:val="50"/>
    <w:qFormat/>
    <w:uiPriority w:val="0"/>
    <w:pPr>
      <w:shd w:val="clear" w:color="auto" w:fill="FFFFFF"/>
      <w:spacing w:line="269" w:lineRule="exact"/>
      <w:jc w:val="distribute"/>
    </w:pPr>
    <w:rPr>
      <w:rFonts w:ascii="宋体" w:hAnsi="宋体" w:cs="宋体"/>
      <w:kern w:val="0"/>
      <w:sz w:val="19"/>
      <w:szCs w:val="19"/>
    </w:rPr>
  </w:style>
  <w:style w:type="character" w:customStyle="1" w:styleId="52">
    <w:name w:val="正文文本 + Batang"/>
    <w:basedOn w:val="37"/>
    <w:qFormat/>
    <w:uiPriority w:val="0"/>
    <w:rPr>
      <w:rFonts w:ascii="Batang" w:hAnsi="Times New Roman" w:eastAsia="Batang" w:cs="Batang"/>
      <w:b/>
      <w:bCs/>
      <w:spacing w:val="0"/>
      <w:kern w:val="0"/>
      <w:sz w:val="21"/>
      <w:szCs w:val="21"/>
      <w:u w:val="none"/>
      <w:lang w:val="en-US" w:eastAsia="en-US"/>
    </w:rPr>
  </w:style>
  <w:style w:type="paragraph" w:customStyle="1" w:styleId="53">
    <w:name w:val="新标题样式"/>
    <w:basedOn w:val="1"/>
    <w:qFormat/>
    <w:uiPriority w:val="0"/>
    <w:pPr>
      <w:tabs>
        <w:tab w:val="left" w:pos="567"/>
      </w:tabs>
      <w:spacing w:line="360" w:lineRule="auto"/>
    </w:pPr>
    <w:rPr>
      <w:rFonts w:ascii="Times New Roman" w:hAnsi="Times New Roman" w:eastAsia="黑体"/>
      <w:b/>
      <w:spacing w:val="20"/>
      <w:sz w:val="24"/>
      <w:szCs w:val="20"/>
    </w:rPr>
  </w:style>
  <w:style w:type="paragraph" w:customStyle="1" w:styleId="54">
    <w:name w:val="表格正文"/>
    <w:basedOn w:val="1"/>
    <w:qFormat/>
    <w:uiPriority w:val="0"/>
    <w:pPr>
      <w:spacing w:line="360" w:lineRule="exact"/>
      <w:ind w:firstLine="560" w:firstLineChars="200"/>
      <w:jc w:val="center"/>
    </w:pPr>
    <w:rPr>
      <w:rFonts w:ascii="Times New Roman" w:hAnsi="Times New Roman"/>
      <w:snapToGrid w:val="0"/>
      <w:color w:val="000000"/>
      <w:kern w:val="0"/>
      <w:sz w:val="28"/>
      <w:szCs w:val="20"/>
    </w:rPr>
  </w:style>
  <w:style w:type="paragraph" w:customStyle="1" w:styleId="55">
    <w:name w:val="文-5"/>
    <w:basedOn w:val="1"/>
    <w:semiHidden/>
    <w:qFormat/>
    <w:uiPriority w:val="0"/>
    <w:pPr>
      <w:spacing w:line="240" w:lineRule="exact"/>
      <w:jc w:val="center"/>
    </w:pPr>
    <w:rPr>
      <w:rFonts w:ascii="Times New Roman" w:hAnsi="Times New Roman"/>
      <w:spacing w:val="-18"/>
      <w:szCs w:val="21"/>
    </w:rPr>
  </w:style>
  <w:style w:type="paragraph" w:customStyle="1" w:styleId="56">
    <w:name w:val="正文[858D7CFB-ED40-4347-BF05-701D383B685F][858D7CFB-ED40-4347-BF05-701D383B685F]"/>
    <w:basedOn w:val="1"/>
    <w:qFormat/>
    <w:uiPriority w:val="0"/>
    <w:pPr>
      <w:spacing w:line="520" w:lineRule="exact"/>
      <w:ind w:firstLine="560"/>
    </w:pPr>
    <w:rPr>
      <w:rFonts w:ascii="Times New Roman" w:hAnsi="Times New Roman"/>
      <w:kern w:val="0"/>
      <w:sz w:val="28"/>
      <w:szCs w:val="24"/>
    </w:rPr>
  </w:style>
  <w:style w:type="paragraph" w:customStyle="1" w:styleId="57">
    <w:name w:val="图表位置"/>
    <w:basedOn w:val="1"/>
    <w:qFormat/>
    <w:uiPriority w:val="0"/>
    <w:pPr>
      <w:adjustRightInd w:val="0"/>
      <w:snapToGrid w:val="0"/>
      <w:jc w:val="center"/>
    </w:pPr>
  </w:style>
  <w:style w:type="paragraph" w:customStyle="1" w:styleId="58">
    <w:name w:val="环评图件标题"/>
    <w:basedOn w:val="27"/>
    <w:next w:val="1"/>
    <w:qFormat/>
    <w:uiPriority w:val="0"/>
    <w:pPr>
      <w:ind w:firstLine="0" w:firstLineChars="0"/>
      <w:jc w:val="center"/>
    </w:pPr>
    <w:rPr>
      <w:rFonts w:eastAsia="黑体"/>
      <w:b/>
      <w:sz w:val="24"/>
    </w:rPr>
  </w:style>
  <w:style w:type="paragraph" w:customStyle="1" w:styleId="59">
    <w:name w:val="环评表格注释"/>
    <w:basedOn w:val="40"/>
    <w:next w:val="27"/>
    <w:qFormat/>
    <w:uiPriority w:val="0"/>
  </w:style>
  <w:style w:type="paragraph" w:customStyle="1" w:styleId="60">
    <w:name w:val="TextStyle10.5"/>
    <w:basedOn w:val="1"/>
    <w:qFormat/>
    <w:uiPriority w:val="0"/>
    <w:pPr>
      <w:jc w:val="center"/>
    </w:pPr>
  </w:style>
  <w:style w:type="table" w:customStyle="1" w:styleId="61">
    <w:name w:val="Table Normal"/>
    <w:semiHidden/>
    <w:unhideWhenUsed/>
    <w:qFormat/>
    <w:uiPriority w:val="2"/>
    <w:pPr>
      <w:widowControl w:val="0"/>
    </w:pPr>
    <w:rPr>
      <w:rFonts w:asciiTheme="minorHAnsi" w:hAnsiTheme="minorHAnsi" w:eastAsiaTheme="minorEastAsia"/>
      <w:sz w:val="22"/>
      <w:szCs w:val="22"/>
      <w:lang w:eastAsia="en-US"/>
    </w:rPr>
    <w:tblPr>
      <w:tblCellMar>
        <w:top w:w="0" w:type="dxa"/>
        <w:left w:w="0" w:type="dxa"/>
        <w:bottom w:w="0" w:type="dxa"/>
        <w:right w:w="0" w:type="dxa"/>
      </w:tblCellMar>
    </w:tblPr>
  </w:style>
  <w:style w:type="paragraph" w:customStyle="1" w:styleId="62">
    <w:name w:val="环评二级标题"/>
    <w:basedOn w:val="1"/>
    <w:next w:val="1"/>
    <w:qFormat/>
    <w:uiPriority w:val="0"/>
    <w:pPr>
      <w:spacing w:line="520" w:lineRule="exact"/>
      <w:jc w:val="left"/>
      <w:outlineLvl w:val="1"/>
    </w:pPr>
    <w:rPr>
      <w:rFonts w:eastAsia="黑体"/>
      <w:b/>
      <w:sz w:val="28"/>
      <w:szCs w:val="22"/>
    </w:rPr>
  </w:style>
  <w:style w:type="paragraph" w:customStyle="1" w:styleId="63">
    <w:name w:val="环评表表格内容居中"/>
    <w:basedOn w:val="1"/>
    <w:qFormat/>
    <w:uiPriority w:val="0"/>
    <w:pPr>
      <w:jc w:val="center"/>
    </w:pPr>
    <w:rPr>
      <w:sz w:val="21"/>
    </w:rPr>
  </w:style>
  <w:style w:type="paragraph" w:customStyle="1" w:styleId="64">
    <w:name w:val="样式 首行缩进:  2 字符"/>
    <w:basedOn w:val="1"/>
    <w:qFormat/>
    <w:uiPriority w:val="0"/>
    <w:pPr>
      <w:spacing w:line="520" w:lineRule="exact"/>
      <w:ind w:firstLine="200" w:firstLineChars="200"/>
    </w:pPr>
    <w:rPr>
      <w:rFonts w:cs="宋体"/>
      <w:sz w:val="28"/>
    </w:rPr>
  </w:style>
  <w:style w:type="table" w:customStyle="1" w:styleId="65">
    <w:name w:val="网格型2"/>
    <w:basedOn w:val="21"/>
    <w:qFormat/>
    <w:uiPriority w:val="5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6">
    <w:name w:val="样式 标题 3 + (中文) 楷体_GB2312 四号 左 段前: 0 磅 段后: 0 磅 行距: 固定值 26 磅"/>
    <w:basedOn w:val="5"/>
    <w:qFormat/>
    <w:uiPriority w:val="0"/>
    <w:pPr>
      <w:spacing w:before="0" w:after="0" w:line="520" w:lineRule="exact"/>
      <w:jc w:val="left"/>
    </w:pPr>
    <w:rPr>
      <w:rFonts w:eastAsia="楷体_GB2312" w:cs="宋体"/>
      <w:kern w:val="0"/>
      <w:sz w:val="28"/>
    </w:rPr>
  </w:style>
  <w:style w:type="paragraph" w:customStyle="1" w:styleId="67">
    <w:name w:val="样式111"/>
    <w:uiPriority w:val="0"/>
    <w:pPr>
      <w:adjustRightInd w:val="0"/>
      <w:snapToGrid w:val="0"/>
      <w:jc w:val="both"/>
    </w:pPr>
    <w:rPr>
      <w:rFonts w:ascii="宋体" w:hAnsi="Times New Roman" w:eastAsia="宋体" w:cs="Times New Roman"/>
      <w:sz w:val="21"/>
      <w:lang w:val="en-US" w:eastAsia="zh-CN" w:bidi="ar-SA"/>
    </w:rPr>
  </w:style>
  <w:style w:type="character" w:customStyle="1" w:styleId="68">
    <w:name w:val="题注 字符"/>
    <w:link w:val="11"/>
    <w:qFormat/>
    <w:uiPriority w:val="0"/>
    <w:rPr>
      <w:rFonts w:ascii="等线 Light" w:hAnsi="等线 Light" w:eastAsia="黑体" w:cs="Times New Roman"/>
      <w:sz w:val="20"/>
      <w:szCs w:val="20"/>
    </w:rPr>
  </w:style>
  <w:style w:type="paragraph" w:customStyle="1" w:styleId="69">
    <w:name w:val="样式 正文文本缩进 + 左侧:  2 字符 首行缩进:  2 字符"/>
    <w:basedOn w:val="14"/>
    <w:qFormat/>
    <w:uiPriority w:val="0"/>
    <w:pPr>
      <w:spacing w:after="0" w:line="520" w:lineRule="exact"/>
      <w:ind w:left="0" w:leftChars="0" w:firstLine="200" w:firstLineChars="200"/>
    </w:pPr>
    <w:rPr>
      <w:rFonts w:ascii="Times New Roman" w:hAnsi="Times New Roman" w:cs="宋体"/>
      <w:sz w:val="28"/>
      <w:szCs w:val="20"/>
    </w:rPr>
  </w:style>
  <w:style w:type="character" w:customStyle="1" w:styleId="70">
    <w:name w:val="bjh-strong"/>
    <w:qFormat/>
    <w:uiPriority w:val="0"/>
  </w:style>
  <w:style w:type="character" w:customStyle="1" w:styleId="71">
    <w:name w:val="bjh-p"/>
    <w:qFormat/>
    <w:uiPriority w:val="0"/>
  </w:style>
  <w:style w:type="paragraph" w:customStyle="1" w:styleId="72">
    <w:name w:val="Table Paragraph"/>
    <w:basedOn w:val="1"/>
    <w:qFormat/>
    <w:uiPriority w:val="1"/>
    <w:pPr>
      <w:autoSpaceDE w:val="0"/>
      <w:autoSpaceDN w:val="0"/>
      <w:jc w:val="center"/>
    </w:pPr>
    <w:rPr>
      <w:rFonts w:ascii="Times New Roman" w:hAnsi="Times New Roman" w:eastAsia="Times New Roman"/>
      <w:kern w:val="0"/>
      <w:sz w:val="22"/>
      <w:lang w:val="zh-CN" w:bidi="zh-CN"/>
    </w:rPr>
  </w:style>
  <w:style w:type="paragraph" w:customStyle="1" w:styleId="73">
    <w:name w:val="图题注"/>
    <w:basedOn w:val="11"/>
    <w:qFormat/>
    <w:uiPriority w:val="0"/>
    <w:pPr>
      <w:ind w:firstLine="482"/>
      <w:jc w:val="left"/>
    </w:pPr>
    <w:rPr>
      <w:rFonts w:ascii="Times New Roman" w:hAnsi="Times New Roman"/>
      <w:b/>
      <w:sz w:val="24"/>
    </w:rPr>
  </w:style>
  <w:style w:type="paragraph" w:customStyle="1" w:styleId="74">
    <w:name w:val="表内文字"/>
    <w:basedOn w:val="10"/>
    <w:qFormat/>
    <w:uiPriority w:val="0"/>
    <w:pPr>
      <w:spacing w:line="280" w:lineRule="exact"/>
      <w:ind w:firstLine="0" w:firstLineChars="0"/>
    </w:pPr>
    <w:rPr>
      <w:rFonts w:ascii="Times New Roman" w:hAnsi="Times New Roman"/>
      <w:szCs w:val="24"/>
    </w:rPr>
  </w:style>
  <w:style w:type="paragraph" w:customStyle="1" w:styleId="75">
    <w:name w:val="表内字"/>
    <w:basedOn w:val="1"/>
    <w:qFormat/>
    <w:uiPriority w:val="0"/>
    <w:pPr>
      <w:spacing w:line="240" w:lineRule="atLeast"/>
      <w:ind w:firstLine="0" w:firstLineChars="0"/>
      <w:jc w:val="center"/>
    </w:pPr>
    <w:rPr>
      <w:bCs/>
      <w:sz w:val="21"/>
    </w:rPr>
  </w:style>
  <w:style w:type="paragraph" w:customStyle="1" w:styleId="76">
    <w:name w:val="表题注"/>
    <w:basedOn w:val="11"/>
    <w:qFormat/>
    <w:uiPriority w:val="0"/>
    <w:pPr>
      <w:keepNext/>
      <w:spacing w:line="480" w:lineRule="atLeast"/>
      <w:ind w:firstLine="883"/>
      <w:jc w:val="left"/>
    </w:pPr>
    <w:rPr>
      <w:rFonts w:ascii="Times New Roman" w:hAnsi="Times New Roman"/>
      <w:b/>
      <w:sz w:val="24"/>
    </w:rPr>
  </w:style>
  <w:style w:type="paragraph" w:customStyle="1" w:styleId="77">
    <w:name w:val="表格内字"/>
    <w:basedOn w:val="1"/>
    <w:qFormat/>
    <w:uiPriority w:val="0"/>
    <w:pPr>
      <w:spacing w:line="240" w:lineRule="auto"/>
      <w:ind w:firstLine="0" w:firstLineChars="0"/>
      <w:jc w:val="center"/>
    </w:pPr>
    <w:rPr>
      <w:rFonts w:cs="宋体"/>
      <w:sz w:val="21"/>
    </w:rPr>
  </w:style>
  <w:style w:type="paragraph" w:customStyle="1" w:styleId="78">
    <w:name w:val="样式 标题 1 + 首行缩进:  2 字符"/>
    <w:basedOn w:val="3"/>
    <w:uiPriority w:val="0"/>
    <w:pPr>
      <w:ind w:firstLine="0" w:firstLineChars="0"/>
    </w:pPr>
    <w:rPr>
      <w:rFonts w:cs="宋体"/>
      <w:szCs w:val="20"/>
    </w:rPr>
  </w:style>
  <w:style w:type="paragraph" w:customStyle="1" w:styleId="79">
    <w:name w:val="样式 标题 2 + 首行缩进:  2 字符"/>
    <w:basedOn w:val="4"/>
    <w:uiPriority w:val="0"/>
    <w:pPr>
      <w:ind w:firstLine="0" w:firstLineChars="0"/>
    </w:pPr>
    <w:rPr>
      <w:rFonts w:cs="宋体"/>
      <w:szCs w:val="20"/>
    </w:rPr>
  </w:style>
  <w:style w:type="paragraph" w:customStyle="1" w:styleId="80">
    <w:name w:val="样式 标题 2 + 首行缩进:  2 字符1"/>
    <w:basedOn w:val="4"/>
    <w:qFormat/>
    <w:uiPriority w:val="0"/>
    <w:pPr>
      <w:ind w:firstLine="0" w:firstLineChars="0"/>
    </w:pPr>
    <w:rPr>
      <w:rFonts w:cs="宋体"/>
      <w:szCs w:val="20"/>
    </w:rPr>
  </w:style>
  <w:style w:type="paragraph" w:customStyle="1" w:styleId="81">
    <w:name w:val="正式文字"/>
    <w:basedOn w:val="1"/>
    <w:qFormat/>
    <w:uiPriority w:val="0"/>
    <w:pPr>
      <w:jc w:val="both"/>
    </w:pPr>
    <w:rPr>
      <w:bCs/>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61.png"/><Relationship Id="rId98" Type="http://schemas.openxmlformats.org/officeDocument/2006/relationships/image" Target="media/image60.wmf"/><Relationship Id="rId97" Type="http://schemas.openxmlformats.org/officeDocument/2006/relationships/image" Target="media/image59.wmf"/><Relationship Id="rId96" Type="http://schemas.openxmlformats.org/officeDocument/2006/relationships/image" Target="media/image58.wmf"/><Relationship Id="rId95" Type="http://schemas.openxmlformats.org/officeDocument/2006/relationships/image" Target="media/image57.wmf"/><Relationship Id="rId94" Type="http://schemas.openxmlformats.org/officeDocument/2006/relationships/image" Target="media/image56.wmf"/><Relationship Id="rId93" Type="http://schemas.openxmlformats.org/officeDocument/2006/relationships/image" Target="media/image55.wmf"/><Relationship Id="rId92" Type="http://schemas.openxmlformats.org/officeDocument/2006/relationships/image" Target="media/image54.png"/><Relationship Id="rId91" Type="http://schemas.openxmlformats.org/officeDocument/2006/relationships/image" Target="media/image53.png"/><Relationship Id="rId90" Type="http://schemas.openxmlformats.org/officeDocument/2006/relationships/image" Target="media/image52.png"/><Relationship Id="rId9" Type="http://schemas.openxmlformats.org/officeDocument/2006/relationships/header" Target="header5.xml"/><Relationship Id="rId89" Type="http://schemas.openxmlformats.org/officeDocument/2006/relationships/image" Target="media/image51.wmf"/><Relationship Id="rId88" Type="http://schemas.openxmlformats.org/officeDocument/2006/relationships/image" Target="media/image50.wmf"/><Relationship Id="rId87" Type="http://schemas.openxmlformats.org/officeDocument/2006/relationships/image" Target="media/image49.wmf"/><Relationship Id="rId86" Type="http://schemas.openxmlformats.org/officeDocument/2006/relationships/image" Target="media/image48.wmf"/><Relationship Id="rId85" Type="http://schemas.openxmlformats.org/officeDocument/2006/relationships/image" Target="media/image47.png"/><Relationship Id="rId84" Type="http://schemas.openxmlformats.org/officeDocument/2006/relationships/image" Target="media/image46.png"/><Relationship Id="rId83" Type="http://schemas.openxmlformats.org/officeDocument/2006/relationships/image" Target="media/image45.png"/><Relationship Id="rId82" Type="http://schemas.openxmlformats.org/officeDocument/2006/relationships/image" Target="media/image44.png"/><Relationship Id="rId81" Type="http://schemas.openxmlformats.org/officeDocument/2006/relationships/image" Target="media/image43.png"/><Relationship Id="rId80" Type="http://schemas.openxmlformats.org/officeDocument/2006/relationships/image" Target="media/image42.jpeg"/><Relationship Id="rId8" Type="http://schemas.openxmlformats.org/officeDocument/2006/relationships/footer" Target="footer2.xml"/><Relationship Id="rId79" Type="http://schemas.openxmlformats.org/officeDocument/2006/relationships/image" Target="media/image41.jpeg"/><Relationship Id="rId78" Type="http://schemas.openxmlformats.org/officeDocument/2006/relationships/image" Target="media/image40.jpeg"/><Relationship Id="rId77" Type="http://schemas.openxmlformats.org/officeDocument/2006/relationships/image" Target="media/image39.png"/><Relationship Id="rId76" Type="http://schemas.openxmlformats.org/officeDocument/2006/relationships/image" Target="media/image38.png"/><Relationship Id="rId75" Type="http://schemas.openxmlformats.org/officeDocument/2006/relationships/image" Target="media/image37.png"/><Relationship Id="rId74" Type="http://schemas.openxmlformats.org/officeDocument/2006/relationships/image" Target="media/image36.jpeg"/><Relationship Id="rId73" Type="http://schemas.openxmlformats.org/officeDocument/2006/relationships/image" Target="media/image35.jpeg"/><Relationship Id="rId72" Type="http://schemas.openxmlformats.org/officeDocument/2006/relationships/image" Target="media/image34.jpeg"/><Relationship Id="rId71" Type="http://schemas.openxmlformats.org/officeDocument/2006/relationships/image" Target="media/image33.png"/><Relationship Id="rId70" Type="http://schemas.openxmlformats.org/officeDocument/2006/relationships/image" Target="media/image32.wmf"/><Relationship Id="rId7" Type="http://schemas.openxmlformats.org/officeDocument/2006/relationships/header" Target="header4.xml"/><Relationship Id="rId69" Type="http://schemas.openxmlformats.org/officeDocument/2006/relationships/image" Target="media/image31.wmf"/><Relationship Id="rId68" Type="http://schemas.openxmlformats.org/officeDocument/2006/relationships/image" Target="media/image30.wmf"/><Relationship Id="rId67" Type="http://schemas.openxmlformats.org/officeDocument/2006/relationships/image" Target="media/image29.wmf"/><Relationship Id="rId66" Type="http://schemas.openxmlformats.org/officeDocument/2006/relationships/image" Target="media/image28.wmf"/><Relationship Id="rId65" Type="http://schemas.openxmlformats.org/officeDocument/2006/relationships/image" Target="media/image27.wmf"/><Relationship Id="rId64" Type="http://schemas.openxmlformats.org/officeDocument/2006/relationships/image" Target="media/image26.wmf"/><Relationship Id="rId63" Type="http://schemas.openxmlformats.org/officeDocument/2006/relationships/image" Target="media/image25.wmf"/><Relationship Id="rId62" Type="http://schemas.openxmlformats.org/officeDocument/2006/relationships/image" Target="media/image24.wmf"/><Relationship Id="rId61" Type="http://schemas.openxmlformats.org/officeDocument/2006/relationships/image" Target="media/image23.wmf"/><Relationship Id="rId60" Type="http://schemas.openxmlformats.org/officeDocument/2006/relationships/oleObject" Target="embeddings/oleObject10.bin"/><Relationship Id="rId6" Type="http://schemas.openxmlformats.org/officeDocument/2006/relationships/header" Target="header3.xml"/><Relationship Id="rId59" Type="http://schemas.openxmlformats.org/officeDocument/2006/relationships/image" Target="media/image22.wmf"/><Relationship Id="rId58" Type="http://schemas.openxmlformats.org/officeDocument/2006/relationships/image" Target="media/image21.wmf"/><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jpeg"/><Relationship Id="rId54" Type="http://schemas.openxmlformats.org/officeDocument/2006/relationships/image" Target="media/image17.jpeg"/><Relationship Id="rId53" Type="http://schemas.openxmlformats.org/officeDocument/2006/relationships/image" Target="media/image16.jpeg"/><Relationship Id="rId52" Type="http://schemas.openxmlformats.org/officeDocument/2006/relationships/image" Target="media/image15.jpeg"/><Relationship Id="rId51" Type="http://schemas.openxmlformats.org/officeDocument/2006/relationships/image" Target="media/image14.jpeg"/><Relationship Id="rId50" Type="http://schemas.openxmlformats.org/officeDocument/2006/relationships/chart" Target="charts/chart3.xml"/><Relationship Id="rId5" Type="http://schemas.openxmlformats.org/officeDocument/2006/relationships/footer" Target="footer1.xml"/><Relationship Id="rId49" Type="http://schemas.openxmlformats.org/officeDocument/2006/relationships/chart" Target="charts/chart2.xml"/><Relationship Id="rId48" Type="http://schemas.openxmlformats.org/officeDocument/2006/relationships/chart" Target="charts/chart1.xml"/><Relationship Id="rId47" Type="http://schemas.openxmlformats.org/officeDocument/2006/relationships/image" Target="media/image13.jpeg"/><Relationship Id="rId46" Type="http://schemas.openxmlformats.org/officeDocument/2006/relationships/image" Target="media/image12.png"/><Relationship Id="rId45" Type="http://schemas.openxmlformats.org/officeDocument/2006/relationships/image" Target="media/image11.emf"/><Relationship Id="rId44" Type="http://schemas.openxmlformats.org/officeDocument/2006/relationships/oleObject" Target="embeddings/oleObject9.bin"/><Relationship Id="rId43" Type="http://schemas.openxmlformats.org/officeDocument/2006/relationships/image" Target="media/image10.png"/><Relationship Id="rId42" Type="http://schemas.openxmlformats.org/officeDocument/2006/relationships/image" Target="media/image9.emf"/><Relationship Id="rId41" Type="http://schemas.openxmlformats.org/officeDocument/2006/relationships/oleObject" Target="embeddings/oleObject8.bin"/><Relationship Id="rId40" Type="http://schemas.openxmlformats.org/officeDocument/2006/relationships/image" Target="media/image8.emf"/><Relationship Id="rId4" Type="http://schemas.openxmlformats.org/officeDocument/2006/relationships/header" Target="header2.xml"/><Relationship Id="rId39" Type="http://schemas.openxmlformats.org/officeDocument/2006/relationships/oleObject" Target="embeddings/oleObject7.bin"/><Relationship Id="rId38" Type="http://schemas.openxmlformats.org/officeDocument/2006/relationships/image" Target="media/image7.emf"/><Relationship Id="rId37" Type="http://schemas.openxmlformats.org/officeDocument/2006/relationships/image" Target="media/image6.emf"/><Relationship Id="rId36" Type="http://schemas.openxmlformats.org/officeDocument/2006/relationships/oleObject" Target="embeddings/oleObject6.bin"/><Relationship Id="rId35" Type="http://schemas.openxmlformats.org/officeDocument/2006/relationships/image" Target="media/image5.emf"/><Relationship Id="rId34" Type="http://schemas.openxmlformats.org/officeDocument/2006/relationships/oleObject" Target="embeddings/oleObject5.bin"/><Relationship Id="rId33" Type="http://schemas.openxmlformats.org/officeDocument/2006/relationships/image" Target="media/image4.emf"/><Relationship Id="rId32" Type="http://schemas.openxmlformats.org/officeDocument/2006/relationships/oleObject" Target="embeddings/oleObject4.bin"/><Relationship Id="rId31" Type="http://schemas.openxmlformats.org/officeDocument/2006/relationships/image" Target="media/image3.emf"/><Relationship Id="rId30" Type="http://schemas.openxmlformats.org/officeDocument/2006/relationships/oleObject" Target="embeddings/oleObject3.bin"/><Relationship Id="rId3" Type="http://schemas.openxmlformats.org/officeDocument/2006/relationships/header" Target="header1.xml"/><Relationship Id="rId29" Type="http://schemas.openxmlformats.org/officeDocument/2006/relationships/image" Target="media/image2.emf"/><Relationship Id="rId28" Type="http://schemas.openxmlformats.org/officeDocument/2006/relationships/oleObject" Target="embeddings/oleObject2.bin"/><Relationship Id="rId27" Type="http://schemas.openxmlformats.org/officeDocument/2006/relationships/image" Target="media/image1.wmf"/><Relationship Id="rId26" Type="http://schemas.openxmlformats.org/officeDocument/2006/relationships/oleObject" Target="embeddings/oleObject1.bin"/><Relationship Id="rId25" Type="http://schemas.openxmlformats.org/officeDocument/2006/relationships/theme" Target="theme/theme1.xml"/><Relationship Id="rId24" Type="http://schemas.openxmlformats.org/officeDocument/2006/relationships/footer" Target="footer12.xml"/><Relationship Id="rId23" Type="http://schemas.openxmlformats.org/officeDocument/2006/relationships/header" Target="header10.xml"/><Relationship Id="rId22" Type="http://schemas.openxmlformats.org/officeDocument/2006/relationships/footer" Target="footer11.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7" Type="http://schemas.openxmlformats.org/officeDocument/2006/relationships/fontTable" Target="fontTable.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95.png"/><Relationship Id="rId133" Type="http://schemas.openxmlformats.org/officeDocument/2006/relationships/image" Target="media/image94.png"/><Relationship Id="rId132" Type="http://schemas.openxmlformats.org/officeDocument/2006/relationships/image" Target="media/image93.png"/><Relationship Id="rId131" Type="http://schemas.openxmlformats.org/officeDocument/2006/relationships/image" Target="media/image92.png"/><Relationship Id="rId130" Type="http://schemas.openxmlformats.org/officeDocument/2006/relationships/image" Target="media/image91.emf"/><Relationship Id="rId13" Type="http://schemas.openxmlformats.org/officeDocument/2006/relationships/footer" Target="footer6.xml"/><Relationship Id="rId129" Type="http://schemas.openxmlformats.org/officeDocument/2006/relationships/oleObject" Target="embeddings/oleObject11.bin"/><Relationship Id="rId128" Type="http://schemas.openxmlformats.org/officeDocument/2006/relationships/image" Target="media/image90.png"/><Relationship Id="rId127" Type="http://schemas.openxmlformats.org/officeDocument/2006/relationships/image" Target="media/image89.emf"/><Relationship Id="rId126" Type="http://schemas.openxmlformats.org/officeDocument/2006/relationships/image" Target="media/image88.jpeg"/><Relationship Id="rId125" Type="http://schemas.openxmlformats.org/officeDocument/2006/relationships/image" Target="media/image87.jpeg"/><Relationship Id="rId124" Type="http://schemas.openxmlformats.org/officeDocument/2006/relationships/image" Target="media/image86.jpeg"/><Relationship Id="rId123" Type="http://schemas.openxmlformats.org/officeDocument/2006/relationships/image" Target="media/image85.jpeg"/><Relationship Id="rId122" Type="http://schemas.openxmlformats.org/officeDocument/2006/relationships/image" Target="media/image84.jpeg"/><Relationship Id="rId121" Type="http://schemas.openxmlformats.org/officeDocument/2006/relationships/image" Target="media/image83.jpeg"/><Relationship Id="rId120" Type="http://schemas.openxmlformats.org/officeDocument/2006/relationships/image" Target="media/image82.emf"/><Relationship Id="rId12" Type="http://schemas.openxmlformats.org/officeDocument/2006/relationships/footer" Target="footer5.xml"/><Relationship Id="rId119" Type="http://schemas.openxmlformats.org/officeDocument/2006/relationships/image" Target="media/image81.png"/><Relationship Id="rId118" Type="http://schemas.openxmlformats.org/officeDocument/2006/relationships/image" Target="media/image80.png"/><Relationship Id="rId117" Type="http://schemas.openxmlformats.org/officeDocument/2006/relationships/image" Target="media/image79.png"/><Relationship Id="rId116" Type="http://schemas.openxmlformats.org/officeDocument/2006/relationships/image" Target="media/image78.png"/><Relationship Id="rId115" Type="http://schemas.openxmlformats.org/officeDocument/2006/relationships/image" Target="media/image77.jpeg"/><Relationship Id="rId114" Type="http://schemas.openxmlformats.org/officeDocument/2006/relationships/image" Target="media/image76.jpeg"/><Relationship Id="rId113" Type="http://schemas.openxmlformats.org/officeDocument/2006/relationships/image" Target="media/image75.jpeg"/><Relationship Id="rId112" Type="http://schemas.openxmlformats.org/officeDocument/2006/relationships/image" Target="media/image74.jpeg"/><Relationship Id="rId111" Type="http://schemas.openxmlformats.org/officeDocument/2006/relationships/image" Target="media/image73.jpeg"/><Relationship Id="rId110" Type="http://schemas.openxmlformats.org/officeDocument/2006/relationships/image" Target="media/image72.jpeg"/><Relationship Id="rId11" Type="http://schemas.openxmlformats.org/officeDocument/2006/relationships/footer" Target="footer4.xml"/><Relationship Id="rId109" Type="http://schemas.openxmlformats.org/officeDocument/2006/relationships/image" Target="media/image71.png"/><Relationship Id="rId108" Type="http://schemas.openxmlformats.org/officeDocument/2006/relationships/image" Target="media/image70.jpeg"/><Relationship Id="rId107" Type="http://schemas.openxmlformats.org/officeDocument/2006/relationships/image" Target="media/image69.jpeg"/><Relationship Id="rId106" Type="http://schemas.openxmlformats.org/officeDocument/2006/relationships/image" Target="media/image68.jpeg"/><Relationship Id="rId105" Type="http://schemas.openxmlformats.org/officeDocument/2006/relationships/image" Target="media/image67.jpeg"/><Relationship Id="rId104" Type="http://schemas.openxmlformats.org/officeDocument/2006/relationships/image" Target="media/image66.jpeg"/><Relationship Id="rId103" Type="http://schemas.openxmlformats.org/officeDocument/2006/relationships/image" Target="media/image65.jpeg"/><Relationship Id="rId102" Type="http://schemas.openxmlformats.org/officeDocument/2006/relationships/image" Target="media/image64.png"/><Relationship Id="rId101" Type="http://schemas.openxmlformats.org/officeDocument/2006/relationships/image" Target="media/image63.emf"/><Relationship Id="rId100" Type="http://schemas.openxmlformats.org/officeDocument/2006/relationships/image" Target="media/image62.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Administrator\Desktop\&#22320;&#34920;&#27700;&#22270;32021.4.7%20.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22320;&#34920;&#27700;&#22270;32021.4.7%20.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Administrator\Desktop\&#22320;&#34920;&#27700;&#22270;32021.4.7%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"COD"</c:f>
              <c:strCache>
                <c:ptCount val="1"/>
                <c:pt idx="0">
                  <c:v>COD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.xlsx]Sheet1'!$I$11:$I$22,'[地表水图32021.4.7 .xlsx]Sheet1'!$L$11:$L$22)</c:f>
              <c:numCache>
                <c:formatCode>General</c:formatCode>
                <c:ptCount val="24"/>
                <c:pt idx="0">
                  <c:v>17</c:v>
                </c:pt>
                <c:pt idx="1">
                  <c:v>17</c:v>
                </c:pt>
                <c:pt idx="2">
                  <c:v>13</c:v>
                </c:pt>
                <c:pt idx="3">
                  <c:v>14</c:v>
                </c:pt>
                <c:pt idx="4">
                  <c:v>28</c:v>
                </c:pt>
                <c:pt idx="5">
                  <c:v>28</c:v>
                </c:pt>
                <c:pt idx="6">
                  <c:v>11</c:v>
                </c:pt>
                <c:pt idx="7">
                  <c:v>15.5</c:v>
                </c:pt>
                <c:pt idx="8">
                  <c:v>15.5</c:v>
                </c:pt>
                <c:pt idx="9">
                  <c:v>15.5</c:v>
                </c:pt>
                <c:pt idx="10">
                  <c:v>21</c:v>
                </c:pt>
                <c:pt idx="12">
                  <c:v>30</c:v>
                </c:pt>
                <c:pt idx="13">
                  <c:v>30</c:v>
                </c:pt>
                <c:pt idx="14">
                  <c:v>30</c:v>
                </c:pt>
                <c:pt idx="15">
                  <c:v>30</c:v>
                </c:pt>
                <c:pt idx="16">
                  <c:v>30</c:v>
                </c:pt>
                <c:pt idx="17">
                  <c:v>30</c:v>
                </c:pt>
                <c:pt idx="18">
                  <c:v>30</c:v>
                </c:pt>
                <c:pt idx="19">
                  <c:v>30</c:v>
                </c:pt>
                <c:pt idx="20">
                  <c:v>30</c:v>
                </c:pt>
                <c:pt idx="21">
                  <c:v>30</c:v>
                </c:pt>
                <c:pt idx="22">
                  <c:v>30</c:v>
                </c:pt>
              </c:numCache>
            </c:numRef>
          </c:val>
          <c:smooth val="0"/>
        </c:ser>
        <c:ser>
          <c:idx val="1"/>
          <c:order val="1"/>
          <c:tx>
            <c:strRef>
              <c:f>'[地表水图32021.4.7 .xlsx]Sheet1'!$H$23</c:f>
              <c:strCache>
                <c:ptCount val="1"/>
                <c:pt idx="0">
                  <c:v>标准限值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.xlsx]Sheet1'!$L$11:$L$22</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numCache>
            </c:numRef>
          </c:val>
          <c:smooth val="0"/>
        </c:ser>
        <c:dLbls>
          <c:showLegendKey val="0"/>
          <c:showVal val="0"/>
          <c:showCatName val="0"/>
          <c:showSerName val="0"/>
          <c:showPercent val="0"/>
          <c:showBubbleSize val="0"/>
        </c:dLbls>
        <c:marker val="1"/>
        <c:smooth val="0"/>
        <c:axId val="340831887"/>
        <c:axId val="916326430"/>
      </c:lineChart>
      <c:dateAx>
        <c:axId val="340831887"/>
        <c:scaling>
          <c:orientation val="minMax"/>
        </c:scaling>
        <c:delete val="0"/>
        <c:axPos val="b"/>
        <c:numFmt formatCode="yyyy&quot;年&quot;m&quot;月&quot;"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16326430"/>
        <c:crosses val="autoZero"/>
        <c:auto val="1"/>
        <c:lblOffset val="100"/>
        <c:baseTimeUnit val="months"/>
      </c:dateAx>
      <c:valAx>
        <c:axId val="91632643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latin typeface="Times New Roman" panose="02020603050405020304" charset="0"/>
                    <a:cs typeface="Times New Roman" panose="02020603050405020304" charset="0"/>
                  </a:rPr>
                  <a:t>浓度 </a:t>
                </a:r>
                <a:r>
                  <a:rPr lang="en-US" altLang="zh-CN">
                    <a:latin typeface="Times New Roman" panose="02020603050405020304" charset="0"/>
                    <a:cs typeface="Times New Roman" panose="02020603050405020304" charset="0"/>
                  </a:rPr>
                  <a:t>mg/L</a:t>
                </a:r>
                <a:endParaRPr lang="en-US" altLang="zh-CN">
                  <a:latin typeface="Times New Roman" panose="02020603050405020304" charset="0"/>
                  <a:cs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40831887"/>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"氨氮"</c:f>
              <c:strCache>
                <c:ptCount val="1"/>
                <c:pt idx="0">
                  <c:v>氨氮</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.xlsx]Sheet1'!$J$11:$J$21</c:f>
              <c:numCache>
                <c:formatCode>General</c:formatCode>
                <c:ptCount val="11"/>
                <c:pt idx="0">
                  <c:v>0.8</c:v>
                </c:pt>
                <c:pt idx="1">
                  <c:v>0.34</c:v>
                </c:pt>
                <c:pt idx="2">
                  <c:v>0.05</c:v>
                </c:pt>
                <c:pt idx="3">
                  <c:v>0.05</c:v>
                </c:pt>
                <c:pt idx="4">
                  <c:v>0.16</c:v>
                </c:pt>
                <c:pt idx="5">
                  <c:v>0.2</c:v>
                </c:pt>
                <c:pt idx="6">
                  <c:v>0.27</c:v>
                </c:pt>
                <c:pt idx="7">
                  <c:v>0.31</c:v>
                </c:pt>
                <c:pt idx="8">
                  <c:v>0.24</c:v>
                </c:pt>
                <c:pt idx="9">
                  <c:v>0.28</c:v>
                </c:pt>
                <c:pt idx="10">
                  <c:v>0.67</c:v>
                </c:pt>
              </c:numCache>
            </c:numRef>
          </c:val>
          <c:smooth val="0"/>
        </c:ser>
        <c:ser>
          <c:idx val="1"/>
          <c:order val="1"/>
          <c:tx>
            <c:strRef>
              <c:f>'[地表水图32021.4.7 .xlsx]Sheet1'!$H$23</c:f>
              <c:strCache>
                <c:ptCount val="1"/>
                <c:pt idx="0">
                  <c:v>标准限值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.xlsx]Sheet1'!$M$11:$M$22</c:f>
              <c:numCache>
                <c:formatCode>General</c:formatCode>
                <c:ptCount val="12"/>
                <c:pt idx="0">
                  <c:v>1.5</c:v>
                </c:pt>
                <c:pt idx="1">
                  <c:v>1.5</c:v>
                </c:pt>
                <c:pt idx="2">
                  <c:v>1.5</c:v>
                </c:pt>
                <c:pt idx="3">
                  <c:v>1.5</c:v>
                </c:pt>
                <c:pt idx="4">
                  <c:v>1.5</c:v>
                </c:pt>
                <c:pt idx="5">
                  <c:v>1.5</c:v>
                </c:pt>
                <c:pt idx="6">
                  <c:v>1.5</c:v>
                </c:pt>
                <c:pt idx="7">
                  <c:v>1.5</c:v>
                </c:pt>
                <c:pt idx="8">
                  <c:v>1.5</c:v>
                </c:pt>
                <c:pt idx="9">
                  <c:v>1.5</c:v>
                </c:pt>
                <c:pt idx="10">
                  <c:v>1.5</c:v>
                </c:pt>
              </c:numCache>
            </c:numRef>
          </c:val>
          <c:smooth val="0"/>
        </c:ser>
        <c:dLbls>
          <c:showLegendKey val="0"/>
          <c:showVal val="0"/>
          <c:showCatName val="0"/>
          <c:showSerName val="0"/>
          <c:showPercent val="0"/>
          <c:showBubbleSize val="0"/>
        </c:dLbls>
        <c:marker val="1"/>
        <c:smooth val="0"/>
        <c:axId val="340831887"/>
        <c:axId val="916326430"/>
      </c:lineChart>
      <c:dateAx>
        <c:axId val="340831887"/>
        <c:scaling>
          <c:orientation val="minMax"/>
        </c:scaling>
        <c:delete val="0"/>
        <c:axPos val="b"/>
        <c:numFmt formatCode="yyyy&quot;年&quot;m&quot;月&quot;"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16326430"/>
        <c:crosses val="autoZero"/>
        <c:auto val="1"/>
        <c:lblOffset val="100"/>
        <c:baseTimeUnit val="months"/>
      </c:dateAx>
      <c:valAx>
        <c:axId val="91632643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latin typeface="Times New Roman" panose="02020603050405020304" charset="0"/>
                    <a:cs typeface="Times New Roman" panose="02020603050405020304" charset="0"/>
                  </a:rPr>
                  <a:t>浓度 </a:t>
                </a:r>
                <a:r>
                  <a:rPr lang="en-US" altLang="zh-CN">
                    <a:latin typeface="Times New Roman" panose="02020603050405020304" charset="0"/>
                    <a:cs typeface="Times New Roman" panose="02020603050405020304" charset="0"/>
                  </a:rPr>
                  <a:t>mg/L</a:t>
                </a:r>
                <a:endParaRPr lang="en-US" altLang="zh-CN">
                  <a:latin typeface="Times New Roman" panose="02020603050405020304" charset="0"/>
                  <a:cs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40831887"/>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"总磷"</c:f>
              <c:strCache>
                <c:ptCount val="1"/>
                <c:pt idx="0">
                  <c:v>总磷</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.xlsx]Sheet1'!$K$11:$K$21</c:f>
              <c:numCache>
                <c:formatCode>General</c:formatCode>
                <c:ptCount val="11"/>
                <c:pt idx="0">
                  <c:v>0.2</c:v>
                </c:pt>
                <c:pt idx="1">
                  <c:v>0.088</c:v>
                </c:pt>
                <c:pt idx="2">
                  <c:v>0.03</c:v>
                </c:pt>
                <c:pt idx="3">
                  <c:v>0.02</c:v>
                </c:pt>
                <c:pt idx="4">
                  <c:v>0.03</c:v>
                </c:pt>
                <c:pt idx="5">
                  <c:v>0.031</c:v>
                </c:pt>
                <c:pt idx="6">
                  <c:v>0.029</c:v>
                </c:pt>
                <c:pt idx="7">
                  <c:v>0.052</c:v>
                </c:pt>
                <c:pt idx="8">
                  <c:v>0.056</c:v>
                </c:pt>
                <c:pt idx="9">
                  <c:v>0.05</c:v>
                </c:pt>
                <c:pt idx="10">
                  <c:v>0.088</c:v>
                </c:pt>
              </c:numCache>
            </c:numRef>
          </c:val>
          <c:smooth val="0"/>
        </c:ser>
        <c:ser>
          <c:idx val="1"/>
          <c:order val="1"/>
          <c:tx>
            <c:strRef>
              <c:f>'[地表水图32021.4.7 .xlsx]Sheet1'!$H$23</c:f>
              <c:strCache>
                <c:ptCount val="1"/>
                <c:pt idx="0">
                  <c:v>标准限值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'[地表水图32021.4.7 .xlsx]Sheet1'!$H$11:$H$22</c:f>
              <c:numCache>
                <c:formatCode>yyyy"年"m"月"</c:formatCode>
                <c:ptCount val="12"/>
                <c:pt idx="0" c:formatCode="yyyy&quot;年&quot;m&quot;月&quot;">
                  <c:v>43831</c:v>
                </c:pt>
                <c:pt idx="1" c:formatCode="yyyy&quot;年&quot;m&quot;月&quot;">
                  <c:v>43862</c:v>
                </c:pt>
                <c:pt idx="2" c:formatCode="yyyy&quot;年&quot;m&quot;月&quot;">
                  <c:v>43891</c:v>
                </c:pt>
                <c:pt idx="3" c:formatCode="yyyy&quot;年&quot;m&quot;月&quot;">
                  <c:v>43922</c:v>
                </c:pt>
                <c:pt idx="4" c:formatCode="yyyy&quot;年&quot;m&quot;月&quot;">
                  <c:v>43952</c:v>
                </c:pt>
                <c:pt idx="5" c:formatCode="yyyy&quot;年&quot;m&quot;月&quot;">
                  <c:v>43983</c:v>
                </c:pt>
                <c:pt idx="6" c:formatCode="yyyy&quot;年&quot;m&quot;月&quot;">
                  <c:v>44013</c:v>
                </c:pt>
                <c:pt idx="7" c:formatCode="yyyy&quot;年&quot;m&quot;月&quot;">
                  <c:v>44044</c:v>
                </c:pt>
                <c:pt idx="8" c:formatCode="yyyy&quot;年&quot;m&quot;月&quot;">
                  <c:v>44075</c:v>
                </c:pt>
                <c:pt idx="9" c:formatCode="yyyy&quot;年&quot;m&quot;月&quot;">
                  <c:v>44105</c:v>
                </c:pt>
                <c:pt idx="10" c:formatCode="yyyy&quot;年&quot;m&quot;月&quot;">
                  <c:v>44136</c:v>
                </c:pt>
              </c:numCache>
            </c:numRef>
          </c:cat>
          <c:val>
            <c:numRef>
              <c:f>'[地表水图32021.4.7 .xlsx]Sheet1'!$N$11:$N$22</c:f>
              <c:numCache>
                <c:formatCode>General</c:formatCode>
                <c:ptCount val="12"/>
                <c:pt idx="0">
                  <c:v>0.3</c:v>
                </c:pt>
                <c:pt idx="1">
                  <c:v>0.3</c:v>
                </c:pt>
                <c:pt idx="2">
                  <c:v>0.3</c:v>
                </c:pt>
                <c:pt idx="3">
                  <c:v>0.3</c:v>
                </c:pt>
                <c:pt idx="4">
                  <c:v>0.3</c:v>
                </c:pt>
                <c:pt idx="5">
                  <c:v>0.3</c:v>
                </c:pt>
                <c:pt idx="6">
                  <c:v>0.3</c:v>
                </c:pt>
                <c:pt idx="7">
                  <c:v>0.3</c:v>
                </c:pt>
                <c:pt idx="8">
                  <c:v>0.3</c:v>
                </c:pt>
                <c:pt idx="9">
                  <c:v>0.3</c:v>
                </c:pt>
                <c:pt idx="10">
                  <c:v>0.3</c:v>
                </c:pt>
              </c:numCache>
            </c:numRef>
          </c:val>
          <c:smooth val="0"/>
        </c:ser>
        <c:dLbls>
          <c:showLegendKey val="0"/>
          <c:showVal val="0"/>
          <c:showCatName val="0"/>
          <c:showSerName val="0"/>
          <c:showPercent val="0"/>
          <c:showBubbleSize val="0"/>
        </c:dLbls>
        <c:marker val="1"/>
        <c:smooth val="0"/>
        <c:axId val="340831887"/>
        <c:axId val="916326430"/>
      </c:lineChart>
      <c:dateAx>
        <c:axId val="340831887"/>
        <c:scaling>
          <c:orientation val="minMax"/>
        </c:scaling>
        <c:delete val="0"/>
        <c:axPos val="b"/>
        <c:numFmt formatCode="yyyy&quot;年&quot;m&quot;月&quot;"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16326430"/>
        <c:crosses val="autoZero"/>
        <c:auto val="1"/>
        <c:lblOffset val="100"/>
        <c:baseTimeUnit val="months"/>
      </c:dateAx>
      <c:valAx>
        <c:axId val="91632643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latin typeface="Times New Roman" panose="02020603050405020304" charset="0"/>
                    <a:cs typeface="Times New Roman" panose="02020603050405020304" charset="0"/>
                  </a:rPr>
                  <a:t>浓度 </a:t>
                </a:r>
                <a:r>
                  <a:rPr lang="en-US" altLang="zh-CN">
                    <a:latin typeface="Times New Roman" panose="02020603050405020304" charset="0"/>
                    <a:cs typeface="Times New Roman" panose="02020603050405020304" charset="0"/>
                  </a:rPr>
                  <a:t>mg/L</a:t>
                </a:r>
                <a:endParaRPr lang="en-US" altLang="zh-CN">
                  <a:latin typeface="Times New Roman" panose="02020603050405020304" charset="0"/>
                  <a:cs typeface="Times New Roman" panose="02020603050405020304" charset="0"/>
                </a:endParaRP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40831887"/>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9"/>
    <customShpInfo spid="_x0000_s1030"/>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TotalTime>
  <ScaleCrop>false</ScaleCrop>
  <LinksUpToDate>false</LinksUpToDate>
  <CharactersWithSpaces>0</CharactersWithSpaces>
  <Application>WPS Office_11.1.0.10463_F1E327BC-269C-435d-A152-05C5408002CA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就不说</cp:lastModifiedBy>
  <dcterms:modified xsi:type="dcterms:W3CDTF">2021-04-12T07:16:27Z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2052-11.1.0.10463</vt:lpwstr>
  </property>
  <property fmtid="{D5CDD505-2E9C-101B-9397-08002B2CF9AE}" pid="3" name="ICV">
    <vt:lpwstr>E72557A7E3A14C618CA5CB7A5C1E01C6</vt:lpwstr>
  </property>
</Properties>
</file>