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853" w:type="dxa"/>
        <w:tblInd w:w="-376" w:type="dxa"/>
        <w:shd w:val="clear" w:color="auto" w:fill="auto"/>
        <w:tblLayout w:type="fixed"/>
        <w:tblCellMar>
          <w:top w:w="0" w:type="dxa"/>
          <w:left w:w="0" w:type="dxa"/>
          <w:bottom w:w="0" w:type="dxa"/>
          <w:right w:w="0" w:type="dxa"/>
        </w:tblCellMar>
      </w:tblPr>
      <w:tblGrid>
        <w:gridCol w:w="435"/>
        <w:gridCol w:w="360"/>
        <w:gridCol w:w="465"/>
        <w:gridCol w:w="675"/>
        <w:gridCol w:w="1170"/>
        <w:gridCol w:w="2973"/>
        <w:gridCol w:w="1230"/>
        <w:gridCol w:w="870"/>
        <w:gridCol w:w="3897"/>
        <w:gridCol w:w="435"/>
        <w:gridCol w:w="555"/>
        <w:gridCol w:w="480"/>
        <w:gridCol w:w="435"/>
        <w:gridCol w:w="423"/>
        <w:gridCol w:w="450"/>
      </w:tblGrid>
      <w:tr>
        <w:tblPrEx>
          <w:tblCellMar>
            <w:top w:w="0" w:type="dxa"/>
            <w:left w:w="0" w:type="dxa"/>
            <w:bottom w:w="0" w:type="dxa"/>
            <w:right w:w="0" w:type="dxa"/>
          </w:tblCellMar>
        </w:tblPrEx>
        <w:trPr>
          <w:trHeight w:val="700" w:hRule="atLeast"/>
        </w:trPr>
        <w:tc>
          <w:tcPr>
            <w:tcW w:w="14853" w:type="dxa"/>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sz w:val="44"/>
                <w:szCs w:val="44"/>
                <w:lang w:val="en-US" w:eastAsia="zh-CN"/>
              </w:rPr>
              <w:t>开发区乡（镇、办）</w:t>
            </w: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农村危房改造领域基层政务公开标准目录</w:t>
            </w:r>
          </w:p>
        </w:tc>
      </w:tr>
      <w:tr>
        <w:tblPrEx>
          <w:shd w:val="clear" w:color="auto" w:fill="auto"/>
          <w:tblCellMar>
            <w:top w:w="0" w:type="dxa"/>
            <w:left w:w="0" w:type="dxa"/>
            <w:bottom w:w="0" w:type="dxa"/>
            <w:right w:w="0" w:type="dxa"/>
          </w:tblCellMar>
        </w:tblPrEx>
        <w:trPr>
          <w:trHeight w:val="7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过程</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公开事项</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公开内容 </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公开依据</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公开时限</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公开主体</w:t>
            </w:r>
          </w:p>
        </w:tc>
        <w:tc>
          <w:tcPr>
            <w:tcW w:w="3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         公开渠道和载体               （“■”表示必选项，“□”表示可选项）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公开对象</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公开方式</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公开层级</w:t>
            </w:r>
          </w:p>
        </w:tc>
      </w:tr>
      <w:tr>
        <w:tblPrEx>
          <w:shd w:val="clear" w:color="auto" w:fill="auto"/>
          <w:tblCellMar>
            <w:top w:w="0" w:type="dxa"/>
            <w:left w:w="0" w:type="dxa"/>
            <w:bottom w:w="0" w:type="dxa"/>
            <w:right w:w="0" w:type="dxa"/>
          </w:tblCellMar>
        </w:tblPrEx>
        <w:trPr>
          <w:trHeight w:val="102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一级 事项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二级事项</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8"/>
                <w:szCs w:val="28"/>
                <w:u w:val="none"/>
              </w:rPr>
            </w:pPr>
          </w:p>
        </w:tc>
        <w:tc>
          <w:tcPr>
            <w:tcW w:w="3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8"/>
                <w:szCs w:val="2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全社会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特定 群体</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主动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依申请</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县级</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乡（镇）级</w:t>
            </w:r>
          </w:p>
        </w:tc>
      </w:tr>
      <w:tr>
        <w:tblPrEx>
          <w:shd w:val="clear" w:color="auto" w:fill="auto"/>
          <w:tblCellMar>
            <w:top w:w="0" w:type="dxa"/>
            <w:left w:w="0" w:type="dxa"/>
            <w:bottom w:w="0" w:type="dxa"/>
            <w:right w:w="0" w:type="dxa"/>
          </w:tblCellMar>
        </w:tblPrEx>
        <w:trPr>
          <w:trHeight w:val="1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部门</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农村危房改造相关文件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文件分类生成日期标题文号有效性关键词和具体内容等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4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政策</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解读</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上级政策解读</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着重解读政策措施的背景依据目标任务主要内容涉及范围执行标准，以及注意事项关键词诠释惠民利民举措新旧政策差异等</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本级政策解读</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37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执行</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计划实施</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任务分配</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及时公开农村危房改造补助农户名单</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分配结果确定后20个工作日内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组织培训</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组织开展农村建筑工匠培训文件</w:t>
            </w:r>
          </w:p>
        </w:tc>
        <w:tc>
          <w:tcPr>
            <w:tcW w:w="2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国务院扶贫办关于决战决胜脱贫攻坚进一步做好农村危房改造的通知》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管理</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条件与标准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农村危房等级评定标准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农村危房等级评定相关标准</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《中华人民共和国预算法》</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6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农村危房改造对象申请条件</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农村危房改造农户申请条件</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1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农村危房改造资金补助标准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农村危房改造资金补助标准</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住房和城乡建设部门财政等部门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条件与标准</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农村危房改造竣工合格标准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农村危房改造竣工验收要求</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《住房城乡建设部 财政部 国务院扶贫办关于加强和完善建档立卡贫困户等重点对象农村危房改造若干问题的通知》等</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对象认定</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危改户认定程序</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农村危房改造申请程序</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县级住房和城乡建设部门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认定结果</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认定结果</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乡镇人民政府村委会</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结果</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决策部署落实情况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决策部署落实情况等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年度任务实施</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年度任务执行情况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年度工作完成情况等</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住房和城乡建设部门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回应关切</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舆情收集热点及关键问题回应</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舆情收集回应</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接受投诉咨询建议等联系电话通信地址等</w:t>
            </w:r>
          </w:p>
        </w:tc>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《政府信息公开条例》</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《国务院办公厅印发〈关于全面推进政务公开工作的意见〉实施细则的通知》</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信息形成之日起20个工作日内</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省市县级住房和城乡建设等相关职能部门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互动回应</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涉及群众切身利益和舆论关注的焦点热点及关键问题等回应内容</w:t>
            </w:r>
          </w:p>
        </w:tc>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及时发布信息；对涉及重大舆情的，要快速反应，并根据工作进展情况，持续发布信息。</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辖区政府县级住房和城乡建设等相关职能部门</w:t>
            </w:r>
          </w:p>
        </w:tc>
        <w:tc>
          <w:tcPr>
            <w:tcW w:w="3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■政府网站      □政府公报</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□两微一端      □发布会/听证会 </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□广播电视      □纸质媒体</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□公开查阅点    □政务服务中心</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□便民服务站    □入户/现场</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□社区/企事业单位/村公示栏（电子屏）</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□精准推送      □其他_</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8"/>
                <w:szCs w:val="2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bl>
    <w:p/>
    <w:sectPr>
      <w:pgSz w:w="16783" w:h="11850" w:orient="landscape"/>
      <w:pgMar w:top="141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4629E"/>
    <w:rsid w:val="582275E2"/>
    <w:rsid w:val="7444629E"/>
    <w:rsid w:val="FDFAEC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2020-08-01T09:24:00Z</dcterms:created>
  <dc:creator>申擎</dc:creator>
  <cp:lastModifiedBy>pyadmin</cp:lastModifiedBy>
  <cp:lastPrinted>2020-08-11T16:24:00Z</cp:lastPrinted>
  <dcterms:modified xsi:type="dcterms:W3CDTF">2020-12-09T15:51:26Z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