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50" w:type="dxa"/>
        <w:tblInd w:w="-286" w:type="dxa"/>
        <w:shd w:val="clear" w:color="auto" w:fill="auto"/>
        <w:tblLayout w:type="fixed"/>
        <w:tblCellMar>
          <w:top w:w="0" w:type="dxa"/>
          <w:left w:w="0" w:type="dxa"/>
          <w:bottom w:w="0" w:type="dxa"/>
          <w:right w:w="0" w:type="dxa"/>
        </w:tblCellMar>
      </w:tblPr>
      <w:tblGrid>
        <w:gridCol w:w="540"/>
        <w:gridCol w:w="315"/>
        <w:gridCol w:w="690"/>
        <w:gridCol w:w="1365"/>
        <w:gridCol w:w="1620"/>
        <w:gridCol w:w="2205"/>
        <w:gridCol w:w="1095"/>
        <w:gridCol w:w="720"/>
        <w:gridCol w:w="3420"/>
        <w:gridCol w:w="438"/>
        <w:gridCol w:w="447"/>
        <w:gridCol w:w="423"/>
        <w:gridCol w:w="432"/>
        <w:gridCol w:w="390"/>
        <w:gridCol w:w="450"/>
      </w:tblGrid>
      <w:tr>
        <w:tblPrEx>
          <w:tblCellMar>
            <w:top w:w="0" w:type="dxa"/>
            <w:left w:w="0" w:type="dxa"/>
            <w:bottom w:w="0" w:type="dxa"/>
            <w:right w:w="0" w:type="dxa"/>
          </w:tblCellMar>
        </w:tblPrEx>
        <w:trPr>
          <w:trHeight w:val="655" w:hRule="atLeast"/>
        </w:trPr>
        <w:tc>
          <w:tcPr>
            <w:tcW w:w="14550" w:type="dxa"/>
            <w:gridSpan w:val="15"/>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华文中宋" w:hAnsi="华文中宋" w:eastAsia="华文中宋" w:cs="华文中宋"/>
                <w:b/>
                <w:i w:val="0"/>
                <w:color w:val="000000"/>
                <w:sz w:val="28"/>
                <w:szCs w:val="28"/>
                <w:u w:val="none"/>
              </w:rPr>
            </w:pPr>
            <w:r>
              <w:rPr>
                <w:rFonts w:hint="eastAsia" w:ascii="方正小标宋简体" w:hAnsi="方正小标宋简体" w:eastAsia="方正小标宋简体" w:cs="方正小标宋简体"/>
                <w:sz w:val="44"/>
                <w:szCs w:val="44"/>
                <w:lang w:val="en-US" w:eastAsia="zh-CN"/>
              </w:rPr>
              <w:t>开发区乡（镇、办）</w:t>
            </w:r>
            <w:bookmarkStart w:id="0" w:name="_GoBack"/>
            <w:bookmarkEnd w:id="0"/>
            <w:r>
              <w:rPr>
                <w:rFonts w:hint="eastAsia" w:ascii="方正小标宋简体" w:hAnsi="方正小标宋简体" w:eastAsia="方正小标宋简体" w:cs="方正小标宋简体"/>
                <w:b w:val="0"/>
                <w:bCs/>
                <w:i w:val="0"/>
                <w:color w:val="000000"/>
                <w:kern w:val="0"/>
                <w:sz w:val="44"/>
                <w:szCs w:val="44"/>
                <w:u w:val="none"/>
                <w:lang w:val="en-US" w:eastAsia="zh-CN" w:bidi="ar"/>
              </w:rPr>
              <w:t>安全生产领域基层政务公开标准目录</w:t>
            </w:r>
          </w:p>
        </w:tc>
      </w:tr>
      <w:tr>
        <w:tblPrEx>
          <w:shd w:val="clear" w:color="auto" w:fill="auto"/>
          <w:tblCellMar>
            <w:top w:w="0" w:type="dxa"/>
            <w:left w:w="0" w:type="dxa"/>
            <w:bottom w:w="0" w:type="dxa"/>
            <w:right w:w="0" w:type="dxa"/>
          </w:tblCellMar>
        </w:tblPrEx>
        <w:trPr>
          <w:trHeight w:val="320" w:hRule="atLeast"/>
        </w:trPr>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责任科室</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公开内容</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公开依据</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公开时限</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公开渠道和载体</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公开对象</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公开方式</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公开层级</w:t>
            </w:r>
          </w:p>
        </w:tc>
      </w:tr>
      <w:tr>
        <w:tblPrEx>
          <w:shd w:val="clear" w:color="auto" w:fill="auto"/>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一级事项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二级事项</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黑体" w:hAnsi="宋体" w:eastAsia="黑体" w:cs="黑体"/>
                <w:b/>
                <w:i w:val="0"/>
                <w:color w:val="000000"/>
                <w:sz w:val="28"/>
                <w:szCs w:val="2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全社会</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特定群体</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主动</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依申请</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县级</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乡级</w:t>
            </w:r>
          </w:p>
        </w:tc>
      </w:tr>
      <w:tr>
        <w:tblPrEx>
          <w:shd w:val="clear" w:color="auto" w:fill="auto"/>
          <w:tblCellMar>
            <w:top w:w="0" w:type="dxa"/>
            <w:left w:w="0" w:type="dxa"/>
            <w:bottom w:w="0" w:type="dxa"/>
            <w:right w:w="0" w:type="dxa"/>
          </w:tblCellMar>
        </w:tblPrEx>
        <w:trPr>
          <w:trHeight w:val="9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政策文件</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法律法规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政策法规科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与安全生产有关的法律、法规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信息形成或变更之日起7个工作日内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                          □社区/企事业单位、村公示栏（电子屏）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9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部门和地方规章</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政策法规科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与安全生产有关的部门和地方规章</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信息形成或变更之日起7个工作日内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3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其他政策文件</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FF0000"/>
                <w:sz w:val="28"/>
                <w:szCs w:val="28"/>
                <w:u w:val="none"/>
              </w:rPr>
            </w:pPr>
            <w:r>
              <w:rPr>
                <w:rFonts w:hint="default" w:ascii="仿宋_GB2312" w:hAnsi="宋体" w:eastAsia="仿宋_GB2312" w:cs="仿宋_GB2312"/>
                <w:b/>
                <w:i w:val="0"/>
                <w:color w:val="FF0000"/>
                <w:kern w:val="0"/>
                <w:sz w:val="28"/>
                <w:szCs w:val="28"/>
                <w:u w:val="none"/>
                <w:lang w:val="en-US" w:eastAsia="zh-CN" w:bidi="ar"/>
              </w:rPr>
              <w:t>业务科室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其他可以公开的与安全生产有关的政策文件，包括改革方案、发展规划、专项规划、工作计划等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信息形成或变更之日起7个工作日内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重大决策草案</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政策法规科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涉及管理相对人切身利益、需社会广泛知晓的重要改革方案等重大决策，决策前向社会公开决策草案、决策依据</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重要会议</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组织会议的科室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通过会议讨论作出重要改革方案等重大决策时，经党组研究认为有必要公开讨论决策过程的会议</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提前一周发通知邀请</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征集采纳社会公众意见情况</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重大决策草案公布后征集到的社会公众意见情况、采纳与否情况及理由等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征求意见时对外公布的时限内公开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行政管理</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隐患管理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预案科、危化局、监督科、调查评估和统计科、执法支队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重大隐患排查、挂牌督办及其整改情况，安全生产举报电话等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《安全生产法》、《中华人民共和国政府信息公开条例》(国务院令第711号）、《中共中央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eastAsia" w:ascii="仿宋_GB2312" w:hAnsi="宋体" w:eastAsia="仿宋_GB2312" w:cs="仿宋_GB2312"/>
                <w:b/>
                <w:i w:val="0"/>
                <w:color w:val="000000"/>
                <w:kern w:val="0"/>
                <w:sz w:val="28"/>
                <w:szCs w:val="28"/>
                <w:u w:val="none"/>
                <w:lang w:val="en-US" w:eastAsia="zh-CN" w:bidi="ar"/>
              </w:rPr>
              <w:t xml:space="preserve"> </w:t>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eastAsia" w:ascii="仿宋_GB2312" w:hAnsi="宋体" w:eastAsia="仿宋_GB2312" w:cs="仿宋_GB2312"/>
                <w:b/>
                <w:i w:val="0"/>
                <w:color w:val="000000"/>
                <w:kern w:val="0"/>
                <w:sz w:val="28"/>
                <w:szCs w:val="28"/>
                <w:u w:val="none"/>
                <w:lang w:val="en-US" w:eastAsia="zh-CN" w:bidi="ar"/>
              </w:rPr>
              <w:t xml:space="preserve"> </w:t>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02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办公室、预案科、风险监测和综合减灾科、灾害防治科、调查评估和统计科、事务中心、信息中心</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 xml:space="preserve">承担处置主责、非敏感的应急信息，包括事故灾害类预警信息、事故信息、事故后采取的应急处置措施和应对结果等  </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《中华人民共和国政府信息公开条例》(国务院令第711号），《中华人民共和国突发事件应对法》，中央办公厅、国务院办公厅《关于全面加强政务公开工作的意见》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动态信息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动态信息产生的科室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●业务工作动态           ●安全生产执法检查动态</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行政管理</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安全生产预警提示信息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灾害防治科、风险监测和综合减灾科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 xml:space="preserve">●气象及灾害预警信息 </w:t>
            </w:r>
            <w:r>
              <w:rPr>
                <w:rStyle w:val="6"/>
                <w:rFonts w:hAnsi="宋体"/>
                <w:sz w:val="28"/>
                <w:szCs w:val="28"/>
                <w:lang w:val="en-US" w:eastAsia="zh-CN" w:bidi="ar"/>
              </w:rPr>
              <w:t xml:space="preserve">           ●不同时段、不同领域安全生产提示信息</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信息形成后及时公开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025"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重点领域信息公开</w:t>
            </w:r>
          </w:p>
        </w:tc>
        <w:tc>
          <w:tcPr>
            <w:tcW w:w="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财政资金信息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●预算、决算                       ●“三公”经费                     ●安全生产专项资金使用等财政资金信息</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《中华人民共和国政府信息公开条例》(国务院令第711号）、《国务院关于深化预算管理制度改革的决定》、《国务院办公厅关于进一步推进预算公开工作意见的通知》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按中央要求时限公开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2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政府采购信息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本单位采购实施情况相关信息</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《中华人民共和国政府信息公开条例》(国务院令第711号）,《国务院关于深化预算管理制度改革的决定》(国发〔714〕45号),中办、国办印发《关于进一步推进预算公开工作的意见》的通知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办事纪律和监督管理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驻局纪检组</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本单位的办事纪律,受理投诉、举报、信访的途径等内容</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重点领域信息公开</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重大工程项目信息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办公室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项目名称、执行措施、责任分工、取得成效、后续举措等</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《中华人民共和国政府信息公开条例》(国务院令第711号）、《国务院办公厅关于推进重大建设项目批准和实施领域政府信息公开的意见》（国办发〔717〕94号）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按照中央有关要求公开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r>
      <w:tr>
        <w:tblPrEx>
          <w:shd w:val="clear" w:color="auto" w:fill="auto"/>
          <w:tblCellMar>
            <w:top w:w="0" w:type="dxa"/>
            <w:left w:w="0" w:type="dxa"/>
            <w:bottom w:w="0" w:type="dxa"/>
            <w:right w:w="0" w:type="dxa"/>
          </w:tblCellMar>
        </w:tblPrEx>
        <w:trPr>
          <w:trHeight w:val="18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宋体" w:eastAsia="仿宋_GB2312" w:cs="仿宋_GB2312"/>
                <w:b/>
                <w:i w:val="0"/>
                <w:color w:val="000000"/>
                <w:sz w:val="28"/>
                <w:szCs w:val="2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检查和巡查发现安全监管监察问题</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驻局纪检组</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检查和巡查发现的、并要求向社会公开的问题及整改落实情况</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《中华人民共和国政府信息公开条例》(国务院令第711号）、《中共中央 国务院关于推进安全生产领域改革发展的意见》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按进展情况及时公开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应急管理部门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■政府网站   □政府公报</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□两微一端   □发布会</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□广播电视   □纸质媒体</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■公开查阅点 ■政务服务中心</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□便民服务站 □入户/现场</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□社区/企事业单位、村公示栏（电子屏）</w:t>
            </w:r>
            <w:r>
              <w:rPr>
                <w:rFonts w:hint="default" w:ascii="仿宋_GB2312" w:hAnsi="宋体" w:eastAsia="仿宋_GB2312" w:cs="仿宋_GB2312"/>
                <w:b/>
                <w:i w:val="0"/>
                <w:color w:val="000000"/>
                <w:kern w:val="0"/>
                <w:sz w:val="28"/>
                <w:szCs w:val="28"/>
                <w:u w:val="none"/>
                <w:lang w:val="en-US" w:eastAsia="zh-CN" w:bidi="ar"/>
              </w:rPr>
              <w:br w:type="textWrapping"/>
            </w:r>
            <w:r>
              <w:rPr>
                <w:rFonts w:hint="default" w:ascii="仿宋_GB2312" w:hAnsi="宋体" w:eastAsia="仿宋_GB2312" w:cs="仿宋_GB2312"/>
                <w:b/>
                <w:i w:val="0"/>
                <w:color w:val="000000"/>
                <w:kern w:val="0"/>
                <w:sz w:val="28"/>
                <w:szCs w:val="28"/>
                <w:u w:val="none"/>
                <w:lang w:val="en-US" w:eastAsia="zh-CN" w:bidi="ar"/>
              </w:rPr>
              <w:t>□精准推送   □其他</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_GB2312" w:hAnsi="宋体" w:eastAsia="仿宋_GB2312" w:cs="仿宋_GB2312"/>
                <w:b/>
                <w:i w:val="0"/>
                <w:color w:val="000000"/>
                <w:sz w:val="28"/>
                <w:szCs w:val="2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w:t>
            </w:r>
          </w:p>
        </w:tc>
      </w:tr>
    </w:tbl>
    <w:p>
      <w:pPr>
        <w:keepNext w:val="0"/>
        <w:keepLines w:val="0"/>
        <w:pageBreakBefore w:val="0"/>
        <w:kinsoku/>
        <w:wordWrap/>
        <w:overflowPunct/>
        <w:topLinePunct w:val="0"/>
        <w:autoSpaceDE/>
        <w:autoSpaceDN/>
        <w:bidi w:val="0"/>
        <w:adjustRightInd/>
        <w:snapToGrid/>
        <w:spacing w:line="440" w:lineRule="exact"/>
        <w:rPr>
          <w:sz w:val="28"/>
          <w:szCs w:val="28"/>
        </w:rPr>
      </w:pPr>
    </w:p>
    <w:sectPr>
      <w:pgSz w:w="16783" w:h="11850" w:orient="landscape"/>
      <w:pgMar w:top="180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D138D"/>
    <w:rsid w:val="35BD138D"/>
    <w:rsid w:val="5C887633"/>
    <w:rsid w:val="FBDF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仿宋_GB2312" w:eastAsia="仿宋_GB2312" w:cs="仿宋_GB2312"/>
      <w:b/>
      <w:color w:val="FF0000"/>
      <w:sz w:val="18"/>
      <w:szCs w:val="18"/>
      <w:u w:val="none"/>
    </w:rPr>
  </w:style>
  <w:style w:type="character" w:customStyle="1" w:styleId="5">
    <w:name w:val="font12"/>
    <w:basedOn w:val="3"/>
    <w:qFormat/>
    <w:uiPriority w:val="0"/>
    <w:rPr>
      <w:rFonts w:hint="default" w:ascii="仿宋_GB2312" w:eastAsia="仿宋_GB2312" w:cs="仿宋_GB2312"/>
      <w:b/>
      <w:color w:val="000000"/>
      <w:sz w:val="18"/>
      <w:szCs w:val="18"/>
      <w:u w:val="none"/>
    </w:rPr>
  </w:style>
  <w:style w:type="character" w:customStyle="1" w:styleId="6">
    <w:name w:val="font11"/>
    <w:basedOn w:val="3"/>
    <w:qFormat/>
    <w:uiPriority w:val="0"/>
    <w:rPr>
      <w:rFonts w:hint="default" w:ascii="仿宋_GB2312" w:eastAsia="仿宋_GB2312" w:cs="仿宋_GB2312"/>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2020-08-04T10:23:00Z</dcterms:created>
  <dc:creator>大脸猫</dc:creator>
  <cp:lastModifiedBy>pyadmin</cp:lastModifiedBy>
  <dcterms:modified xsi:type="dcterms:W3CDTF">2020-12-09T15:52:16Z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