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853" w:type="dxa"/>
        <w:tblInd w:w="-376" w:type="dxa"/>
        <w:shd w:val="clear" w:color="auto" w:fill="auto"/>
        <w:tblLayout w:type="fixed"/>
        <w:tblCellMar>
          <w:top w:w="0" w:type="dxa"/>
          <w:left w:w="0" w:type="dxa"/>
          <w:bottom w:w="0" w:type="dxa"/>
          <w:right w:w="0" w:type="dxa"/>
        </w:tblCellMar>
      </w:tblPr>
      <w:tblGrid>
        <w:gridCol w:w="435"/>
        <w:gridCol w:w="360"/>
        <w:gridCol w:w="465"/>
        <w:gridCol w:w="675"/>
        <w:gridCol w:w="1170"/>
        <w:gridCol w:w="2973"/>
        <w:gridCol w:w="1230"/>
        <w:gridCol w:w="870"/>
        <w:gridCol w:w="3897"/>
        <w:gridCol w:w="435"/>
        <w:gridCol w:w="555"/>
        <w:gridCol w:w="480"/>
        <w:gridCol w:w="435"/>
        <w:gridCol w:w="423"/>
        <w:gridCol w:w="450"/>
      </w:tblGrid>
      <w:tr>
        <w:tblPrEx>
          <w:tblCellMar>
            <w:top w:w="0" w:type="dxa"/>
            <w:left w:w="0" w:type="dxa"/>
            <w:bottom w:w="0" w:type="dxa"/>
            <w:right w:w="0" w:type="dxa"/>
          </w:tblCellMar>
        </w:tblPrEx>
        <w:trPr>
          <w:trHeight w:val="700" w:hRule="atLeast"/>
        </w:trPr>
        <w:tc>
          <w:tcPr>
            <w:tcW w:w="14853" w:type="dxa"/>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王助镇</w:t>
            </w:r>
            <w:bookmarkStart w:id="0" w:name="_GoBack"/>
            <w:bookmarkEnd w:id="0"/>
            <w:r>
              <w:rPr>
                <w:rFonts w:hint="eastAsia" w:ascii="方正小标宋简体" w:hAnsi="方正小标宋简体" w:eastAsia="方正小标宋简体" w:cs="方正小标宋简体"/>
                <w:i w:val="0"/>
                <w:color w:val="000000"/>
                <w:kern w:val="0"/>
                <w:sz w:val="44"/>
                <w:szCs w:val="44"/>
                <w:u w:val="none"/>
                <w:lang w:val="en-US" w:eastAsia="zh-CN" w:bidi="ar"/>
              </w:rPr>
              <w:t>农村危房改造领域基层政务公开标准目录</w:t>
            </w:r>
          </w:p>
        </w:tc>
      </w:tr>
      <w:tr>
        <w:tblPrEx>
          <w:shd w:val="clear" w:color="auto" w:fill="auto"/>
          <w:tblCellMar>
            <w:top w:w="0" w:type="dxa"/>
            <w:left w:w="0" w:type="dxa"/>
            <w:bottom w:w="0" w:type="dxa"/>
            <w:right w:w="0" w:type="dxa"/>
          </w:tblCellMar>
        </w:tblPrEx>
        <w:trPr>
          <w:trHeight w:val="7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过程</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公开事项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公开内容 </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公开依据</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公开时限</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公开主体</w:t>
            </w:r>
          </w:p>
        </w:tc>
        <w:tc>
          <w:tcPr>
            <w:tcW w:w="3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         公开渠道和载体               （“■”表示必选项，“□”表示可选项）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公开对象</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公开方式</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公开层级</w:t>
            </w:r>
          </w:p>
        </w:tc>
      </w:tr>
      <w:tr>
        <w:tblPrEx>
          <w:tblCellMar>
            <w:top w:w="0" w:type="dxa"/>
            <w:left w:w="0" w:type="dxa"/>
            <w:bottom w:w="0" w:type="dxa"/>
            <w:right w:w="0" w:type="dxa"/>
          </w:tblCellMar>
        </w:tblPrEx>
        <w:trPr>
          <w:trHeight w:val="10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一级 事项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二级事项</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3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全社会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特定 群体</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主动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依申请</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县级</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乡（镇）级</w:t>
            </w:r>
          </w:p>
        </w:tc>
      </w:tr>
      <w:tr>
        <w:tblPrEx>
          <w:tblCellMar>
            <w:top w:w="0" w:type="dxa"/>
            <w:left w:w="0" w:type="dxa"/>
            <w:bottom w:w="0" w:type="dxa"/>
            <w:right w:w="0" w:type="dxa"/>
          </w:tblCellMar>
        </w:tblPrEx>
        <w:trPr>
          <w:trHeight w:val="1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部门</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农村危房改造相关文件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文件分类生成日期标题文号有效性关键词和具体内容等</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《政府信息公开条例》</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《国务院办公厅印发〈关于全面推进政务公开工作的意见〉实施细则的通知》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4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政策</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解读</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上级政策解读</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着重解读政策措施的背景依据目标任务主要内容涉及范围执行标准，以及注意事项关键词诠释惠民利民举措新旧政策差异等</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18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本级政策解读</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37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执行</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计划实施</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任务分配</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及时公开农村危房改造补助农户名单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《住房城乡建设部 财政部 国务院扶贫办关于加强和完善建档立卡贫困户等重点对象农村危房改造若干问题的通知》等</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分配结果确定后20个工作日内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组织培训</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组织开展农村建筑工匠培训文件</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 国务院扶贫办关于决战决胜脱贫攻坚进一步做好农村危房改造的通知》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2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管理</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条件与标准</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农村危房等级评定标准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农村危房等级评定相关标准</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《中华人民共和国预算法》</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《政府信息公开条例》</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 国务院扶贫办关于加强和完善建档立卡贫困户等重点对象农村危房改造若干问题的通知》等</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6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农村危房改造对象申请条件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农村危房改造农户申请条件</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1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农村危房改造资金补助标准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农村危房改造资金补助标准</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住房和城乡建设部门财政等部门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条件与标准</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农村危房改造竣工合格标准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农村危房改造竣工验收要求</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 国务院扶贫办关于加强和完善建档立卡贫困户等重点对象农村危房改造若干问题的通知》等</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对象认定</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危改户认定程序</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农村危房改造申请程序</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县级住房和城乡建设部门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3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认定结果</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认定结果</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乡镇人民政府村委会</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结果</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决策部署</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决策部署落实情况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决策部署落实情况等</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《国务院办公厅印发〈关于全面推进政务公开工作的意见〉实施细则的通知》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年度任务实施</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年度任务执行情况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年度工作完成情况等</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CellMar>
            <w:top w:w="0" w:type="dxa"/>
            <w:left w:w="0" w:type="dxa"/>
            <w:bottom w:w="0" w:type="dxa"/>
            <w:right w:w="0" w:type="dxa"/>
          </w:tblCellMar>
        </w:tblPrEx>
        <w:trPr>
          <w:trHeight w:val="23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回应关切</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舆情收集热点及关键问题回应</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舆情收集回应</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接受投诉咨询建议等联系电话通信地址等</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《政府信息公开条例》</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《国务院办公厅印发〈关于全面推进政务公开工作的意见〉实施细则的通知》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省市县级住房和城乡建设等相关职能部门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互动回应</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涉及群众切身利益和舆论关注的焦点热点及关键问题等回应内容</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及时发布信息；对涉及重大舆情的，要快速反应，并根据工作进展情况，持续发布信息。</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辖区政府县级住房和城乡建设等相关职能部门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bl>
    <w:p/>
    <w:sectPr>
      <w:pgSz w:w="16783" w:h="11850" w:orient="landscape"/>
      <w:pgMar w:top="141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4629E"/>
    <w:rsid w:val="582275E2"/>
    <w:rsid w:val="74446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2020-08-01T01:24:00Z</dcterms:created>
  <dc:creator>申擎</dc:creator>
  <cp:lastModifiedBy>大脸猫</cp:lastModifiedBy>
  <cp:lastPrinted>2020-08-11T08:24:09Z</cp:lastPrinted>
  <dcterms:modified xsi:type="dcterms:W3CDTF">2020-08-11T08:25:05Z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