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00" w:type="dxa"/>
        <w:tblInd w:w="0" w:type="dxa"/>
        <w:shd w:val="clear" w:color="auto" w:fill="auto"/>
        <w:tblLayout w:type="fixed"/>
        <w:tblCellMar>
          <w:top w:w="0" w:type="dxa"/>
          <w:left w:w="0" w:type="dxa"/>
          <w:bottom w:w="0" w:type="dxa"/>
          <w:right w:w="0" w:type="dxa"/>
        </w:tblCellMar>
      </w:tblPr>
      <w:tblGrid>
        <w:gridCol w:w="495"/>
        <w:gridCol w:w="255"/>
        <w:gridCol w:w="645"/>
        <w:gridCol w:w="510"/>
        <w:gridCol w:w="105"/>
        <w:gridCol w:w="1785"/>
        <w:gridCol w:w="2265"/>
        <w:gridCol w:w="915"/>
        <w:gridCol w:w="405"/>
        <w:gridCol w:w="4053"/>
        <w:gridCol w:w="417"/>
        <w:gridCol w:w="648"/>
        <w:gridCol w:w="435"/>
        <w:gridCol w:w="417"/>
        <w:gridCol w:w="360"/>
        <w:gridCol w:w="390"/>
      </w:tblGrid>
      <w:tr>
        <w:tblPrEx>
          <w:shd w:val="clear" w:color="auto" w:fill="auto"/>
          <w:tblCellMar>
            <w:top w:w="0" w:type="dxa"/>
            <w:left w:w="0" w:type="dxa"/>
            <w:bottom w:w="0" w:type="dxa"/>
            <w:right w:w="0" w:type="dxa"/>
          </w:tblCellMar>
        </w:tblPrEx>
        <w:trPr>
          <w:trHeight w:val="435" w:hRule="atLeast"/>
        </w:trPr>
        <w:tc>
          <w:tcPr>
            <w:tcW w:w="14100" w:type="dxa"/>
            <w:gridSpan w:val="16"/>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华文中宋" w:hAnsi="华文中宋" w:eastAsia="华文中宋" w:cs="华文中宋"/>
                <w:b w:val="0"/>
                <w:bCs/>
                <w:i w:val="0"/>
                <w:color w:val="000000"/>
                <w:sz w:val="28"/>
                <w:szCs w:val="28"/>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王助镇</w:t>
            </w:r>
            <w:bookmarkStart w:id="0" w:name="_GoBack"/>
            <w:bookmarkEnd w:id="0"/>
            <w:r>
              <w:rPr>
                <w:rFonts w:hint="eastAsia" w:ascii="方正小标宋简体" w:hAnsi="方正小标宋简体" w:eastAsia="方正小标宋简体" w:cs="方正小标宋简体"/>
                <w:b w:val="0"/>
                <w:bCs/>
                <w:i w:val="0"/>
                <w:color w:val="000000"/>
                <w:kern w:val="0"/>
                <w:sz w:val="44"/>
                <w:szCs w:val="44"/>
                <w:u w:val="none"/>
                <w:lang w:val="en-US" w:eastAsia="zh-CN" w:bidi="ar"/>
              </w:rPr>
              <w:t>救灾领域基层政务公开标准目录</w:t>
            </w:r>
          </w:p>
        </w:tc>
      </w:tr>
      <w:tr>
        <w:tblPrEx>
          <w:shd w:val="clear" w:color="auto" w:fill="auto"/>
          <w:tblCellMar>
            <w:top w:w="0" w:type="dxa"/>
            <w:left w:w="0" w:type="dxa"/>
            <w:bottom w:w="0" w:type="dxa"/>
            <w:right w:w="0" w:type="dxa"/>
          </w:tblCellMar>
        </w:tblPrEx>
        <w:trPr>
          <w:trHeight w:val="225" w:hRule="atLeast"/>
        </w:trPr>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责任科室</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公开内容</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公开依据</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公开时限</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公开主体</w:t>
            </w:r>
          </w:p>
        </w:tc>
        <w:tc>
          <w:tcPr>
            <w:tcW w:w="4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公开渠道和载体</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公开对象</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公开方式</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公开层级</w:t>
            </w:r>
          </w:p>
        </w:tc>
      </w:tr>
      <w:tr>
        <w:tblPrEx>
          <w:shd w:val="clear" w:color="auto" w:fill="auto"/>
          <w:tblCellMar>
            <w:top w:w="0" w:type="dxa"/>
            <w:left w:w="0" w:type="dxa"/>
            <w:bottom w:w="0" w:type="dxa"/>
            <w:right w:w="0"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一级事项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二级事项</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4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全社会</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特定群体</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主动</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依申请</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县级</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乡级</w:t>
            </w:r>
          </w:p>
        </w:tc>
      </w:tr>
      <w:tr>
        <w:tblPrEx>
          <w:shd w:val="clear" w:color="auto" w:fill="auto"/>
          <w:tblCellMar>
            <w:top w:w="0" w:type="dxa"/>
            <w:left w:w="0" w:type="dxa"/>
            <w:bottom w:w="0" w:type="dxa"/>
            <w:right w:w="0" w:type="dxa"/>
          </w:tblCellMar>
        </w:tblPrEx>
        <w:trPr>
          <w:trHeight w:val="18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法律法规</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政策法规科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与救灾有关的法律、法规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□便民服务站 □入户/现场□社区/企事业单位、村公示栏（电子屏）□精准推送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2</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部门和地方规章</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政策法规科</w:t>
            </w:r>
          </w:p>
        </w:tc>
        <w:tc>
          <w:tcPr>
            <w:tcW w:w="17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与救灾有关的部门和地方规章、规范性文件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19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3</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其他政策文件</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FF0000"/>
                <w:sz w:val="28"/>
                <w:szCs w:val="28"/>
                <w:u w:val="none"/>
              </w:rPr>
            </w:pPr>
            <w:r>
              <w:rPr>
                <w:rFonts w:hint="default" w:ascii="仿宋_GB2312" w:hAnsi="宋体" w:eastAsia="仿宋_GB2312" w:cs="仿宋_GB2312"/>
                <w:b w:val="0"/>
                <w:bCs/>
                <w:i w:val="0"/>
                <w:color w:val="FF0000"/>
                <w:kern w:val="0"/>
                <w:sz w:val="28"/>
                <w:szCs w:val="28"/>
                <w:u w:val="none"/>
                <w:lang w:val="en-US" w:eastAsia="zh-CN" w:bidi="ar"/>
              </w:rPr>
              <w:t>业务科室</w:t>
            </w:r>
          </w:p>
        </w:tc>
        <w:tc>
          <w:tcPr>
            <w:tcW w:w="189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其他可以公开的与救灾有关的政策文件，包括改革方案、发展规划、专项规划、工作计划等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4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5</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重大决策草案</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办公室</w:t>
            </w:r>
          </w:p>
        </w:tc>
        <w:tc>
          <w:tcPr>
            <w:tcW w:w="189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涉及管理相对人切身利益、需社会广泛知晓的重要改革方案等重大决策，决策前向社会公开决策草案、决策依据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337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重大政策解读及回应</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政策法规科</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●有关重大政策的解读及回应</w:t>
            </w:r>
            <w:r>
              <w:rPr>
                <w:rStyle w:val="4"/>
                <w:rFonts w:hAnsi="宋体"/>
                <w:b w:val="0"/>
                <w:bCs/>
                <w:sz w:val="28"/>
                <w:szCs w:val="28"/>
                <w:lang w:val="en-US" w:eastAsia="zh-CN" w:bidi="ar"/>
              </w:rPr>
              <w:t xml:space="preserve">                       ●相关热点问题的解读及回应</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重大决策作出后及时公开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重要会议</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组织会议的科室</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以会议讨论作出重要改革方案等重大决策时，经党组研究认为有必要公开讨论决策过程的会议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提前一周发通知邀请</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03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征集采纳社会公众意见情况</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办公室</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重大决策草案公布后征集到的社会公众意见情况、采纳与否情况及理由等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征求意见时对外公布的时限内公开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91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备灾管理</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综合减灾示范社区</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综合减灾示范社区分布情况（其具体位置、创建时间、创建级别等）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《中华人民共和国政府信息公开条例》(国务院令第711号）、《社会救助暂行办法》（2014）、《国家综合防灾减灾规划（2016-2020年）》</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5360" w:hRule="atLeast"/>
        </w:trPr>
        <w:tc>
          <w:tcPr>
            <w:tcW w:w="4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val="0"/>
                <w:bCs/>
                <w:i w:val="0"/>
                <w:color w:val="000000"/>
                <w:sz w:val="28"/>
                <w:szCs w:val="2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2</w:t>
            </w:r>
          </w:p>
        </w:tc>
        <w:tc>
          <w:tcPr>
            <w:tcW w:w="64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救助审定信息</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风险监测和综合减灾科、风险监测和综合减灾科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自然灾害救助（6类）的救助对象、申报材料、办理程序及时限等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灾害救助</w:t>
            </w: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3</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应急管理部门审批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救助款物通知及划拨情况</w:t>
            </w:r>
          </w:p>
        </w:tc>
        <w:tc>
          <w:tcPr>
            <w:tcW w:w="22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7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因灾过渡期生活救助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●因灾过渡期生活救助标准、过渡期生活救助对象评议结果公示（灾民姓名、受灾情况、拟救助金额、监督举报电话）                                         ●过渡期生活救助对象确定（灾民姓名、受灾情况、救助金额、监督举报电话)</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5585" w:hRule="atLeast"/>
        </w:trPr>
        <w:tc>
          <w:tcPr>
            <w:tcW w:w="4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灾害救助</w:t>
            </w:r>
          </w:p>
        </w:tc>
        <w:tc>
          <w:tcPr>
            <w:tcW w:w="2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5</w:t>
            </w: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居民住房恢复重建救助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●居民住房恢复重建救助标准（居民因灾倒房、损房恢复重建具体救助标准）                            ●居民住房恢复重建救助对象评议结果公示（公开灾民姓名、受灾情况、拟救助标准、监督举报电话）</w:t>
            </w:r>
          </w:p>
        </w:tc>
        <w:tc>
          <w:tcPr>
            <w:tcW w:w="22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款物管理</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捐赠款物信息</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年度捐赠款物信息以及款物使用情况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3835" w:hRule="atLeast"/>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款物管理</w:t>
            </w: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2</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年度款物使用情况</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年度救灾资金和救灾物资等使用情况</w:t>
            </w:r>
          </w:p>
        </w:tc>
        <w:tc>
          <w:tcPr>
            <w:tcW w:w="22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工作动态</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工作信息</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风险监测和综合减灾科、灾害防治指导科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防灾减灾救灾其他相关动态信息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bl>
    <w:p/>
    <w:sectPr>
      <w:pgSz w:w="16783" w:h="11850" w:orient="landscape"/>
      <w:pgMar w:top="141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876D6"/>
    <w:rsid w:val="30B876D6"/>
    <w:rsid w:val="36A47066"/>
    <w:rsid w:val="6745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2020-08-04T02:33:00Z</dcterms:created>
  <dc:creator>大脸猫</dc:creator>
  <cp:lastModifiedBy>大脸猫</cp:lastModifiedBy>
  <cp:lastPrinted>2020-08-11T08:22:56Z</cp:lastPrinted>
  <dcterms:modified xsi:type="dcterms:W3CDTF">2020-08-11T08:23:07Z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