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50" w:type="dxa"/>
        <w:tblInd w:w="-286" w:type="dxa"/>
        <w:shd w:val="clear" w:color="auto" w:fill="auto"/>
        <w:tblLayout w:type="fixed"/>
        <w:tblCellMar>
          <w:top w:w="0" w:type="dxa"/>
          <w:left w:w="0" w:type="dxa"/>
          <w:bottom w:w="0" w:type="dxa"/>
          <w:right w:w="0" w:type="dxa"/>
        </w:tblCellMar>
      </w:tblPr>
      <w:tblGrid>
        <w:gridCol w:w="540"/>
        <w:gridCol w:w="315"/>
        <w:gridCol w:w="690"/>
        <w:gridCol w:w="1365"/>
        <w:gridCol w:w="1620"/>
        <w:gridCol w:w="2205"/>
        <w:gridCol w:w="1095"/>
        <w:gridCol w:w="720"/>
        <w:gridCol w:w="3420"/>
        <w:gridCol w:w="438"/>
        <w:gridCol w:w="447"/>
        <w:gridCol w:w="423"/>
        <w:gridCol w:w="432"/>
        <w:gridCol w:w="390"/>
        <w:gridCol w:w="450"/>
      </w:tblGrid>
      <w:tr>
        <w:tblPrEx>
          <w:tblCellMar>
            <w:top w:w="0" w:type="dxa"/>
            <w:left w:w="0" w:type="dxa"/>
            <w:bottom w:w="0" w:type="dxa"/>
            <w:right w:w="0" w:type="dxa"/>
          </w:tblCellMar>
        </w:tblPrEx>
        <w:trPr>
          <w:trHeight w:val="655" w:hRule="atLeast"/>
        </w:trPr>
        <w:tc>
          <w:tcPr>
            <w:tcW w:w="14550" w:type="dxa"/>
            <w:gridSpan w:val="15"/>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华文中宋" w:hAnsi="华文中宋" w:eastAsia="华文中宋" w:cs="华文中宋"/>
                <w:b/>
                <w:i w:val="0"/>
                <w:color w:val="000000"/>
                <w:sz w:val="28"/>
                <w:szCs w:val="28"/>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王助镇</w:t>
            </w:r>
            <w:bookmarkStart w:id="0" w:name="_GoBack"/>
            <w:bookmarkEnd w:id="0"/>
            <w:r>
              <w:rPr>
                <w:rFonts w:hint="eastAsia" w:ascii="方正小标宋简体" w:hAnsi="方正小标宋简体" w:eastAsia="方正小标宋简体" w:cs="方正小标宋简体"/>
                <w:b w:val="0"/>
                <w:bCs/>
                <w:i w:val="0"/>
                <w:color w:val="000000"/>
                <w:kern w:val="0"/>
                <w:sz w:val="44"/>
                <w:szCs w:val="44"/>
                <w:u w:val="none"/>
                <w:lang w:val="en-US" w:eastAsia="zh-CN" w:bidi="ar"/>
              </w:rPr>
              <w:t>安全生产领域基层政务公开标准目录</w:t>
            </w:r>
          </w:p>
        </w:tc>
      </w:tr>
      <w:tr>
        <w:tblPrEx>
          <w:shd w:val="clear" w:color="auto" w:fill="auto"/>
          <w:tblCellMar>
            <w:top w:w="0" w:type="dxa"/>
            <w:left w:w="0" w:type="dxa"/>
            <w:bottom w:w="0" w:type="dxa"/>
            <w:right w:w="0" w:type="dxa"/>
          </w:tblCellMar>
        </w:tblPrEx>
        <w:trPr>
          <w:trHeight w:val="320" w:hRule="atLeast"/>
        </w:trPr>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公开事项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责任科室</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公开内容</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公开依据</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公开时限</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公开渠道和载体</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公开对象</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公开方式</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公开层级</w:t>
            </w:r>
          </w:p>
        </w:tc>
      </w:tr>
      <w:tr>
        <w:tblPrEx>
          <w:shd w:val="clear" w:color="auto" w:fill="auto"/>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一级事项</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二级事项</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全社会</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特定群体</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主动</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依申请</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县级</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乡级</w:t>
            </w:r>
          </w:p>
        </w:tc>
      </w:tr>
      <w:tr>
        <w:tblPrEx>
          <w:shd w:val="clear" w:color="auto" w:fill="auto"/>
          <w:tblCellMar>
            <w:top w:w="0" w:type="dxa"/>
            <w:left w:w="0" w:type="dxa"/>
            <w:bottom w:w="0" w:type="dxa"/>
            <w:right w:w="0" w:type="dxa"/>
          </w:tblCellMar>
        </w:tblPrEx>
        <w:trPr>
          <w:trHeight w:val="9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政策文件</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法律法规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政策法规科</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与安全生产有关的法律、法规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信息形成或变更之日起7个工作日内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                          □社区/企事业单位、村公示栏（电子屏）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9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部门和地方规章</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政策法规科</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与安全生产有关的部门和地方规章</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信息形成或变更之日起7个工作日内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3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其他政策文件</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FF0000"/>
                <w:sz w:val="28"/>
                <w:szCs w:val="28"/>
                <w:u w:val="none"/>
              </w:rPr>
            </w:pPr>
            <w:r>
              <w:rPr>
                <w:rFonts w:hint="default" w:ascii="仿宋_GB2312" w:hAnsi="宋体" w:eastAsia="仿宋_GB2312" w:cs="仿宋_GB2312"/>
                <w:b/>
                <w:i w:val="0"/>
                <w:color w:val="FF0000"/>
                <w:kern w:val="0"/>
                <w:sz w:val="28"/>
                <w:szCs w:val="28"/>
                <w:u w:val="none"/>
                <w:lang w:val="en-US" w:eastAsia="zh-CN" w:bidi="ar"/>
              </w:rPr>
              <w:t>业务科室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其他可以公开的与安全生产有关的政策文件，包括改革方案、发展规划、专项规划、工作计划等</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信息形成或变更之日起7个工作日内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重大决策草案</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政策法规科</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涉及管理相对人切身利益、需社会广泛知晓的重要改革方案等重大决策，决策前向社会公开决策草案、决策依据</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重要会议</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组织会议的科室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通过会议讨论作出重要改革方案等重大决策时，经党组研究认为有必要公开讨论决策过程的会议</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提前一周发通知邀请</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征集采纳社会公众意见情况</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重大决策草案公布后征集到的社会公众意见情况、采纳与否情况及理由等</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征求意见时对外公布的时限内公开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行政管理</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隐患管理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预案科、危化局、监督科、调查评估和统计科、执法支队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重大隐患排查、挂牌督办及其整改情况，安全生产举报电话等</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《安全生产法》、《中华人民共和国政府信息公开条例》(国务院令第711号）、《中共中央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eastAsia" w:ascii="仿宋_GB2312" w:hAnsi="宋体" w:eastAsia="仿宋_GB2312" w:cs="仿宋_GB2312"/>
                <w:b/>
                <w:i w:val="0"/>
                <w:color w:val="000000"/>
                <w:kern w:val="0"/>
                <w:sz w:val="28"/>
                <w:szCs w:val="28"/>
                <w:u w:val="none"/>
                <w:lang w:val="en-US" w:eastAsia="zh-CN" w:bidi="ar"/>
              </w:rPr>
              <w:t xml:space="preserve"> </w:t>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eastAsia" w:ascii="仿宋_GB2312" w:hAnsi="宋体" w:eastAsia="仿宋_GB2312" w:cs="仿宋_GB2312"/>
                <w:b/>
                <w:i w:val="0"/>
                <w:color w:val="000000"/>
                <w:kern w:val="0"/>
                <w:sz w:val="28"/>
                <w:szCs w:val="28"/>
                <w:u w:val="none"/>
                <w:lang w:val="en-US" w:eastAsia="zh-CN" w:bidi="ar"/>
              </w:rPr>
              <w:t xml:space="preserve"> </w:t>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202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办公室、预案科、风险监测和综合减灾科、灾害防治科、调查评估和统计科、事务中心、信息中心</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 xml:space="preserve">承担处置主责、非敏感的应急信息，包括事故灾害类预警信息、事故信息、事故后采取的应急处置措施和应对结果等  </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《中华人民共和国政府信息公开条例》(国务院令第711号），《中华人民共和国突发事件应对法》，中央办公厅、国务院办公厅《关于全面加强政务公开工作的意见》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18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动态信息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动态信息产生的科室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●业务工作动态           ●安全生产执法检查动态</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行政管理</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安全生产预警提示信息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灾害防治科、风险监测和综合减灾科</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 xml:space="preserve">●气象及灾害预警信息 </w:t>
            </w:r>
            <w:r>
              <w:rPr>
                <w:rStyle w:val="6"/>
                <w:rFonts w:hAnsi="宋体"/>
                <w:sz w:val="28"/>
                <w:szCs w:val="28"/>
                <w:lang w:val="en-US" w:eastAsia="zh-CN" w:bidi="ar"/>
              </w:rPr>
              <w:t xml:space="preserve">           ●不同时段、不同领域安全生产提示信息</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信息形成后及时公开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2025"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重点领域信息公开</w:t>
            </w:r>
          </w:p>
        </w:tc>
        <w:tc>
          <w:tcPr>
            <w:tcW w:w="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财政资金信息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●预算、决算                       ●“三公”经费                     ●安全生产专项资金使用等财政资金信息</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《中华人民共和国政府信息公开条例》(国务院令第711号）、《国务院关于深化预算管理制度改革的决定》、《国务院办公厅关于进一步推进预算公开工作意见的通知》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按中央要求时限公开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2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政府采购信息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本单位采购实施情况相关信息</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《中华人民共和国政府信息公开条例》(国务院令第711号）,《国务院关于深化预算管理制度改革的决定》(国发〔714〕45号),中办、国办印发《关于进一步推进预算公开工作的意见》的通知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办事纪律和监督管理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驻局纪检组</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本单位的办事纪律,受理投诉、举报、信访的途径等内容</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重点领域信息公开</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重大工程项目信息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项目名称、执行措施、责任分工、取得成效、后续举措等</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《中华人民共和国政府信息公开条例》(国务院令第711号）、《国务院办公厅关于推进重大建设项目批准和实施领域政府信息公开的意见》（国办发〔717〕94号）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按照中央有关要求公开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r>
      <w:tr>
        <w:tblPrEx>
          <w:tblCellMar>
            <w:top w:w="0" w:type="dxa"/>
            <w:left w:w="0" w:type="dxa"/>
            <w:bottom w:w="0" w:type="dxa"/>
            <w:right w:w="0" w:type="dxa"/>
          </w:tblCellMar>
        </w:tblPrEx>
        <w:trPr>
          <w:trHeight w:val="18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检查和巡查发现安全监管监察问题</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驻局纪检组</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检查和巡查发现的、并要求向社会公开的问题及整改落实情况</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bl>
    <w:p>
      <w:pPr>
        <w:keepNext w:val="0"/>
        <w:keepLines w:val="0"/>
        <w:pageBreakBefore w:val="0"/>
        <w:kinsoku/>
        <w:wordWrap/>
        <w:overflowPunct/>
        <w:topLinePunct w:val="0"/>
        <w:autoSpaceDE/>
        <w:autoSpaceDN/>
        <w:bidi w:val="0"/>
        <w:adjustRightInd/>
        <w:snapToGrid/>
        <w:spacing w:line="440" w:lineRule="exact"/>
        <w:rPr>
          <w:sz w:val="28"/>
          <w:szCs w:val="28"/>
        </w:rPr>
      </w:pPr>
    </w:p>
    <w:sectPr>
      <w:pgSz w:w="16783" w:h="11850" w:orient="landscape"/>
      <w:pgMar w:top="180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D138D"/>
    <w:rsid w:val="35BD138D"/>
    <w:rsid w:val="5C88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hint="default" w:ascii="仿宋_GB2312" w:eastAsia="仿宋_GB2312" w:cs="仿宋_GB2312"/>
      <w:b/>
      <w:color w:val="FF0000"/>
      <w:sz w:val="18"/>
      <w:szCs w:val="18"/>
      <w:u w:val="none"/>
    </w:rPr>
  </w:style>
  <w:style w:type="character" w:customStyle="1" w:styleId="5">
    <w:name w:val="font12"/>
    <w:basedOn w:val="3"/>
    <w:uiPriority w:val="0"/>
    <w:rPr>
      <w:rFonts w:hint="default" w:ascii="仿宋_GB2312" w:eastAsia="仿宋_GB2312" w:cs="仿宋_GB2312"/>
      <w:b/>
      <w:color w:val="000000"/>
      <w:sz w:val="18"/>
      <w:szCs w:val="18"/>
      <w:u w:val="none"/>
    </w:rPr>
  </w:style>
  <w:style w:type="character" w:customStyle="1" w:styleId="6">
    <w:name w:val="font11"/>
    <w:basedOn w:val="3"/>
    <w:uiPriority w:val="0"/>
    <w:rPr>
      <w:rFonts w:hint="default" w:ascii="仿宋_GB2312" w:eastAsia="仿宋_GB2312" w:cs="仿宋_GB2312"/>
      <w:b/>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2020-08-04T02:23:00Z</dcterms:created>
  <dc:creator>大脸猫</dc:creator>
  <cp:lastModifiedBy>大脸猫</cp:lastModifiedBy>
  <dcterms:modified xsi:type="dcterms:W3CDTF">2020-08-11T08:18:56Z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