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58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i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  <w:pict>
          <v:shape id="图片框 4" o:spid="_x0000_s1027" type="#_x0000_t75" style="position:absolute;left:0;margin-left:-78.6pt;margin-top:-88.45pt;height:842.05pt;width:594.65pt;rotation:0f;z-index:251660288;" o:ole="f" fillcolor="#FFFFFF" filled="f" o:preferrelative="t" stroked="f" coordorigin="0,0" coordsize="21600,21600">
            <v:fill on="f" color2="#FFFFFF" focus="0%"/>
            <v:imagedata gain="65536f" blacklevel="0f" gamma="0" o:title="4昆吾办方案1 001" r:id="rId8"/>
            <o:lock v:ext="edit" position="f" selection="f" grouping="f" rotation="f" cropping="f" text="f" aspectratio="t"/>
          </v:shape>
        </w:pic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i w:val="0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i w:val="0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i w:val="0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i w:val="0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i w:val="0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z w:val="32"/>
          <w:szCs w:val="32"/>
          <w:shd w:val="clear" w:color="auto" w:fill="FFFFFF"/>
          <w:lang w:val="en-US" w:eastAsia="zh-CN"/>
        </w:rPr>
        <w:t>濮开昆〔2017〕170号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i w:val="0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i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color w:val="000000"/>
          <w:sz w:val="44"/>
          <w:szCs w:val="44"/>
          <w:shd w:val="clear" w:color="auto" w:fill="FFFFFF"/>
          <w:lang w:val="en-US" w:eastAsia="zh-CN"/>
        </w:rPr>
        <w:t>昆吾街道办事处</w:t>
      </w:r>
    </w:p>
    <w:p>
      <w:pPr>
        <w:widowControl/>
        <w:wordWrap/>
        <w:adjustRightInd w:val="0"/>
        <w:snapToGrid w:val="0"/>
        <w:spacing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全面推行河长制工作方案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》的通知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为深入贯彻落实中央、省、市、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关于全面推进河长制工作精神，进一步推进我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河长制工作深入开展，建立健全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河流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保护管理体制机制，全面改善和提升水环境质量，保障生态文明建设，制定本实施方案。</w:t>
      </w:r>
    </w:p>
    <w:p>
      <w:pPr>
        <w:widowControl w:val="0"/>
        <w:wordWrap/>
        <w:autoSpaceDN w:val="0"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olor w:val="000000"/>
          <w:sz w:val="32"/>
          <w:szCs w:val="32"/>
          <w:lang w:eastAsia="zh-CN"/>
        </w:rPr>
        <w:t>一、总体要求</w:t>
      </w:r>
    </w:p>
    <w:p>
      <w:pPr>
        <w:widowControl w:val="0"/>
        <w:wordWrap/>
        <w:autoSpaceDN w:val="0"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lang w:eastAsia="zh-CN"/>
        </w:rPr>
        <w:t>坚持节水优先、空间均衡、系统治理、两手发力，以保护水资源、防治水污染、改善水环境、修复水生态为主要任务，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lang w:val="en-US" w:eastAsia="zh-CN"/>
        </w:rPr>
        <w:t>在全办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lang w:eastAsia="zh-CN"/>
        </w:rPr>
        <w:t>全面推行河长制，构建责任明确、协调有序、监管严格、保护有力的河道管理保护机制，为维护河道健康生命、实现河道功能永续利用提供制度保障。</w:t>
      </w:r>
    </w:p>
    <w:p>
      <w:pPr>
        <w:widowControl w:val="0"/>
        <w:numPr>
          <w:numId w:val="0"/>
        </w:numPr>
        <w:wordWrap/>
        <w:autoSpaceDN w:val="0"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</w:rPr>
        <w:t>总体目标</w:t>
      </w:r>
    </w:p>
    <w:p>
      <w:pPr>
        <w:widowControl w:val="0"/>
        <w:numPr>
          <w:numId w:val="0"/>
        </w:numPr>
        <w:wordWrap/>
        <w:autoSpaceDN w:val="0"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   </w:t>
      </w:r>
    </w:p>
    <w:p>
      <w:pPr>
        <w:widowControl w:val="0"/>
        <w:numPr>
          <w:numId w:val="0"/>
        </w:numPr>
        <w:wordWrap/>
        <w:autoSpaceDN w:val="0"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2017年底前，全面建立河长制，建成乡村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级河长体系。统一树立河长制公示牌，各级河长和工作人员责任落实、上岗到位，各级河长制信息平台全部建立。2018年对各级河长制落实情况进行考核。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639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到2018年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城市集中式饮用水水源水质达到或优于Ⅲ类比例总体达96%以上；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lang w:eastAsia="zh-CN"/>
        </w:rPr>
        <w:t>城市规划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黑臭水体全部消除，保障水环境安全。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639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到2019年，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城区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集中式饮用水水源水质达到或优于Ⅲ类比例总体达100%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；消除黑臭水体。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639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到2020年，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办事处用水总量控制在全区要求范围以内，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河水功能区水质达标率达到75%以上；建立责任明晰、运转有序、监管有力、和谐安全的水事秩序。</w:t>
      </w:r>
    </w:p>
    <w:p>
      <w:pPr>
        <w:widowControl w:val="0"/>
        <w:wordWrap/>
        <w:autoSpaceDN w:val="0"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到2030年，力争全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水环境质量总体改善，水生态系统功能初步恢复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。</w:t>
      </w:r>
    </w:p>
    <w:p>
      <w:pPr>
        <w:widowControl w:val="0"/>
        <w:wordWrap/>
        <w:autoSpaceDN w:val="0"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i w:val="0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i w:val="0"/>
          <w:color w:val="000000"/>
          <w:sz w:val="32"/>
          <w:szCs w:val="32"/>
          <w:lang w:eastAsia="zh-CN"/>
        </w:rPr>
        <w:t>、基本原则</w:t>
      </w:r>
    </w:p>
    <w:p>
      <w:pPr>
        <w:widowControl w:val="0"/>
        <w:numPr>
          <w:numId w:val="0"/>
        </w:numPr>
        <w:wordWrap/>
        <w:autoSpaceDN w:val="0"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eastAsia="zh-CN"/>
        </w:rPr>
        <w:t>坚持生态优先，绿色发展。牢固树立尊重自然、顺应自然、保护自然的理念，妥善处理河流保护管理与开发利用的关系，促进河流休养生息，维护河流生态功能。</w:t>
      </w:r>
    </w:p>
    <w:p>
      <w:pPr>
        <w:widowControl w:val="0"/>
        <w:numPr>
          <w:numId w:val="0"/>
        </w:numPr>
        <w:wordWrap/>
        <w:autoSpaceDN w:val="0"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eastAsia="zh-CN"/>
        </w:rPr>
        <w:t>坚持党政领导，统筹协调。严格落实党政领导负责制，实行党政同责，构建组织体系，明确工作责任，加强部门联动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auto"/>
          <w:lang w:eastAsia="zh-CN"/>
        </w:rPr>
        <w:t>统筹上下游左右岸，提高综合治理成效。</w:t>
      </w:r>
    </w:p>
    <w:p>
      <w:pPr>
        <w:widowControl w:val="0"/>
        <w:wordWrap/>
        <w:autoSpaceDN w:val="0"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eastAsia="zh-CN"/>
        </w:rPr>
        <w:t>坚持问题导向，属地管理。建立健全长效机制，着力解决河流保护管理突出问题;落实属地责任。</w:t>
      </w:r>
    </w:p>
    <w:p>
      <w:pPr>
        <w:widowControl w:val="0"/>
        <w:wordWrap/>
        <w:autoSpaceDN w:val="0"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eastAsia="zh-CN"/>
        </w:rPr>
        <w:t>坚持强化监督，全员参与。加强督察考核，严肃责任追究，强化社会监督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eastAsia="zh-CN"/>
        </w:rPr>
        <w:t>广泛动员社会参与，营造全社会关心保护河流的良好氛围。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四、组织体系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（一）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FFFFFF"/>
          <w:lang w:val="en-US" w:eastAsia="zh-CN"/>
        </w:rPr>
        <w:t>构建办、村河长组织体系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由办事处主任刘本甫担任总河长，河流所流经村由村委会主任担任河长。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（二）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FFFFFF"/>
          <w:lang w:val="en-US" w:eastAsia="zh-CN"/>
        </w:rPr>
        <w:t>成立河长制办公室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成立河长制办公室，具体负责全面推行河长制日常工作。办公室主任由办事处城管办主任管庆勇担任，党政办、武装部、财政所、农工办，计生办和各村负责同志为成员。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五、主要任务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（一）加强水资源保护。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落实最严格水资源管理制度，强化水资源开发利用控制、用水效率控制、水功能区限制纳污三条红线的刚性约束，把全面落实河长制纳入最严格水资源管理制度考核，进一步强化各级责任，严格考核和监督。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</w:rPr>
        <w:t>（二）加强河湖水域岸线管理保护。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逐步建立河湖自然资源资产产权制度，对水流、湖泊、滩涂、岸线等自然生态空间确权登记，加强空间开发保护，严格水生态空间管控。对流域面积在3平方公里以上的河道、水面面积在1平方公里以上的湖泊及其水利工程，依法划定管理范围和保护范围，2020年基本完成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办事处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河湖管理范围和保护划界确权。编制岸线利用管理规划，落实规划岸线保护区、保留区、控制利用区和开发利用区管理要求，强化岸线保护和节约集约利用。强化涉河建设项目管理，严格履行洪水影响评价制度，加强事中事后监管。严禁以各种名义侵占河道，对岸线乱占滥用、多占少用、占而不用等突出问题开展清理整治，恢复河湖水域岸线生态功能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val="en-US" w:eastAsia="zh-CN"/>
        </w:rPr>
        <w:t>）加强水污染防治。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落实区碧水工程行动计划（水污染防治工作方案），着力打赢水污染防治攻坚战，统筹水上、岸上污染治理，完善入河排污管控机制。加强综合防治，严格治理企业污染、生活污染、改善水环境质量。优化入河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排污口布局，实施入河排污口整治。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（四）加强水环境治理。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强化水环境质量目标管理，按照水功能区确定各类水体的水质保护目标。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按照市区要求，配合开展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河湖水环境综合整治，推进水环境治理网格化和信息化建设，建立健全水环境风险评估排查、预警预报与响应机制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；配合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建设亲水生态岸线，加大黑臭水体治理力度，实现河湖环境整洁优美、水清岸绿。以生活污水处理、生活垃圾处理为重点，综合整治农村水环境，推进美丽乡村建设。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五</w:t>
      </w:r>
      <w:r>
        <w:rPr>
          <w:rFonts w:hint="default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）加强水生态修复。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推进河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生态修复和保护，禁止侵占水源涵养空间。恢复河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水系的自然连通，加强水生生物资源养护，提高水生生物多样性。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六</w:t>
      </w:r>
      <w:r>
        <w:rPr>
          <w:rFonts w:hint="default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）加强执法监管。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建立健全法规制度，加大河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管理保护监管力度，建立健全部门联合执法机制，完善行政执法与刑事司法衔接机制。建立河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日常监管巡查制度，严厉打击涉河违法行为，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积极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组织开展执法巡查、专项执法检查和集中整治行动，坚决清理整治非法排污、设障、捕捞、侵占水域岸线等活动。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保障措施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8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（一）加强组织领导。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各站所、各村要把推行河长制作为推进生态文明建设的重要举措，切实加强组织领导，狠抓责任落实，确保河长制各项工作有效开展。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8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（二）健全工作机制。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建立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办事处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村二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级河长会议制度，协调解决河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管理保护中的重点难点问题。建立信息共享制度，定期通报河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管理保护情况，及时跟踪河长制实施进展。建立工作督查制度，对河长制实施情况和河长履职情况进行督查。河长制办公室要加强组织协调，督促相关单位按照职责分工，落实责任，密切配合，协调联动，共同推进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管理保护工作。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639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（三）加强河湖水域岸线管理保护。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逐步建立河湖自然资源资产产权制度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加强空间开发保护，严格水生态空间管控。依法划定管理范围和保护范围，2020年基本完成全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管理范围和保护划界确权。编制岸线利用管理规划，落实规划岸线保护区、强化岸线保护和节约集约利用。强化涉河建设项目管理，加强事中事后监管。严禁以各种名义侵占河道，对岸线乱占滥用、多占少用、占而不用等突出问题开展清理整治，恢复河湖水域岸线生态功能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8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（四）建立工作台账。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坚持问题导向，紧密联系实际，列出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pict>
          <v:shape id="图片框 5" o:spid="_x0000_s1028" type="#_x0000_t75" style="position:absolute;left:0;margin-left:-78pt;margin-top:-90.45pt;height:842.05pt;width:600.65pt;rotation:0f;z-index:251661312;" o:ole="f" fillcolor="#FFFFFF" filled="f" o:preferrelative="t" stroked="f" coordorigin="0,0" coordsize="21600,21600">
            <v:fill on="f" color2="#FFFFFF" focus="0%"/>
            <v:imagedata gain="65536f" blacklevel="0f" gamma="0" o:title="4昆吾办方案2 001" r:id="rId9"/>
            <o:lock v:ext="edit" position="f" selection="f" grouping="f" rotation="f" cropping="f" text="f" aspectratio="t"/>
          </v:shape>
        </w:pic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任务清单，细化工作任务，明确时间节点，把工作职责和任务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化、量化成工程项目、专项整治行动、长效工作机制和具体执法计划等，做到五个明确，即问题明确、任务明确、责任明确、节点明确、措施明确。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8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（五）加强监督检查。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在河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岸边显著位置树立河长公示牌，标明河长职责、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河道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概况、管护目标、监督电话等内容，接受社会监督。聘请社会监督员对河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管理保护效果进行监督和评价。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8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（六）加强宣传引导。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做好全面推行河长制工作的宣传教育和舆论引导。根据工作节点要求，精心策划组织，充分利用网络、微信、微博等各种媒体和传播手段，深入释疑解惑，广泛宣传引导，特别加强对中小学生河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管理保护教育，不断增强公众河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保护责任意识、水忧患意识、水节约意识，营造全社会共同关心、支持、参与河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管理保护的良好氛围。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pict>
          <v:line id="Line 5" o:spid="_x0000_s1029" style="position:absolute;left:0;margin-left:-16.5pt;margin-top:21pt;height:0.05pt;width:450pt;rotation:0f;z-index:251658240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wordWrap/>
        <w:adjustRightInd w:val="0"/>
        <w:snapToGrid w:val="0"/>
        <w:spacing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gwcspdf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pict>
          <v:line id="Line 11" o:spid="_x0000_s1030" style="position:absolute;left:0;margin-left:-16.5pt;margin-top:28.45pt;height:0.05pt;width:450pt;rotation:0f;z-index:251659264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昆吾街道办事处办公室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日印发 </w:t>
      </w:r>
    </w:p>
    <w:p>
      <w:pPr>
        <w:widowControl w:val="0"/>
        <w:wordWrap/>
        <w:adjustRightInd w:val="0"/>
        <w:snapToGrid w:val="0"/>
        <w:spacing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1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pict>
          <v:shape id="图片框 6" o:spid="_x0000_s1031" type="#_x0000_t75" style="position:absolute;left:0;margin-left:-79.8pt;margin-top:-90.15pt;height:839.95pt;width:596.45pt;rotation:0f;z-index:251662336;" o:ole="f" fillcolor="#FFFFFF" filled="f" o:preferrelative="t" stroked="f" coordorigin="0,0" coordsize="21600,21600">
            <v:fill on="f" color2="#FFFFFF" focus="0%"/>
            <v:imagedata gain="65536f" blacklevel="0f" gamma="0" o:title="4昆吾办方案3 001" r:id="rId10"/>
            <o:lock v:ext="edit" position="f" selection="f" grouping="f" rotation="f" cropping="f" text="f" aspectratio="t"/>
          </v:shape>
        </w:pict>
      </w:r>
      <w:bookmarkEnd w:id="1"/>
    </w:p>
    <w:sectPr>
      <w:headerReference r:id="rId4" w:type="default"/>
      <w:footerReference r:id="rId5" w:type="default"/>
      <w:footerReference r:id="rId6" w:type="even"/>
      <w:pgSz w:w="11906" w:h="16838"/>
      <w:pgMar w:top="1814" w:right="1474" w:bottom="1701" w:left="1587" w:header="851" w:footer="567" w:gutter="0"/>
      <w:pgNumType w:fmt="decimal"/>
      <w:cols w:space="720" w:num="1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仿宋_GB2312" w:hAnsi="Calibri" w:eastAsia="仿宋_GB2312" w:cs="黑体"/>
        <w:kern w:val="2"/>
        <w:sz w:val="18"/>
        <w:szCs w:val="18"/>
        <w:lang w:val="en-US" w:eastAsia="zh-CN" w:bidi="ar-SA"/>
      </w:rPr>
      <w:pict>
        <v:shape id="文本框2" o:spid="_x0000_s1025" type="#_x0000_t202" style="position:absolute;left:0;margin-top:-19.8pt;height:16.2pt;width:42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- 1 -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- 1 -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character" w:styleId="4">
    <w:name w:val="page number"/>
    <w:basedOn w:val="3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image" Target="media/image3.jpeg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2017-08-10T08:12:00Z</dcterms:created>
  <dc:creator>lenovo</dc:creator>
  <cp:lastModifiedBy>未定义</cp:lastModifiedBy>
  <dcterms:modified xsi:type="dcterms:W3CDTF">2019-03-05T05:13:26Z</dcterms:modified>
  <dc:title>昆吾办全面推行河长制工作方案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