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lang w:val="en-US" w:eastAsia="zh-CN"/>
        </w:rPr>
      </w:pPr>
      <w:r>
        <w:rPr>
          <w:rFonts w:hint="eastAsia" w:ascii="隶书" w:hAnsi="隶书" w:eastAsia="隶书" w:cs="隶书"/>
          <w:sz w:val="52"/>
          <w:szCs w:val="52"/>
          <w:lang w:val="en-US" w:eastAsia="zh-CN"/>
        </w:rPr>
        <w:t>濮阳市经济技术开发区</w:t>
      </w:r>
    </w:p>
    <w:p>
      <w:pPr>
        <w:jc w:val="center"/>
        <w:rPr>
          <w:rFonts w:hint="eastAsia" w:ascii="隶书" w:hAnsi="隶书" w:eastAsia="隶书" w:cs="隶书"/>
          <w:sz w:val="52"/>
          <w:szCs w:val="52"/>
          <w:lang w:val="en-US" w:eastAsia="zh-CN"/>
        </w:rPr>
      </w:pPr>
      <w:r>
        <w:rPr>
          <w:rFonts w:hint="eastAsia" w:ascii="隶书" w:hAnsi="隶书" w:eastAsia="隶书" w:cs="隶书"/>
          <w:sz w:val="52"/>
          <w:szCs w:val="52"/>
          <w:lang w:val="en-US" w:eastAsia="zh-CN"/>
        </w:rPr>
        <w:t>总工会</w:t>
      </w:r>
    </w:p>
    <w:p>
      <w:pPr>
        <w:jc w:val="center"/>
        <w:rPr>
          <w:rFonts w:hint="eastAsia" w:ascii="隶书" w:hAnsi="隶书" w:eastAsia="隶书" w:cs="隶书"/>
          <w:sz w:val="52"/>
          <w:szCs w:val="52"/>
          <w:lang w:val="en-US" w:eastAsia="zh-CN"/>
        </w:rPr>
      </w:pPr>
    </w:p>
    <w:p>
      <w:pPr>
        <w:jc w:val="center"/>
        <w:rPr>
          <w:rFonts w:hint="eastAsia" w:ascii="隶书" w:hAnsi="隶书" w:eastAsia="隶书" w:cs="隶书"/>
          <w:sz w:val="52"/>
          <w:szCs w:val="52"/>
        </w:rPr>
      </w:pPr>
      <w:r>
        <w:rPr>
          <w:rFonts w:hint="eastAsia" w:ascii="隶书" w:hAnsi="隶书" w:eastAsia="隶书" w:cs="隶书"/>
          <w:sz w:val="52"/>
          <w:szCs w:val="52"/>
        </w:rPr>
        <w:t>2016年度部门决</w:t>
      </w:r>
      <w:bookmarkStart w:id="0" w:name="_GoBack"/>
      <w:bookmarkEnd w:id="0"/>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jc w:val="center"/>
        <w:rPr>
          <w:rFonts w:hint="eastAsia" w:ascii="隶书" w:hAnsi="隶书" w:eastAsia="隶书" w:cs="隶书"/>
          <w:sz w:val="52"/>
          <w:szCs w:val="52"/>
        </w:rPr>
      </w:pPr>
    </w:p>
    <w:p>
      <w:pPr>
        <w:adjustRightInd w:val="0"/>
        <w:snapToGrid w:val="0"/>
        <w:spacing w:line="360" w:lineRule="auto"/>
        <w:jc w:val="both"/>
        <w:rPr>
          <w:rFonts w:hint="eastAsia" w:ascii="方正小标宋简体" w:eastAsia="方正小标宋简体"/>
          <w:sz w:val="36"/>
          <w:szCs w:val="36"/>
        </w:rPr>
      </w:pP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22" w:firstLineChars="7"/>
        <w:jc w:val="center"/>
        <w:rPr>
          <w:rFonts w:ascii="黑体" w:eastAsia="黑体" w:cs="黑体"/>
          <w:sz w:val="56"/>
          <w:szCs w:val="56"/>
        </w:rPr>
      </w:pPr>
      <w:r>
        <w:rPr>
          <w:rFonts w:hint="eastAsia" w:ascii="黑体" w:eastAsia="黑体" w:cs="黑体"/>
          <w:sz w:val="32"/>
          <w:szCs w:val="32"/>
        </w:rPr>
        <w:t>目</w:t>
      </w:r>
      <w:r>
        <w:rPr>
          <w:rFonts w:ascii="黑体" w:eastAsia="黑体" w:cs="黑体"/>
          <w:spacing w:val="2"/>
          <w:sz w:val="32"/>
          <w:szCs w:val="32"/>
        </w:rPr>
        <w:t xml:space="preserve"> </w:t>
      </w:r>
      <w:r>
        <w:rPr>
          <w:rFonts w:hint="eastAsia" w:ascii="黑体" w:eastAsia="黑体" w:cs="黑体"/>
          <w:sz w:val="32"/>
          <w:szCs w:val="32"/>
        </w:rPr>
        <w:t>录</w:t>
      </w:r>
    </w:p>
    <w:p>
      <w:pPr>
        <w:kinsoku w:val="0"/>
        <w:overflowPunct w:val="0"/>
        <w:adjustRightInd w:val="0"/>
        <w:snapToGrid w:val="0"/>
        <w:spacing w:line="360" w:lineRule="auto"/>
        <w:ind w:right="3569" w:firstLine="640"/>
        <w:rPr>
          <w:rFonts w:hint="eastAsia" w:ascii="仿宋" w:hAnsi="仿宋" w:eastAsia="仿宋" w:cs="仿宋"/>
          <w:b w:val="0"/>
          <w:bCs w:val="0"/>
          <w:w w:val="99"/>
          <w:sz w:val="32"/>
          <w:szCs w:val="32"/>
        </w:rPr>
      </w:pPr>
      <w:r>
        <w:rPr>
          <w:rFonts w:hint="eastAsia" w:ascii="仿宋" w:hAnsi="仿宋" w:eastAsia="仿宋" w:cs="仿宋"/>
          <w:b w:val="0"/>
          <w:bCs w:val="0"/>
          <w:sz w:val="32"/>
          <w:szCs w:val="32"/>
        </w:rPr>
        <w:t>第一部分 开发</w:t>
      </w:r>
      <w:r>
        <w:rPr>
          <w:rFonts w:hint="eastAsia" w:ascii="仿宋" w:hAnsi="仿宋" w:eastAsia="仿宋" w:cs="仿宋"/>
          <w:b w:val="0"/>
          <w:bCs w:val="0"/>
          <w:sz w:val="32"/>
          <w:szCs w:val="32"/>
          <w:lang w:eastAsia="zh-CN"/>
        </w:rPr>
        <w:t>总工会</w:t>
      </w:r>
      <w:r>
        <w:rPr>
          <w:rFonts w:hint="eastAsia" w:ascii="仿宋" w:hAnsi="仿宋" w:eastAsia="仿宋" w:cs="仿宋"/>
          <w:b w:val="0"/>
          <w:bCs w:val="0"/>
          <w:sz w:val="32"/>
          <w:szCs w:val="32"/>
        </w:rPr>
        <w:t>概况</w:t>
      </w:r>
      <w:r>
        <w:rPr>
          <w:rFonts w:hint="eastAsia" w:ascii="仿宋" w:hAnsi="仿宋" w:eastAsia="仿宋" w:cs="仿宋"/>
          <w:b w:val="0"/>
          <w:bCs w:val="0"/>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 w:hAnsi="仿宋" w:eastAsia="仿宋" w:cs="仿宋"/>
          <w:sz w:val="32"/>
          <w:szCs w:val="32"/>
        </w:rPr>
      </w:pPr>
      <w:r>
        <w:rPr>
          <w:rFonts w:hint="eastAsia" w:ascii="仿宋" w:hAnsi="仿宋" w:eastAsia="仿宋" w:cs="仿宋"/>
          <w:sz w:val="32"/>
          <w:szCs w:val="32"/>
        </w:rPr>
        <w:t>一、主要职能</w:t>
      </w:r>
    </w:p>
    <w:p>
      <w:pPr>
        <w:kinsoku w:val="0"/>
        <w:overflowPunct w:val="0"/>
        <w:adjustRightInd w:val="0"/>
        <w:snapToGrid w:val="0"/>
        <w:spacing w:line="360" w:lineRule="auto"/>
        <w:ind w:right="3569" w:firstLine="960" w:firstLineChars="300"/>
        <w:jc w:val="left"/>
        <w:rPr>
          <w:rFonts w:hint="eastAsia" w:ascii="仿宋" w:hAnsi="仿宋" w:eastAsia="仿宋" w:cs="仿宋"/>
          <w:sz w:val="32"/>
          <w:szCs w:val="32"/>
        </w:rPr>
      </w:pPr>
      <w:r>
        <w:rPr>
          <w:rFonts w:hint="eastAsia" w:ascii="仿宋" w:hAnsi="仿宋" w:eastAsia="仿宋" w:cs="仿宋"/>
          <w:sz w:val="32"/>
          <w:szCs w:val="32"/>
        </w:rPr>
        <w:t>二、部门决算单位构成</w:t>
      </w:r>
    </w:p>
    <w:p>
      <w:pPr>
        <w:kinsoku w:val="0"/>
        <w:overflowPunct w:val="0"/>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第二部分</w:t>
      </w:r>
      <w:r>
        <w:rPr>
          <w:rFonts w:hint="eastAsia" w:ascii="仿宋" w:hAnsi="仿宋" w:eastAsia="仿宋" w:cs="仿宋"/>
          <w:spacing w:val="-32"/>
          <w:sz w:val="32"/>
          <w:szCs w:val="32"/>
        </w:rPr>
        <w:t xml:space="preserve"> </w:t>
      </w:r>
      <w:r>
        <w:rPr>
          <w:rFonts w:hint="eastAsia" w:ascii="仿宋" w:hAnsi="仿宋" w:eastAsia="仿宋" w:cs="仿宋"/>
          <w:sz w:val="32"/>
          <w:szCs w:val="32"/>
        </w:rPr>
        <w:t>开发区</w:t>
      </w:r>
      <w:r>
        <w:rPr>
          <w:rFonts w:hint="eastAsia" w:ascii="仿宋" w:hAnsi="仿宋" w:eastAsia="仿宋" w:cs="仿宋"/>
          <w:sz w:val="32"/>
          <w:szCs w:val="32"/>
          <w:lang w:eastAsia="zh-CN"/>
        </w:rPr>
        <w:t>总工会</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年度部门决算表</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一、收入支出决算总表 </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二、收入决算表 </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三、支出决算表</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四、财政拨款收入支出决算总表 </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五、一般公共预算财政拨款支出决算表 </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六、一般公共预算财政拨款基本支出决算表 </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七、一般公共预算财政拨款“三公”经费支出决算表 </w:t>
      </w:r>
    </w:p>
    <w:p>
      <w:pPr>
        <w:kinsoku w:val="0"/>
        <w:overflowPunct w:val="0"/>
        <w:adjustRightInd w:val="0"/>
        <w:snapToGrid w:val="0"/>
        <w:spacing w:line="360" w:lineRule="auto"/>
        <w:ind w:right="51" w:firstLine="960" w:firstLineChars="300"/>
        <w:jc w:val="left"/>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kinsoku w:val="0"/>
        <w:overflowPunct w:val="0"/>
        <w:adjustRightInd w:val="0"/>
        <w:snapToGrid w:val="0"/>
        <w:spacing w:line="360" w:lineRule="auto"/>
        <w:ind w:right="521" w:firstLine="640" w:firstLineChars="200"/>
        <w:rPr>
          <w:rFonts w:hint="eastAsia" w:ascii="仿宋" w:hAnsi="仿宋" w:eastAsia="仿宋" w:cs="仿宋"/>
          <w:w w:val="99"/>
          <w:sz w:val="32"/>
          <w:szCs w:val="32"/>
        </w:rPr>
      </w:pPr>
      <w:r>
        <w:rPr>
          <w:rFonts w:hint="eastAsia" w:ascii="仿宋" w:hAnsi="仿宋" w:eastAsia="仿宋" w:cs="仿宋"/>
          <w:sz w:val="32"/>
          <w:szCs w:val="32"/>
        </w:rPr>
        <w:t>第三部分开发区</w:t>
      </w:r>
      <w:r>
        <w:rPr>
          <w:rFonts w:hint="eastAsia" w:ascii="仿宋" w:hAnsi="仿宋" w:eastAsia="仿宋" w:cs="仿宋"/>
          <w:sz w:val="32"/>
          <w:szCs w:val="32"/>
          <w:lang w:eastAsia="zh-CN"/>
        </w:rPr>
        <w:t>总工会</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年度部门决算情况说明</w:t>
      </w:r>
      <w:r>
        <w:rPr>
          <w:rFonts w:hint="eastAsia" w:ascii="仿宋" w:hAnsi="仿宋" w:eastAsia="仿宋" w:cs="仿宋"/>
          <w:w w:val="99"/>
          <w:sz w:val="32"/>
          <w:szCs w:val="32"/>
        </w:rPr>
        <w:t xml:space="preserve"> </w:t>
      </w:r>
    </w:p>
    <w:p>
      <w:pPr>
        <w:numPr>
          <w:ilvl w:val="0"/>
          <w:numId w:val="0"/>
        </w:numPr>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一、</w:t>
      </w:r>
      <w:r>
        <w:rPr>
          <w:rFonts w:hint="eastAsia" w:ascii="仿宋" w:hAnsi="仿宋" w:eastAsia="仿宋" w:cs="仿宋"/>
          <w:sz w:val="32"/>
          <w:szCs w:val="32"/>
        </w:rPr>
        <w:t>收入支出总体情况说明</w:t>
      </w:r>
    </w:p>
    <w:p>
      <w:pPr>
        <w:numPr>
          <w:ilvl w:val="0"/>
          <w:numId w:val="0"/>
        </w:numPr>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rPr>
        <w:t>收入决算情况说明</w:t>
      </w:r>
    </w:p>
    <w:p>
      <w:pPr>
        <w:numPr>
          <w:ilvl w:val="0"/>
          <w:numId w:val="0"/>
        </w:numPr>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三、</w:t>
      </w:r>
      <w:r>
        <w:rPr>
          <w:rFonts w:hint="eastAsia" w:ascii="仿宋" w:hAnsi="仿宋" w:eastAsia="仿宋" w:cs="仿宋"/>
          <w:sz w:val="32"/>
          <w:szCs w:val="32"/>
        </w:rPr>
        <w:t>支出决算情况说明</w:t>
      </w:r>
    </w:p>
    <w:p>
      <w:pPr>
        <w:numPr>
          <w:ilvl w:val="0"/>
          <w:numId w:val="0"/>
        </w:numPr>
        <w:adjustRightInd w:val="0"/>
        <w:snapToGrid w:val="0"/>
        <w:spacing w:line="360" w:lineRule="auto"/>
        <w:outlineLvl w:val="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关于财政拨款收入支出决算总体情况说明</w:t>
      </w:r>
    </w:p>
    <w:p>
      <w:pPr>
        <w:numPr>
          <w:ilvl w:val="0"/>
          <w:numId w:val="0"/>
        </w:numPr>
        <w:adjustRightInd w:val="0"/>
        <w:snapToGrid w:val="0"/>
        <w:spacing w:line="360" w:lineRule="auto"/>
        <w:outlineLvl w:val="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关于一般公共预算财政拨款支出决算情况说明</w:t>
      </w:r>
    </w:p>
    <w:p>
      <w:pPr>
        <w:adjustRightInd w:val="0"/>
        <w:snapToGrid w:val="0"/>
        <w:spacing w:line="360" w:lineRule="auto"/>
        <w:outlineLvl w:val="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六、关于一般公共预算财政拨款基本支出决算情况说明</w:t>
      </w:r>
    </w:p>
    <w:p>
      <w:pPr>
        <w:kinsoku w:val="0"/>
        <w:overflowPunct w:val="0"/>
        <w:autoSpaceDE w:val="0"/>
        <w:autoSpaceDN w:val="0"/>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七、关于一般公共预算财政拨款“三公”经费支出决算情况说明</w:t>
      </w:r>
    </w:p>
    <w:p>
      <w:pPr>
        <w:kinsoku w:val="0"/>
        <w:overflowPunct w:val="0"/>
        <w:autoSpaceDE w:val="0"/>
        <w:autoSpaceDN w:val="0"/>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（一）“三公”经费财政拨款支出决算总体情况说明。</w:t>
      </w:r>
    </w:p>
    <w:p>
      <w:pPr>
        <w:kinsoku w:val="0"/>
        <w:overflowPunct w:val="0"/>
        <w:autoSpaceDE w:val="0"/>
        <w:autoSpaceDN w:val="0"/>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（二）“三公”经费财政拨款支出决算具体情况说明。</w:t>
      </w:r>
    </w:p>
    <w:p>
      <w:pPr>
        <w:adjustRightInd w:val="0"/>
        <w:snapToGrid w:val="0"/>
        <w:spacing w:line="360" w:lineRule="auto"/>
        <w:outlineLvl w:val="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八</w:t>
      </w:r>
      <w:r>
        <w:rPr>
          <w:rFonts w:hint="eastAsia" w:ascii="仿宋" w:hAnsi="仿宋" w:eastAsia="仿宋" w:cs="仿宋"/>
          <w:sz w:val="32"/>
          <w:szCs w:val="32"/>
        </w:rPr>
        <w:t>、关于政府性基金预算财政拨款支出决算情况说明</w:t>
      </w:r>
    </w:p>
    <w:p>
      <w:pPr>
        <w:kinsoku w:val="0"/>
        <w:overflowPunct w:val="0"/>
        <w:autoSpaceDE w:val="0"/>
        <w:autoSpaceDN w:val="0"/>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九</w:t>
      </w:r>
      <w:r>
        <w:rPr>
          <w:rFonts w:hint="eastAsia" w:ascii="仿宋" w:hAnsi="仿宋" w:eastAsia="仿宋" w:cs="仿宋"/>
          <w:sz w:val="32"/>
          <w:szCs w:val="32"/>
        </w:rPr>
        <w:t>、其他重要事项的情况说明</w:t>
      </w:r>
    </w:p>
    <w:p>
      <w:pPr>
        <w:kinsoku w:val="0"/>
        <w:overflowPunct w:val="0"/>
        <w:autoSpaceDE w:val="0"/>
        <w:autoSpaceDN w:val="0"/>
        <w:adjustRightInd w:val="0"/>
        <w:snapToGrid w:val="0"/>
        <w:spacing w:line="360" w:lineRule="auto"/>
        <w:rPr>
          <w:rFonts w:hint="eastAsia" w:ascii="仿宋" w:hAnsi="仿宋" w:eastAsia="仿宋" w:cs="仿宋"/>
          <w:bCs/>
          <w:kern w:val="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w:t>
      </w:r>
      <w:r>
        <w:rPr>
          <w:rFonts w:hint="eastAsia" w:ascii="仿宋" w:hAnsi="仿宋" w:eastAsia="仿宋" w:cs="仿宋"/>
          <w:bCs/>
          <w:kern w:val="0"/>
          <w:sz w:val="32"/>
          <w:szCs w:val="32"/>
        </w:rPr>
        <w:t>机关运行经费支出情况。</w:t>
      </w:r>
    </w:p>
    <w:p>
      <w:pPr>
        <w:kinsoku w:val="0"/>
        <w:overflowPunct w:val="0"/>
        <w:autoSpaceDE w:val="0"/>
        <w:autoSpaceDN w:val="0"/>
        <w:adjustRightInd w:val="0"/>
        <w:snapToGrid w:val="0"/>
        <w:spacing w:line="360"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（二）政府采购支出情况。</w:t>
      </w:r>
    </w:p>
    <w:p>
      <w:pPr>
        <w:kinsoku w:val="0"/>
        <w:overflowPunct w:val="0"/>
        <w:autoSpaceDE w:val="0"/>
        <w:autoSpaceDN w:val="0"/>
        <w:adjustRightInd w:val="0"/>
        <w:snapToGrid w:val="0"/>
        <w:spacing w:line="360" w:lineRule="auto"/>
        <w:rPr>
          <w:rFonts w:hint="eastAsia" w:ascii="仿宋" w:hAnsi="仿宋" w:eastAsia="仿宋" w:cs="仿宋"/>
          <w:sz w:val="32"/>
          <w:szCs w:val="32"/>
        </w:rPr>
      </w:pP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（三）国有资产占用情况。</w:t>
      </w:r>
    </w:p>
    <w:p>
      <w:pPr>
        <w:kinsoku w:val="0"/>
        <w:overflowPunct w:val="0"/>
        <w:adjustRightInd w:val="0"/>
        <w:snapToGrid w:val="0"/>
        <w:spacing w:line="360" w:lineRule="auto"/>
        <w:ind w:right="521"/>
        <w:rPr>
          <w:rFonts w:hint="eastAsia" w:ascii="仿宋" w:hAnsi="仿宋" w:eastAsia="仿宋" w:cs="仿宋"/>
          <w:w w:val="99"/>
          <w:sz w:val="32"/>
          <w:szCs w:val="32"/>
          <w:lang w:val="en-US" w:eastAsia="zh-CN"/>
        </w:rPr>
      </w:pPr>
    </w:p>
    <w:p>
      <w:pPr>
        <w:kinsoku w:val="0"/>
        <w:overflowPunct w:val="0"/>
        <w:adjustRightInd w:val="0"/>
        <w:snapToGrid w:val="0"/>
        <w:spacing w:line="360" w:lineRule="auto"/>
        <w:ind w:right="52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第四部分</w:t>
      </w:r>
      <w:r>
        <w:rPr>
          <w:rFonts w:hint="eastAsia" w:ascii="仿宋" w:hAnsi="仿宋" w:eastAsia="仿宋" w:cs="仿宋"/>
          <w:spacing w:val="-32"/>
          <w:sz w:val="32"/>
          <w:szCs w:val="32"/>
        </w:rPr>
        <w:t xml:space="preserve"> </w:t>
      </w:r>
      <w:r>
        <w:rPr>
          <w:rFonts w:hint="eastAsia" w:ascii="仿宋" w:hAnsi="仿宋" w:eastAsia="仿宋" w:cs="仿宋"/>
          <w:sz w:val="32"/>
          <w:szCs w:val="32"/>
        </w:rPr>
        <w:t>名词解释</w:t>
      </w: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b/>
          <w:bCs/>
          <w:sz w:val="48"/>
          <w:szCs w:val="48"/>
        </w:rPr>
      </w:pPr>
    </w:p>
    <w:p>
      <w:pPr>
        <w:adjustRightInd w:val="0"/>
        <w:snapToGrid w:val="0"/>
        <w:spacing w:line="360" w:lineRule="auto"/>
        <w:jc w:val="center"/>
        <w:rPr>
          <w:rFonts w:hint="eastAsia" w:ascii="仿宋" w:hAnsi="仿宋" w:eastAsia="仿宋" w:cs="仿宋"/>
          <w:b/>
          <w:bCs/>
          <w:sz w:val="48"/>
          <w:szCs w:val="48"/>
        </w:rPr>
      </w:pPr>
      <w:r>
        <w:rPr>
          <w:rFonts w:hint="eastAsia" w:ascii="仿宋" w:hAnsi="仿宋" w:eastAsia="仿宋" w:cs="仿宋"/>
          <w:b/>
          <w:bCs/>
          <w:sz w:val="48"/>
          <w:szCs w:val="48"/>
        </w:rPr>
        <w:t>第一部分</w:t>
      </w:r>
    </w:p>
    <w:p>
      <w:pPr>
        <w:adjustRightInd w:val="0"/>
        <w:snapToGrid w:val="0"/>
        <w:spacing w:line="360" w:lineRule="auto"/>
        <w:jc w:val="center"/>
        <w:rPr>
          <w:rFonts w:hint="eastAsia" w:ascii="仿宋" w:hAnsi="仿宋" w:eastAsia="仿宋" w:cs="仿宋"/>
          <w:b/>
          <w:bCs/>
          <w:sz w:val="48"/>
          <w:szCs w:val="48"/>
        </w:rPr>
      </w:pPr>
      <w:r>
        <w:rPr>
          <w:rFonts w:hint="eastAsia" w:ascii="仿宋" w:hAnsi="仿宋" w:eastAsia="仿宋" w:cs="仿宋"/>
          <w:b/>
          <w:bCs/>
          <w:sz w:val="48"/>
          <w:szCs w:val="48"/>
        </w:rPr>
        <w:t>开发区</w:t>
      </w:r>
      <w:r>
        <w:rPr>
          <w:rFonts w:hint="eastAsia" w:ascii="仿宋" w:hAnsi="仿宋" w:eastAsia="仿宋" w:cs="仿宋"/>
          <w:b/>
          <w:bCs/>
          <w:sz w:val="48"/>
          <w:szCs w:val="48"/>
          <w:lang w:eastAsia="zh-CN"/>
        </w:rPr>
        <w:t>总工会</w:t>
      </w:r>
      <w:r>
        <w:rPr>
          <w:rFonts w:hint="eastAsia" w:ascii="仿宋" w:hAnsi="仿宋" w:eastAsia="仿宋" w:cs="仿宋"/>
          <w:b/>
          <w:bCs/>
          <w:sz w:val="48"/>
          <w:szCs w:val="48"/>
        </w:rPr>
        <w:t>概况</w:t>
      </w: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jc w:val="both"/>
        <w:rPr>
          <w:rFonts w:hint="eastAsia" w:ascii="仿宋" w:hAnsi="仿宋" w:eastAsia="仿宋" w:cs="仿宋"/>
          <w:sz w:val="32"/>
          <w:szCs w:val="32"/>
        </w:rPr>
      </w:pPr>
    </w:p>
    <w:p>
      <w:pPr>
        <w:adjustRightInd w:val="0"/>
        <w:snapToGrid w:val="0"/>
        <w:spacing w:line="360" w:lineRule="auto"/>
        <w:jc w:val="center"/>
        <w:rPr>
          <w:rFonts w:hint="eastAsia" w:ascii="仿宋" w:hAnsi="仿宋" w:eastAsia="仿宋" w:cs="仿宋"/>
          <w:sz w:val="32"/>
          <w:szCs w:val="32"/>
        </w:rPr>
      </w:pPr>
    </w:p>
    <w:p>
      <w:pPr>
        <w:adjustRightInd w:val="0"/>
        <w:snapToGrid w:val="0"/>
        <w:spacing w:line="360" w:lineRule="auto"/>
        <w:ind w:firstLine="640"/>
        <w:jc w:val="center"/>
        <w:rPr>
          <w:rFonts w:hint="eastAsia" w:ascii="仿宋" w:hAnsi="仿宋" w:eastAsia="仿宋" w:cs="仿宋"/>
          <w:sz w:val="32"/>
          <w:szCs w:val="32"/>
        </w:rPr>
      </w:pP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一、开发区</w:t>
      </w:r>
      <w:r>
        <w:rPr>
          <w:rFonts w:hint="eastAsia" w:ascii="仿宋" w:hAnsi="仿宋" w:eastAsia="仿宋" w:cs="仿宋"/>
          <w:sz w:val="32"/>
          <w:szCs w:val="32"/>
          <w:lang w:eastAsia="zh-CN"/>
        </w:rPr>
        <w:t>总工会</w:t>
      </w:r>
      <w:r>
        <w:rPr>
          <w:rFonts w:hint="eastAsia" w:ascii="仿宋" w:hAnsi="仿宋" w:eastAsia="仿宋" w:cs="仿宋"/>
          <w:sz w:val="32"/>
          <w:szCs w:val="32"/>
        </w:rPr>
        <w:t>主要职责</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一）贯彻执行党的路线、方针、政策和上级工会及全区工会代表大会的决议，根据区党工委、市总工会的部署，结合全区实际，确定工会的指导思想、目标任务，指导全区各级工会开展好各项工作和活动。开展工运理论研究，全心全意为基层、为职工服务。</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二）加强工会自身改革和建设，督促全区党政群机关、企事业单位和各类新建企业（新经济组织）依法建立工会组织，完善工作制度，健全工作机制，开展工会工作；督促、指导基层工会按期换届，坚定不移地推动党的全心全意依靠工人阶级根本指导方针的贯彻落实；代表和维护职工的合法权益，突出和履行维护职能，保护、调动和发挥广大职工的积极性、创造性；协助各级党委做好工会干部的配备、管理和培训工作；围绕有关职工合法权益的重大问题进行调查研究，向区党工委、管委会和市总工会反映职工群众的思想、愿望和要求，提出合理意见；指导考核全区各级工会工作，增强基层工会活力，提高工会工作整体水平。</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三）帮助和指导各级工会依照法律规定通过职工代表大会和其他形式，组织职工参与本单位的民主选举、民主决策、民主管理和民主监督，通过平等协商和集体合同制度，协调劳动关系，维护职工劳动权益；参与有关涉及职工切身利益的有关组织机构和工作会议，参与有关政策的制定和修改，参与职工安全事故的调查处理。</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四）组织和动员职工群众围绕经济建设中心，积极开展经济技术创新工程、劳动竞赛、合理化建议、技术革新等活动，努力完成生产和工作任务，促进区域经济和社会发展目标任务的实现。组织开展“创建学习型组织，争做知识型技能型职工”活动，教育职工不断提高思想道德、技术业务和科学文化素质，培养和造就有理想、有道德、有文化、有纪律的职工队伍，推动全区三个文明建设协调发展，为构建和谐开发区作贡献。</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五）协助区管委会做好劳动模范的推荐、评选和管理工作；协助上级工会做好区内全国、省、市劳动模范及“五一”劳动奖章（奖状）的管理服务工作。协助区管委会做好区级劳动模范的推荐、评选和管理工作。</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（六）负责全区工会经费的收缴、管理、审查、审计工作，管理区总工会资产，参与研究、制定兴办职工福利事业的有关制度和规定。</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七）协助党工委、管委会和有关部门做好促进就业再就业工作，开展春送岗位、夏送清凉、金秋助学、冬送温暖和困难职工帮扶活动，管好用好送温暖专项资金和困难职工帮扶中心资金。为全区基层工会会员（职工）提供政策和法律援助服务，促进依法治会。</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rPr>
      </w:pPr>
      <w:r>
        <w:rPr>
          <w:rFonts w:hint="eastAsia" w:ascii="仿宋" w:hAnsi="仿宋" w:eastAsia="仿宋" w:cs="仿宋"/>
          <w:b w:val="0"/>
          <w:i w:val="0"/>
          <w:color w:val="333333"/>
          <w:sz w:val="32"/>
          <w:szCs w:val="32"/>
          <w:shd w:val="clear" w:color="auto" w:fill="FFFFFF"/>
        </w:rPr>
        <w:t>（八）承办开发区党工委、管委会和市总工会交办的其他工作。</w:t>
      </w:r>
    </w:p>
    <w:p>
      <w:pPr>
        <w:shd w:val="solid" w:color="FFFFFF" w:fill="auto"/>
        <w:autoSpaceDN w:val="0"/>
        <w:spacing w:after="150" w:line="525" w:lineRule="atLeast"/>
        <w:ind w:firstLine="600"/>
        <w:textAlignment w:val="top"/>
        <w:rPr>
          <w:rFonts w:hint="eastAsia" w:ascii="仿宋" w:hAnsi="仿宋" w:eastAsia="仿宋" w:cs="仿宋"/>
          <w:b w:val="0"/>
          <w:i w:val="0"/>
          <w:color w:val="333333"/>
          <w:sz w:val="32"/>
          <w:szCs w:val="32"/>
          <w:shd w:val="clear" w:color="auto" w:fill="FFFFFF"/>
          <w:lang w:eastAsia="zh-CN"/>
        </w:rPr>
      </w:pPr>
      <w:r>
        <w:rPr>
          <w:rFonts w:hint="eastAsia" w:ascii="仿宋" w:hAnsi="仿宋" w:eastAsia="仿宋" w:cs="仿宋"/>
          <w:b w:val="0"/>
          <w:i w:val="0"/>
          <w:color w:val="333333"/>
          <w:sz w:val="32"/>
          <w:szCs w:val="32"/>
          <w:shd w:val="clear" w:color="auto" w:fill="FFFFFF"/>
          <w:lang w:eastAsia="zh-CN"/>
        </w:rPr>
        <w:t>内设机构：办公室、宣传教育。</w:t>
      </w:r>
    </w:p>
    <w:p>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二、开发区</w:t>
      </w:r>
      <w:r>
        <w:rPr>
          <w:rFonts w:hint="eastAsia" w:ascii="仿宋" w:hAnsi="仿宋" w:eastAsia="仿宋" w:cs="仿宋"/>
          <w:sz w:val="32"/>
          <w:szCs w:val="32"/>
          <w:lang w:eastAsia="zh-CN"/>
        </w:rPr>
        <w:t>总工会</w:t>
      </w:r>
      <w:r>
        <w:rPr>
          <w:rFonts w:hint="eastAsia" w:ascii="仿宋" w:hAnsi="仿宋" w:eastAsia="仿宋" w:cs="仿宋"/>
          <w:sz w:val="32"/>
          <w:szCs w:val="32"/>
        </w:rPr>
        <w:t>决算单位构成</w:t>
      </w:r>
    </w:p>
    <w:p>
      <w:pPr>
        <w:pStyle w:val="12"/>
        <w:kinsoku w:val="0"/>
        <w:overflowPunct w:val="0"/>
        <w:snapToGrid w:val="0"/>
        <w:spacing w:line="360" w:lineRule="auto"/>
        <w:ind w:left="121" w:right="118" w:firstLine="360"/>
        <w:rPr>
          <w:rFonts w:hint="eastAsia" w:ascii="仿宋" w:hAnsi="仿宋" w:eastAsia="仿宋" w:cs="仿宋"/>
          <w:spacing w:val="-1"/>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开发区</w:t>
      </w:r>
      <w:r>
        <w:rPr>
          <w:rFonts w:hint="eastAsia" w:ascii="仿宋" w:hAnsi="仿宋" w:eastAsia="仿宋" w:cs="仿宋"/>
          <w:sz w:val="32"/>
          <w:szCs w:val="32"/>
          <w:lang w:eastAsia="zh-CN"/>
        </w:rPr>
        <w:t>总工会</w:t>
      </w:r>
      <w:r>
        <w:rPr>
          <w:rFonts w:hint="eastAsia" w:ascii="仿宋" w:hAnsi="仿宋" w:eastAsia="仿宋" w:cs="仿宋"/>
          <w:spacing w:val="2"/>
          <w:sz w:val="32"/>
          <w:szCs w:val="32"/>
        </w:rPr>
        <w:t>部门</w:t>
      </w:r>
      <w:r>
        <w:rPr>
          <w:rFonts w:hint="eastAsia" w:ascii="仿宋" w:hAnsi="仿宋" w:eastAsia="仿宋" w:cs="仿宋"/>
          <w:sz w:val="32"/>
          <w:szCs w:val="32"/>
        </w:rPr>
        <w:t>决</w:t>
      </w:r>
      <w:r>
        <w:rPr>
          <w:rFonts w:hint="eastAsia" w:ascii="仿宋" w:hAnsi="仿宋" w:eastAsia="仿宋" w:cs="仿宋"/>
          <w:spacing w:val="2"/>
          <w:sz w:val="32"/>
          <w:szCs w:val="32"/>
        </w:rPr>
        <w:t>算包括</w:t>
      </w:r>
      <w:r>
        <w:rPr>
          <w:rFonts w:hint="eastAsia" w:ascii="仿宋" w:hAnsi="仿宋" w:eastAsia="仿宋" w:cs="仿宋"/>
          <w:sz w:val="32"/>
          <w:szCs w:val="32"/>
          <w:lang w:eastAsia="zh-CN"/>
        </w:rPr>
        <w:t>工会</w:t>
      </w:r>
      <w:r>
        <w:rPr>
          <w:rFonts w:hint="eastAsia" w:ascii="仿宋" w:hAnsi="仿宋" w:eastAsia="仿宋" w:cs="仿宋"/>
          <w:spacing w:val="2"/>
          <w:sz w:val="32"/>
          <w:szCs w:val="32"/>
        </w:rPr>
        <w:t>机关本级</w:t>
      </w:r>
      <w:r>
        <w:rPr>
          <w:rFonts w:hint="eastAsia" w:ascii="仿宋" w:hAnsi="仿宋" w:eastAsia="仿宋" w:cs="仿宋"/>
          <w:spacing w:val="-1"/>
          <w:sz w:val="32"/>
          <w:szCs w:val="32"/>
        </w:rPr>
        <w:t>决算。</w:t>
      </w: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本单位无二级预算单位，本级决算及汇总决算。</w:t>
      </w: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pStyle w:val="12"/>
        <w:kinsoku w:val="0"/>
        <w:overflowPunct w:val="0"/>
        <w:snapToGrid w:val="0"/>
        <w:spacing w:line="360" w:lineRule="auto"/>
        <w:ind w:left="121" w:right="118" w:firstLine="360"/>
        <w:rPr>
          <w:rFonts w:hint="eastAsia" w:ascii="仿宋" w:hAnsi="仿宋" w:eastAsia="仿宋" w:cs="仿宋"/>
          <w:spacing w:val="-1"/>
          <w:sz w:val="32"/>
          <w:szCs w:val="32"/>
          <w:lang w:val="en-US" w:eastAsia="zh-CN"/>
        </w:rPr>
      </w:pPr>
    </w:p>
    <w:p>
      <w:pPr>
        <w:adjustRightInd w:val="0"/>
        <w:snapToGrid w:val="0"/>
        <w:spacing w:line="360" w:lineRule="auto"/>
        <w:rPr>
          <w:rFonts w:hint="eastAsia" w:ascii="仿宋" w:hAnsi="仿宋" w:eastAsia="仿宋" w:cs="仿宋"/>
          <w:sz w:val="48"/>
          <w:szCs w:val="48"/>
        </w:rPr>
      </w:pPr>
    </w:p>
    <w:p>
      <w:pPr>
        <w:adjustRightInd w:val="0"/>
        <w:snapToGrid w:val="0"/>
        <w:spacing w:line="360" w:lineRule="auto"/>
        <w:jc w:val="center"/>
        <w:rPr>
          <w:rFonts w:hint="eastAsia" w:ascii="黑体" w:hAnsi="黑体" w:eastAsia="黑体" w:cs="黑体"/>
          <w:sz w:val="48"/>
          <w:szCs w:val="48"/>
        </w:rPr>
      </w:pPr>
      <w:r>
        <w:rPr>
          <w:rFonts w:hint="eastAsia" w:ascii="黑体" w:hAnsi="黑体" w:eastAsia="黑体" w:cs="黑体"/>
          <w:sz w:val="48"/>
          <w:szCs w:val="48"/>
        </w:rPr>
        <w:t>第二部分</w:t>
      </w:r>
    </w:p>
    <w:p>
      <w:pPr>
        <w:adjustRightInd w:val="0"/>
        <w:snapToGrid w:val="0"/>
        <w:spacing w:line="360" w:lineRule="auto"/>
        <w:jc w:val="center"/>
        <w:rPr>
          <w:rFonts w:hint="eastAsia" w:ascii="黑体" w:hAnsi="黑体" w:eastAsia="黑体" w:cs="黑体"/>
          <w:sz w:val="48"/>
          <w:szCs w:val="48"/>
        </w:rPr>
      </w:pPr>
      <w:r>
        <w:rPr>
          <w:rFonts w:hint="eastAsia" w:ascii="黑体" w:hAnsi="黑体" w:eastAsia="黑体" w:cs="黑体"/>
          <w:sz w:val="48"/>
          <w:szCs w:val="48"/>
        </w:rPr>
        <w:t>开发区</w:t>
      </w:r>
      <w:r>
        <w:rPr>
          <w:rFonts w:hint="eastAsia" w:ascii="黑体" w:hAnsi="黑体" w:eastAsia="黑体" w:cs="黑体"/>
          <w:sz w:val="48"/>
          <w:szCs w:val="48"/>
          <w:lang w:eastAsia="zh-CN"/>
        </w:rPr>
        <w:t>总工会</w:t>
      </w:r>
      <w:r>
        <w:rPr>
          <w:rFonts w:hint="eastAsia" w:ascii="黑体" w:hAnsi="黑体" w:eastAsia="黑体" w:cs="黑体"/>
          <w:sz w:val="48"/>
          <w:szCs w:val="48"/>
        </w:rPr>
        <w:t>201</w:t>
      </w:r>
      <w:r>
        <w:rPr>
          <w:rFonts w:hint="eastAsia" w:ascii="黑体" w:hAnsi="黑体" w:eastAsia="黑体" w:cs="黑体"/>
          <w:sz w:val="48"/>
          <w:szCs w:val="48"/>
          <w:lang w:val="en-US" w:eastAsia="zh-CN"/>
        </w:rPr>
        <w:t>6</w:t>
      </w:r>
      <w:r>
        <w:rPr>
          <w:rFonts w:hint="eastAsia" w:ascii="黑体" w:hAnsi="黑体" w:eastAsia="黑体" w:cs="黑体"/>
          <w:sz w:val="48"/>
          <w:szCs w:val="48"/>
        </w:rPr>
        <w:t>年度部门决算表</w:t>
      </w: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tbl>
      <w:tblPr>
        <w:tblStyle w:val="22"/>
        <w:tblpPr w:leftFromText="180" w:rightFromText="180" w:vertAnchor="text" w:horzAnchor="page" w:tblpX="1025" w:tblpY="186"/>
        <w:tblOverlap w:val="never"/>
        <w:tblW w:w="9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195"/>
        <w:gridCol w:w="455"/>
        <w:gridCol w:w="2195"/>
        <w:gridCol w:w="2195"/>
        <w:gridCol w:w="510"/>
        <w:gridCol w:w="2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9745" w:type="dxa"/>
            <w:gridSpan w:val="6"/>
            <w:vAlign w:val="center"/>
          </w:tcPr>
          <w:p>
            <w:pPr>
              <w:autoSpaceDN w:val="0"/>
              <w:jc w:val="center"/>
              <w:textAlignment w:val="center"/>
              <w:rPr>
                <w:rFonts w:hint="default" w:ascii="黑体" w:hAnsi="黑体" w:eastAsia="黑体"/>
                <w:b w:val="0"/>
                <w:i w:val="0"/>
                <w:color w:val="000000"/>
                <w:sz w:val="28"/>
                <w:u w:val="none"/>
                <w:lang w:eastAsia="zh-CN"/>
              </w:rPr>
            </w:pPr>
            <w:r>
              <w:rPr>
                <w:rFonts w:hint="default" w:ascii="黑体" w:hAnsi="黑体" w:eastAsia="黑体"/>
                <w:b w:val="0"/>
                <w:i w:val="0"/>
                <w:color w:val="000000"/>
                <w:sz w:val="28"/>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15" w:hRule="atLeast"/>
        </w:trPr>
        <w:tc>
          <w:tcPr>
            <w:tcW w:w="2195" w:type="dxa"/>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w:t>
            </w:r>
          </w:p>
        </w:tc>
        <w:tc>
          <w:tcPr>
            <w:tcW w:w="45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19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19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51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195"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15" w:hRule="atLeast"/>
        </w:trPr>
        <w:tc>
          <w:tcPr>
            <w:tcW w:w="219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19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19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51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195"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4845" w:type="dxa"/>
            <w:gridSpan w:val="3"/>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收　　入</w:t>
            </w:r>
          </w:p>
        </w:tc>
        <w:tc>
          <w:tcPr>
            <w:tcW w:w="4900" w:type="dxa"/>
            <w:gridSpan w:val="3"/>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　　目</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行次</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金额</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　　目</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行次</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　　次</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1</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　　次</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一、财政拨款收入</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一、一般公共服务支出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二、上级补助收入</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二、外交支出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三、事业收入</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三、国防支出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32</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四、经营收入</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四、公共安全支出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33</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五、附属单位上缴收入</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五、教育支出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34</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六、其他收入</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6</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六、科学技术支出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35</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7</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七、文化体育与传媒支出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36</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8</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八、社会保障和就业支出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37</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9</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九、医疗卫生与计划生育支出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38</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10</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十、节能环保支出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39</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11</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十一、城乡社区支出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40</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12</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十二、农林水支出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41</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13</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十三、交通运输支出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42</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14</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十四、资源勘探信息等支出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43</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15</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十五、商业服务业等支出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44</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16</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十六、金融支出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45</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17</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十七、援助其他地区支出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46</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18</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十八、国土海洋气象等支出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47</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19</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十九、住房保障支出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48</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二十、粮油物资储备支出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49</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21</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二十一、其他支出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50</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22</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二十二、债务还本支出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51</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23</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二十三、债务付息支出</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52</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24</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53</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本年收入合计</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25</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本年支出合计</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54</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用事业基金弥补收支差额</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26</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结余分配</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55</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年初结转和结余</w:t>
            </w: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27</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年末结转和结余</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56</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p>
        </w:tc>
        <w:tc>
          <w:tcPr>
            <w:tcW w:w="4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28</w:t>
            </w: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219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57</w:t>
            </w:r>
          </w:p>
        </w:tc>
        <w:tc>
          <w:tcPr>
            <w:tcW w:w="2195"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195" w:type="dxa"/>
            <w:tcBorders>
              <w:top w:val="single" w:color="000000" w:sz="4" w:space="0"/>
              <w:left w:val="single" w:color="000000" w:sz="8"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总计</w:t>
            </w:r>
          </w:p>
        </w:tc>
        <w:tc>
          <w:tcPr>
            <w:tcW w:w="455" w:type="dxa"/>
            <w:tcBorders>
              <w:top w:val="single" w:color="000000" w:sz="4" w:space="0"/>
              <w:left w:val="single" w:color="000000" w:sz="4"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29</w:t>
            </w:r>
          </w:p>
        </w:tc>
        <w:tc>
          <w:tcPr>
            <w:tcW w:w="2195" w:type="dxa"/>
            <w:tcBorders>
              <w:top w:val="single" w:color="000000" w:sz="4" w:space="0"/>
              <w:left w:val="single" w:color="000000" w:sz="4" w:space="0"/>
              <w:bottom w:val="single" w:color="000000" w:sz="8"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2195" w:type="dxa"/>
            <w:tcBorders>
              <w:top w:val="single" w:color="000000" w:sz="4" w:space="0"/>
              <w:left w:val="single" w:color="000000" w:sz="4" w:space="0"/>
              <w:bottom w:val="single" w:color="000000" w:sz="8"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总计</w:t>
            </w:r>
          </w:p>
        </w:tc>
        <w:tc>
          <w:tcPr>
            <w:tcW w:w="510" w:type="dxa"/>
            <w:tcBorders>
              <w:top w:val="single" w:color="000000" w:sz="4" w:space="0"/>
              <w:left w:val="single" w:color="000000" w:sz="4"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58</w:t>
            </w:r>
          </w:p>
        </w:tc>
        <w:tc>
          <w:tcPr>
            <w:tcW w:w="2195" w:type="dxa"/>
            <w:tcBorders>
              <w:top w:val="single" w:color="000000" w:sz="4" w:space="0"/>
              <w:left w:val="single" w:color="000000" w:sz="4" w:space="0"/>
              <w:bottom w:val="single" w:color="000000" w:sz="8"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555" w:hRule="atLeast"/>
        </w:trPr>
        <w:tc>
          <w:tcPr>
            <w:tcW w:w="9745" w:type="dxa"/>
            <w:gridSpan w:val="6"/>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注：本表反映部门本年度的总收支和年末结转结余情况。</w:t>
            </w:r>
          </w:p>
        </w:tc>
      </w:tr>
    </w:tbl>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tbl>
      <w:tblPr>
        <w:tblStyle w:val="22"/>
        <w:tblW w:w="89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61"/>
        <w:gridCol w:w="1745"/>
        <w:gridCol w:w="1015"/>
        <w:gridCol w:w="900"/>
        <w:gridCol w:w="900"/>
        <w:gridCol w:w="900"/>
        <w:gridCol w:w="906"/>
        <w:gridCol w:w="901"/>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8929" w:type="dxa"/>
            <w:gridSpan w:val="9"/>
            <w:vAlign w:val="center"/>
          </w:tcPr>
          <w:p>
            <w:pPr>
              <w:autoSpaceDN w:val="0"/>
              <w:jc w:val="center"/>
              <w:textAlignment w:val="center"/>
              <w:rPr>
                <w:rFonts w:hint="default" w:ascii="黑体" w:hAnsi="黑体" w:eastAsia="黑体"/>
                <w:b w:val="0"/>
                <w:i w:val="0"/>
                <w:color w:val="000000"/>
                <w:sz w:val="28"/>
                <w:u w:val="none"/>
                <w:lang w:eastAsia="zh-CN"/>
              </w:rPr>
            </w:pPr>
            <w:r>
              <w:rPr>
                <w:rFonts w:hint="default" w:ascii="黑体" w:hAnsi="黑体" w:eastAsia="黑体"/>
                <w:b w:val="0"/>
                <w:i w:val="0"/>
                <w:color w:val="000000"/>
                <w:sz w:val="28"/>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74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01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74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01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2506" w:type="dxa"/>
            <w:gridSpan w:val="2"/>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 目</w:t>
            </w:r>
          </w:p>
        </w:tc>
        <w:tc>
          <w:tcPr>
            <w:tcW w:w="1015"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本年收入合计</w:t>
            </w:r>
          </w:p>
        </w:tc>
        <w:tc>
          <w:tcPr>
            <w:tcW w:w="900"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财政拨款收入</w:t>
            </w:r>
          </w:p>
        </w:tc>
        <w:tc>
          <w:tcPr>
            <w:tcW w:w="900"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上级补助收入</w:t>
            </w:r>
          </w:p>
        </w:tc>
        <w:tc>
          <w:tcPr>
            <w:tcW w:w="900"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事业收入</w:t>
            </w:r>
          </w:p>
        </w:tc>
        <w:tc>
          <w:tcPr>
            <w:tcW w:w="906"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经营收入</w:t>
            </w:r>
          </w:p>
        </w:tc>
        <w:tc>
          <w:tcPr>
            <w:tcW w:w="901"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附属单位</w:t>
            </w:r>
            <w:r>
              <w:rPr>
                <w:rFonts w:hint="default" w:ascii="宋体" w:hAnsi="宋体" w:eastAsia="宋体"/>
                <w:b/>
                <w:i w:val="0"/>
                <w:color w:val="000000"/>
                <w:sz w:val="16"/>
                <w:u w:val="none"/>
                <w:lang w:eastAsia="zh-CN"/>
              </w:rPr>
              <w:br w:type="textWrapping"/>
            </w:r>
            <w:r>
              <w:rPr>
                <w:rFonts w:hint="default" w:ascii="宋体" w:hAnsi="宋体" w:eastAsia="宋体"/>
                <w:b/>
                <w:i w:val="0"/>
                <w:color w:val="000000"/>
                <w:sz w:val="16"/>
                <w:u w:val="none"/>
                <w:lang w:eastAsia="zh-CN"/>
              </w:rPr>
              <w:t>上缴收入</w:t>
            </w:r>
          </w:p>
        </w:tc>
        <w:tc>
          <w:tcPr>
            <w:tcW w:w="901" w:type="dxa"/>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20"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功能分类</w:t>
            </w:r>
            <w:r>
              <w:rPr>
                <w:rFonts w:hint="default" w:ascii="宋体" w:hAnsi="宋体" w:eastAsia="宋体"/>
                <w:b/>
                <w:i w:val="0"/>
                <w:color w:val="000000"/>
                <w:sz w:val="16"/>
                <w:u w:val="none"/>
                <w:lang w:eastAsia="zh-CN"/>
              </w:rPr>
              <w:br w:type="textWrapping"/>
            </w:r>
            <w:r>
              <w:rPr>
                <w:rFonts w:hint="default" w:ascii="宋体" w:hAnsi="宋体" w:eastAsia="宋体"/>
                <w:b/>
                <w:i w:val="0"/>
                <w:color w:val="000000"/>
                <w:sz w:val="16"/>
                <w:u w:val="none"/>
                <w:lang w:eastAsia="zh-CN"/>
              </w:rPr>
              <w:t>科目编码</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科目名称</w:t>
            </w:r>
          </w:p>
        </w:tc>
        <w:tc>
          <w:tcPr>
            <w:tcW w:w="1015"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0"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0"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0"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6"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1"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1" w:type="dxa"/>
            <w:tcBorders>
              <w:top w:val="single" w:color="000000" w:sz="8" w:space="0"/>
              <w:left w:val="single" w:color="000000" w:sz="4" w:space="0"/>
              <w:bottom w:val="single" w:color="000000" w:sz="4" w:space="0"/>
              <w:right w:val="single" w:color="000000" w:sz="8"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2506"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栏次</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4</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5</w:t>
            </w: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6</w:t>
            </w: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2506"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合计</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201</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一般公共服务支出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群众团体事务</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2012901</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行政运行</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2012902</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一般行政管理事务</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2012903</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机关服务</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2012904</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厂务公开</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2012905</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工会疗养休养</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2012950</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事业运行</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35.17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35.17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20"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2012999</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其他群众团体事务支出</w:t>
            </w:r>
          </w:p>
        </w:tc>
        <w:tc>
          <w:tcPr>
            <w:tcW w:w="1015"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74.60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74.60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8929" w:type="dxa"/>
            <w:gridSpan w:val="9"/>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注：本表反映部门本年度取得的各项收入情况。</w:t>
            </w:r>
          </w:p>
        </w:tc>
      </w:tr>
    </w:tbl>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tbl>
      <w:tblPr>
        <w:tblStyle w:val="22"/>
        <w:tblW w:w="8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61"/>
        <w:gridCol w:w="1745"/>
        <w:gridCol w:w="1099"/>
        <w:gridCol w:w="900"/>
        <w:gridCol w:w="900"/>
        <w:gridCol w:w="906"/>
        <w:gridCol w:w="900"/>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8112" w:type="dxa"/>
            <w:gridSpan w:val="8"/>
            <w:vAlign w:val="center"/>
          </w:tcPr>
          <w:p>
            <w:pPr>
              <w:autoSpaceDN w:val="0"/>
              <w:jc w:val="center"/>
              <w:textAlignment w:val="center"/>
              <w:rPr>
                <w:rFonts w:hint="default" w:ascii="黑体" w:hAnsi="黑体" w:eastAsia="黑体"/>
                <w:b w:val="0"/>
                <w:i w:val="0"/>
                <w:color w:val="000000"/>
                <w:sz w:val="28"/>
                <w:u w:val="none"/>
                <w:lang w:eastAsia="zh-CN"/>
              </w:rPr>
            </w:pPr>
            <w:r>
              <w:rPr>
                <w:rFonts w:hint="default" w:ascii="黑体" w:hAnsi="黑体" w:eastAsia="黑体"/>
                <w:b w:val="0"/>
                <w:i w:val="0"/>
                <w:color w:val="000000"/>
                <w:sz w:val="28"/>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74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099"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745"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099"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2506" w:type="dxa"/>
            <w:gridSpan w:val="2"/>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　　目</w:t>
            </w:r>
          </w:p>
        </w:tc>
        <w:tc>
          <w:tcPr>
            <w:tcW w:w="1099"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本年支出合计</w:t>
            </w:r>
          </w:p>
        </w:tc>
        <w:tc>
          <w:tcPr>
            <w:tcW w:w="900"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基本支出</w:t>
            </w:r>
          </w:p>
        </w:tc>
        <w:tc>
          <w:tcPr>
            <w:tcW w:w="900"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项目支出</w:t>
            </w:r>
          </w:p>
        </w:tc>
        <w:tc>
          <w:tcPr>
            <w:tcW w:w="906"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上缴上级支出</w:t>
            </w:r>
          </w:p>
        </w:tc>
        <w:tc>
          <w:tcPr>
            <w:tcW w:w="900"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经营支出</w:t>
            </w:r>
          </w:p>
        </w:tc>
        <w:tc>
          <w:tcPr>
            <w:tcW w:w="901" w:type="dxa"/>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对附属单位</w:t>
            </w:r>
            <w:r>
              <w:rPr>
                <w:rFonts w:hint="default" w:ascii="宋体" w:hAnsi="宋体" w:eastAsia="宋体"/>
                <w:b/>
                <w:i w:val="0"/>
                <w:color w:val="000000"/>
                <w:sz w:val="16"/>
                <w:u w:val="none"/>
                <w:lang w:eastAsia="zh-CN"/>
              </w:rPr>
              <w:br w:type="textWrapping"/>
            </w:r>
            <w:r>
              <w:rPr>
                <w:rFonts w:hint="default" w:ascii="宋体" w:hAnsi="宋体" w:eastAsia="宋体"/>
                <w:b/>
                <w:i w:val="0"/>
                <w:color w:val="000000"/>
                <w:sz w:val="16"/>
                <w:u w:val="none"/>
                <w:lang w:eastAsia="zh-CN"/>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20"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功能分类</w:t>
            </w:r>
            <w:r>
              <w:rPr>
                <w:rFonts w:hint="default" w:ascii="宋体" w:hAnsi="宋体" w:eastAsia="宋体"/>
                <w:b/>
                <w:i w:val="0"/>
                <w:color w:val="000000"/>
                <w:sz w:val="16"/>
                <w:u w:val="none"/>
                <w:lang w:eastAsia="zh-CN"/>
              </w:rPr>
              <w:br w:type="textWrapping"/>
            </w:r>
            <w:r>
              <w:rPr>
                <w:rFonts w:hint="default" w:ascii="宋体" w:hAnsi="宋体" w:eastAsia="宋体"/>
                <w:b/>
                <w:i w:val="0"/>
                <w:color w:val="000000"/>
                <w:sz w:val="16"/>
                <w:u w:val="none"/>
                <w:lang w:eastAsia="zh-CN"/>
              </w:rPr>
              <w:t>科目编码</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科目名称</w:t>
            </w:r>
          </w:p>
        </w:tc>
        <w:tc>
          <w:tcPr>
            <w:tcW w:w="1099"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0"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0"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6"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0"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901" w:type="dxa"/>
            <w:tcBorders>
              <w:top w:val="single" w:color="000000" w:sz="8" w:space="0"/>
              <w:left w:val="single" w:color="000000" w:sz="4" w:space="0"/>
              <w:bottom w:val="single" w:color="000000" w:sz="4" w:space="0"/>
              <w:right w:val="single" w:color="000000" w:sz="8"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2506"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栏次</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4</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5</w:t>
            </w: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2506"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合计</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35.17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74.60 </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群众团体事务</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35.17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74.60 </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2012901</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行政运行</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2012902</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一般行政管理事务</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2012903</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机关服务</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2012904</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厂务公开</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2012905</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工会疗养休养</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2012950</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事业运行</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35.17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35.17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20" w:hRule="atLeast"/>
        </w:trPr>
        <w:tc>
          <w:tcPr>
            <w:tcW w:w="761"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2012999</w:t>
            </w:r>
          </w:p>
        </w:tc>
        <w:tc>
          <w:tcPr>
            <w:tcW w:w="17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其他群众团体事务支出</w:t>
            </w: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74.60 </w:t>
            </w: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74.60 </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8112" w:type="dxa"/>
            <w:gridSpan w:val="8"/>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注：本表反映部门本年度各项支出情况。</w:t>
            </w:r>
          </w:p>
        </w:tc>
      </w:tr>
    </w:tbl>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tbl>
      <w:tblPr>
        <w:tblStyle w:val="22"/>
        <w:tblpPr w:leftFromText="180" w:rightFromText="180" w:vertAnchor="text" w:horzAnchor="page" w:tblpX="632" w:tblpY="778"/>
        <w:tblOverlap w:val="never"/>
        <w:tblW w:w="10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944"/>
        <w:gridCol w:w="464"/>
        <w:gridCol w:w="1943"/>
        <w:gridCol w:w="1940"/>
        <w:gridCol w:w="471"/>
        <w:gridCol w:w="1154"/>
        <w:gridCol w:w="901"/>
        <w:gridCol w:w="1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10762" w:type="dxa"/>
            <w:gridSpan w:val="8"/>
            <w:vAlign w:val="bottom"/>
          </w:tcPr>
          <w:p>
            <w:pPr>
              <w:autoSpaceDN w:val="0"/>
              <w:jc w:val="center"/>
              <w:textAlignment w:val="bottom"/>
              <w:rPr>
                <w:rFonts w:hint="default" w:ascii="黑体" w:hAnsi="黑体" w:eastAsia="黑体"/>
                <w:b w:val="0"/>
                <w:i w:val="0"/>
                <w:color w:val="000000"/>
                <w:sz w:val="28"/>
                <w:u w:val="none"/>
                <w:lang w:eastAsia="zh-CN"/>
              </w:rPr>
            </w:pPr>
            <w:r>
              <w:rPr>
                <w:rFonts w:hint="default" w:ascii="黑体" w:hAnsi="黑体" w:eastAsia="黑体"/>
                <w:b w:val="0"/>
                <w:i w:val="0"/>
                <w:color w:val="000000"/>
                <w:sz w:val="28"/>
                <w:u w:val="none"/>
                <w:lang w:eastAsia="zh-CN"/>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943"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94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47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154" w:type="dxa"/>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943"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940"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471"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154" w:type="dxa"/>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4351" w:type="dxa"/>
            <w:gridSpan w:val="3"/>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收　　入</w:t>
            </w:r>
          </w:p>
        </w:tc>
        <w:tc>
          <w:tcPr>
            <w:tcW w:w="6411" w:type="dxa"/>
            <w:gridSpan w:val="5"/>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80"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　　目</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行次</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金额</w:t>
            </w: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　　目</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行次</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合计</w:t>
            </w: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一般公共预算财政拨款</w:t>
            </w:r>
            <w:r>
              <w:rPr>
                <w:rFonts w:hint="default" w:ascii="宋体" w:hAnsi="宋体"/>
                <w:sz w:val="24"/>
              </w:rPr>
              <w:br w:type="textWrapping"/>
            </w: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政府性基金预算财政拨款</w:t>
            </w:r>
            <w:r>
              <w:rPr>
                <w:rFonts w:hint="default" w:ascii="宋体" w:hAnsi="宋体"/>
                <w:sz w:val="24"/>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　　次</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1</w:t>
            </w: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    次</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w:t>
            </w: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w:t>
            </w: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一、一般公共预算财政拨款</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一、一般公共服务支出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109.77 </w:t>
            </w: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二、政府性基金预算财政拨款</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二、外交支出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32</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三、国防支出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33</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四、公共安全支出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34</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五、教育支出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35</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6</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六、科学技术支出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36</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7</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七、文化体育与传媒支出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37</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8</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八、社会保障和就业支出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38</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9</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九、医疗卫生与计划生育支出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39</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10</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十、节能环保支出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40</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11</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十一、城乡社区支出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41</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12</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十二、农林水支出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42</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13</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十三、交通运输支出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43</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14</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十四、资源勘探信息等支出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44</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15</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十五、商业服务业等支出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45</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16</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十六、金融支出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46</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17</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十七、援助其他地区支出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47</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18</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十八、国土海洋气象等支出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48</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19</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十九、住房保障支出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49</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二十、粮油物资储备支出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50</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21</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二十一、其他支出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51</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22</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二十二、债务还本支出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52</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23</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二十三、债务付息支出</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53</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24</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54</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本年收入合计</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25</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本年支出合计</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55</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年初财政拨款结转和结余</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26</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年末财政拨款结转和结余</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56</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一般公共预算财政拨款</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27</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57</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政府性基金预算财政拨款</w:t>
            </w: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28</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58</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6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29</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59</w:t>
            </w:r>
          </w:p>
        </w:tc>
        <w:tc>
          <w:tcPr>
            <w:tcW w:w="115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901"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9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1944" w:type="dxa"/>
            <w:tcBorders>
              <w:top w:val="single" w:color="000000" w:sz="4" w:space="0"/>
              <w:left w:val="single" w:color="000000" w:sz="8"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总计</w:t>
            </w:r>
          </w:p>
        </w:tc>
        <w:tc>
          <w:tcPr>
            <w:tcW w:w="464" w:type="dxa"/>
            <w:tcBorders>
              <w:top w:val="single" w:color="000000" w:sz="4" w:space="0"/>
              <w:left w:val="single" w:color="000000" w:sz="4"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30</w:t>
            </w:r>
          </w:p>
        </w:tc>
        <w:tc>
          <w:tcPr>
            <w:tcW w:w="1943" w:type="dxa"/>
            <w:tcBorders>
              <w:top w:val="single" w:color="000000" w:sz="4" w:space="0"/>
              <w:left w:val="single" w:color="000000" w:sz="4" w:space="0"/>
              <w:bottom w:val="single" w:color="000000" w:sz="8"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1940" w:type="dxa"/>
            <w:tcBorders>
              <w:top w:val="single" w:color="000000" w:sz="4" w:space="0"/>
              <w:left w:val="single" w:color="000000" w:sz="4"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总计</w:t>
            </w:r>
          </w:p>
        </w:tc>
        <w:tc>
          <w:tcPr>
            <w:tcW w:w="471" w:type="dxa"/>
            <w:tcBorders>
              <w:top w:val="single" w:color="000000" w:sz="4" w:space="0"/>
              <w:left w:val="single" w:color="000000" w:sz="4" w:space="0"/>
              <w:bottom w:val="single" w:color="000000" w:sz="8"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60</w:t>
            </w:r>
          </w:p>
        </w:tc>
        <w:tc>
          <w:tcPr>
            <w:tcW w:w="1154" w:type="dxa"/>
            <w:tcBorders>
              <w:top w:val="single" w:color="000000" w:sz="4" w:space="0"/>
              <w:left w:val="single" w:color="000000" w:sz="4" w:space="0"/>
              <w:bottom w:val="single" w:color="000000" w:sz="8"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901" w:type="dxa"/>
            <w:tcBorders>
              <w:top w:val="single" w:color="000000" w:sz="4" w:space="0"/>
              <w:left w:val="single" w:color="000000" w:sz="4" w:space="0"/>
              <w:bottom w:val="single" w:color="000000" w:sz="8"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1945" w:type="dxa"/>
            <w:tcBorders>
              <w:top w:val="single" w:color="000000" w:sz="4" w:space="0"/>
              <w:left w:val="single" w:color="000000" w:sz="4" w:space="0"/>
              <w:bottom w:val="single" w:color="000000" w:sz="8"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95" w:hRule="atLeast"/>
        </w:trPr>
        <w:tc>
          <w:tcPr>
            <w:tcW w:w="10762" w:type="dxa"/>
            <w:gridSpan w:val="8"/>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注：本表反映部门本年度一般公共预算财政拨款和政府性基金预算财政拨款的总收支和年末结转结余情况。             </w:t>
            </w:r>
          </w:p>
        </w:tc>
      </w:tr>
    </w:tbl>
    <w:p>
      <w:pPr>
        <w:adjustRightInd w:val="0"/>
        <w:snapToGrid w:val="0"/>
        <w:spacing w:line="360" w:lineRule="auto"/>
        <w:rPr>
          <w:rFonts w:ascii="仿宋" w:hAnsi="仿宋" w:eastAsia="仿宋"/>
          <w:sz w:val="32"/>
          <w:szCs w:val="32"/>
        </w:rPr>
      </w:pPr>
    </w:p>
    <w:tbl>
      <w:tblPr>
        <w:tblStyle w:val="22"/>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486"/>
        <w:gridCol w:w="2874"/>
        <w:gridCol w:w="1268"/>
        <w:gridCol w:w="1266"/>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67" w:hRule="atLeast"/>
        </w:trPr>
        <w:tc>
          <w:tcPr>
            <w:tcW w:w="8380" w:type="dxa"/>
            <w:gridSpan w:val="5"/>
            <w:vAlign w:val="bottom"/>
          </w:tcPr>
          <w:p>
            <w:pPr>
              <w:autoSpaceDN w:val="0"/>
              <w:jc w:val="center"/>
              <w:textAlignment w:val="bottom"/>
              <w:rPr>
                <w:rFonts w:hint="default" w:ascii="黑体" w:hAnsi="黑体" w:eastAsia="黑体"/>
                <w:b w:val="0"/>
                <w:i w:val="0"/>
                <w:color w:val="000000"/>
                <w:sz w:val="28"/>
                <w:u w:val="none"/>
                <w:lang w:eastAsia="zh-CN"/>
              </w:rPr>
            </w:pPr>
          </w:p>
          <w:p>
            <w:pPr>
              <w:autoSpaceDN w:val="0"/>
              <w:jc w:val="center"/>
              <w:textAlignment w:val="bottom"/>
              <w:rPr>
                <w:rFonts w:hint="default" w:ascii="黑体" w:hAnsi="黑体" w:eastAsia="黑体"/>
                <w:b w:val="0"/>
                <w:i w:val="0"/>
                <w:color w:val="000000"/>
                <w:sz w:val="28"/>
                <w:u w:val="none"/>
                <w:lang w:eastAsia="zh-CN"/>
              </w:rPr>
            </w:pPr>
          </w:p>
          <w:p>
            <w:pPr>
              <w:autoSpaceDN w:val="0"/>
              <w:jc w:val="center"/>
              <w:textAlignment w:val="bottom"/>
              <w:rPr>
                <w:rFonts w:hint="default" w:ascii="黑体" w:hAnsi="黑体" w:eastAsia="黑体"/>
                <w:b w:val="0"/>
                <w:i w:val="0"/>
                <w:color w:val="000000"/>
                <w:sz w:val="28"/>
                <w:u w:val="none"/>
                <w:lang w:eastAsia="zh-CN"/>
              </w:rPr>
            </w:pPr>
            <w:r>
              <w:rPr>
                <w:rFonts w:hint="default" w:ascii="黑体" w:hAnsi="黑体" w:eastAsia="黑体"/>
                <w:b w:val="0"/>
                <w:i w:val="0"/>
                <w:color w:val="000000"/>
                <w:sz w:val="28"/>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18" w:hRule="atLeast"/>
        </w:trPr>
        <w:tc>
          <w:tcPr>
            <w:tcW w:w="148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874"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268"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26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486"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18" w:hRule="atLeast"/>
        </w:trPr>
        <w:tc>
          <w:tcPr>
            <w:tcW w:w="148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874"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268"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26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486"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39" w:hRule="atLeast"/>
        </w:trPr>
        <w:tc>
          <w:tcPr>
            <w:tcW w:w="4360" w:type="dxa"/>
            <w:gridSpan w:val="2"/>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项目</w:t>
            </w:r>
          </w:p>
        </w:tc>
        <w:tc>
          <w:tcPr>
            <w:tcW w:w="1268"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本年支出合计</w:t>
            </w:r>
          </w:p>
        </w:tc>
        <w:tc>
          <w:tcPr>
            <w:tcW w:w="1266" w:type="dxa"/>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基本支出</w:t>
            </w:r>
          </w:p>
        </w:tc>
        <w:tc>
          <w:tcPr>
            <w:tcW w:w="1486" w:type="dxa"/>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46"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功能分类</w:t>
            </w:r>
            <w:r>
              <w:rPr>
                <w:rFonts w:hint="default" w:ascii="宋体" w:hAnsi="宋体" w:eastAsia="宋体"/>
                <w:b/>
                <w:i w:val="0"/>
                <w:color w:val="000000"/>
                <w:sz w:val="16"/>
                <w:u w:val="none"/>
                <w:lang w:eastAsia="zh-CN"/>
              </w:rPr>
              <w:br w:type="textWrapping"/>
            </w:r>
            <w:r>
              <w:rPr>
                <w:rFonts w:hint="default" w:ascii="宋体" w:hAnsi="宋体" w:eastAsia="宋体"/>
                <w:b/>
                <w:i w:val="0"/>
                <w:color w:val="000000"/>
                <w:sz w:val="16"/>
                <w:u w:val="none"/>
                <w:lang w:eastAsia="zh-CN"/>
              </w:rPr>
              <w:t>科目编码</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科目名称</w:t>
            </w:r>
          </w:p>
        </w:tc>
        <w:tc>
          <w:tcPr>
            <w:tcW w:w="1268"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266" w:type="dxa"/>
            <w:tcBorders>
              <w:top w:val="single" w:color="000000" w:sz="8"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486" w:type="dxa"/>
            <w:tcBorders>
              <w:top w:val="single" w:color="000000" w:sz="8" w:space="0"/>
              <w:left w:val="single" w:color="000000" w:sz="4" w:space="0"/>
              <w:bottom w:val="single" w:color="000000" w:sz="4" w:space="0"/>
              <w:right w:val="single" w:color="000000" w:sz="8"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4360"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栏次</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1</w:t>
            </w: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w:t>
            </w: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4360" w:type="dxa"/>
            <w:gridSpan w:val="2"/>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合计</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35.17 </w:t>
            </w: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74.60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201</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一般公共服务支出</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109.77 </w:t>
            </w: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35.17 </w:t>
            </w: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74.60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群众团体事务</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2012901</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行政运行</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2012902</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一般行政管理事务</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2012903</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机关服务</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2012904</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厂务公开</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2012905</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工会疗养休养</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2012950</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事业运行</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35.17 </w:t>
            </w: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35.17 </w:t>
            </w: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1486"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2012999</w:t>
            </w:r>
          </w:p>
        </w:tc>
        <w:tc>
          <w:tcPr>
            <w:tcW w:w="287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其他群众团体事务支出</w:t>
            </w:r>
          </w:p>
        </w:tc>
        <w:tc>
          <w:tcPr>
            <w:tcW w:w="126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74.60 </w:t>
            </w:r>
          </w:p>
        </w:tc>
        <w:tc>
          <w:tcPr>
            <w:tcW w:w="1266"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1486"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74.60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433" w:hRule="atLeast"/>
        </w:trPr>
        <w:tc>
          <w:tcPr>
            <w:tcW w:w="8380" w:type="dxa"/>
            <w:gridSpan w:val="5"/>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注：本表反映部门本年度一般公共预算财政拨款实际支出情况。             </w:t>
            </w:r>
          </w:p>
        </w:tc>
      </w:tr>
    </w:tbl>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tbl>
      <w:tblPr>
        <w:tblStyle w:val="22"/>
        <w:tblW w:w="94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859"/>
        <w:gridCol w:w="2042"/>
        <w:gridCol w:w="1843"/>
        <w:gridCol w:w="858"/>
        <w:gridCol w:w="2046"/>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9493" w:type="dxa"/>
            <w:gridSpan w:val="6"/>
            <w:vAlign w:val="bottom"/>
          </w:tcPr>
          <w:p>
            <w:pPr>
              <w:autoSpaceDN w:val="0"/>
              <w:jc w:val="center"/>
              <w:textAlignment w:val="bottom"/>
              <w:rPr>
                <w:rFonts w:hint="default" w:ascii="黑体" w:hAnsi="黑体" w:eastAsia="黑体"/>
                <w:b w:val="0"/>
                <w:i w:val="0"/>
                <w:color w:val="000000"/>
                <w:sz w:val="28"/>
                <w:u w:val="none"/>
                <w:lang w:eastAsia="zh-CN"/>
              </w:rPr>
            </w:pPr>
            <w:r>
              <w:rPr>
                <w:rFonts w:hint="default" w:ascii="黑体" w:hAnsi="黑体" w:eastAsia="黑体"/>
                <w:b w:val="0"/>
                <w:i w:val="0"/>
                <w:color w:val="000000"/>
                <w:sz w:val="28"/>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859"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858"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04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845"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859"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858"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2046" w:type="dxa"/>
            <w:vAlign w:val="center"/>
          </w:tcPr>
          <w:p>
            <w:pPr>
              <w:autoSpaceDN w:val="0"/>
              <w:jc w:val="left"/>
              <w:textAlignment w:val="center"/>
              <w:rPr>
                <w:rFonts w:hint="default" w:ascii="宋体" w:hAnsi="宋体" w:eastAsia="宋体"/>
                <w:b w:val="0"/>
                <w:i w:val="0"/>
                <w:color w:val="000000"/>
                <w:sz w:val="16"/>
                <w:u w:val="none"/>
                <w:lang w:eastAsia="zh-CN"/>
              </w:rPr>
            </w:pPr>
          </w:p>
        </w:tc>
        <w:tc>
          <w:tcPr>
            <w:tcW w:w="1845" w:type="dxa"/>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4744" w:type="dxa"/>
            <w:gridSpan w:val="3"/>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人员经费</w:t>
            </w:r>
          </w:p>
        </w:tc>
        <w:tc>
          <w:tcPr>
            <w:tcW w:w="4749" w:type="dxa"/>
            <w:gridSpan w:val="3"/>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经济分类科目编码</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科目名称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金额</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科目名称</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center"/>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301</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工资福利支出</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24.96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商品和服务支出</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30101</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基本工资</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15.32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办公费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30102</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津贴补贴</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印刷费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30103</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奖金</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30203</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咨询费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30104</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其他社会保障缴费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1.70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30204</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手续费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30106</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伙食补助费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水费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30107</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绩效工资</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电费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30108</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机关事业单位基本养老保险缴费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5.67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邮电费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30109</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职业年金缴费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2.27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取暖费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30199</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其他工资福利支出</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30209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物业管理费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303</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对个人和家庭的补助</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 xml:space="preserve">3.40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差旅费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30301</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离休费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30212</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因公出国(境)费用 </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30302</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退休费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维修(护)费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30303</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退职(役)费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30214</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租赁费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30304</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抚恤金</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会议费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30305</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生活补助</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培训费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30306</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救济费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公务接待费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30307</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医疗费</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专用材料费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30308</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助学金</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30224</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被装购置费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30309</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奖励金</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30225</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专用燃料费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30310</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生产补贴</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劳务费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30311</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住房公积金</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3.41 </w:t>
            </w: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委托业务费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30312</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提租补贴</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工会经费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30313</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购房补贴</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福利费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30314</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采暖补贴</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公务用车运行维护费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30315</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物业服务补贴</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其他交通费用</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30399</w:t>
            </w: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其他对个人和家庭的补助支出</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30240</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税金及附加费用</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其他商品和服务支出</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30224</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被装购置费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30225</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专用燃料费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劳务费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委托业务费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工会经费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30229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福利费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公务用车运行维护费</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其他交通费用</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30240</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税金及附加费用</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其他商品和服务支出</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其他资本性支出</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31001</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房屋建筑物购建</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办公设备购置</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31003</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专用设备购置</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31005</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基础设施建设</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31006</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大型修缮</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31007</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信息网络及软件购置更新</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31008</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物资储备</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31009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土地补偿</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31010</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安置补助</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31011</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地上附着物和青苗补偿</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31012</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拆迁补偿</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31013</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公务用车购置</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31019</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其他交通工具购置</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31020</w:t>
            </w:r>
          </w:p>
        </w:tc>
        <w:tc>
          <w:tcPr>
            <w:tcW w:w="2046"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产权参股</w:t>
            </w:r>
          </w:p>
        </w:tc>
        <w:tc>
          <w:tcPr>
            <w:tcW w:w="1845" w:type="dxa"/>
            <w:tcBorders>
              <w:top w:val="single" w:color="000000" w:sz="4" w:space="0"/>
              <w:left w:val="single" w:color="000000" w:sz="4" w:space="0"/>
              <w:bottom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859" w:type="dxa"/>
            <w:tcBorders>
              <w:top w:val="single" w:color="000000" w:sz="4" w:space="0"/>
              <w:left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2042" w:type="dxa"/>
            <w:tcBorders>
              <w:top w:val="single" w:color="000000" w:sz="4" w:space="0"/>
              <w:left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p>
        </w:tc>
        <w:tc>
          <w:tcPr>
            <w:tcW w:w="1843" w:type="dxa"/>
            <w:tcBorders>
              <w:top w:val="single" w:color="000000" w:sz="4" w:space="0"/>
              <w:left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p>
        </w:tc>
        <w:tc>
          <w:tcPr>
            <w:tcW w:w="858" w:type="dxa"/>
            <w:tcBorders>
              <w:top w:val="single" w:color="000000" w:sz="4" w:space="0"/>
              <w:left w:val="single" w:color="000000" w:sz="4" w:space="0"/>
              <w:bottom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31099</w:t>
            </w:r>
          </w:p>
        </w:tc>
        <w:tc>
          <w:tcPr>
            <w:tcW w:w="2046" w:type="dxa"/>
            <w:tcBorders>
              <w:top w:val="single" w:color="000000" w:sz="4" w:space="0"/>
              <w:left w:val="single" w:color="000000" w:sz="4" w:space="0"/>
              <w:bottom w:val="single" w:color="000000" w:sz="8" w:space="0"/>
              <w:right w:val="single" w:color="000000" w:sz="4" w:space="0"/>
            </w:tcBorders>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  其他资本性支出</w:t>
            </w:r>
          </w:p>
        </w:tc>
        <w:tc>
          <w:tcPr>
            <w:tcW w:w="1845" w:type="dxa"/>
            <w:tcBorders>
              <w:top w:val="single" w:color="000000" w:sz="4" w:space="0"/>
              <w:left w:val="single" w:color="000000" w:sz="4"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00" w:hRule="atLeast"/>
        </w:trPr>
        <w:tc>
          <w:tcPr>
            <w:tcW w:w="2901" w:type="dxa"/>
            <w:gridSpan w:val="2"/>
            <w:tcBorders>
              <w:top w:val="single" w:color="000000" w:sz="4" w:space="0"/>
              <w:left w:val="single" w:color="000000" w:sz="8" w:space="0"/>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人员经费合计</w:t>
            </w:r>
          </w:p>
        </w:tc>
        <w:tc>
          <w:tcPr>
            <w:tcW w:w="1843" w:type="dxa"/>
            <w:tcBorders>
              <w:top w:val="single" w:color="000000" w:sz="4" w:space="0"/>
              <w:left w:val="single" w:color="000000" w:sz="4" w:space="0"/>
              <w:bottom w:val="single" w:color="000000" w:sz="8" w:space="0"/>
              <w:right w:val="single" w:color="000000" w:sz="4"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28.37 </w:t>
            </w:r>
          </w:p>
        </w:tc>
        <w:tc>
          <w:tcPr>
            <w:tcW w:w="2904" w:type="dxa"/>
            <w:gridSpan w:val="2"/>
            <w:tcBorders>
              <w:top w:val="single" w:color="000000" w:sz="4" w:space="0"/>
              <w:left w:val="single" w:color="000000" w:sz="4" w:space="0"/>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公用经费合计</w:t>
            </w:r>
          </w:p>
        </w:tc>
        <w:tc>
          <w:tcPr>
            <w:tcW w:w="1845" w:type="dxa"/>
            <w:tcBorders>
              <w:top w:val="single" w:color="000000" w:sz="4" w:space="0"/>
              <w:left w:val="single" w:color="000000" w:sz="4" w:space="0"/>
              <w:bottom w:val="single" w:color="000000" w:sz="8" w:space="0"/>
              <w:right w:val="single" w:color="000000" w:sz="8" w:space="0"/>
            </w:tcBorders>
            <w:vAlign w:val="center"/>
          </w:tcPr>
          <w:p>
            <w:pPr>
              <w:autoSpaceDN w:val="0"/>
              <w:jc w:val="righ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70" w:hRule="atLeast"/>
        </w:trPr>
        <w:tc>
          <w:tcPr>
            <w:tcW w:w="9493" w:type="dxa"/>
            <w:gridSpan w:val="6"/>
            <w:vAlign w:val="center"/>
          </w:tcPr>
          <w:p>
            <w:pPr>
              <w:autoSpaceDN w:val="0"/>
              <w:jc w:val="left"/>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 xml:space="preserve">注：本表反映部门本年度一般公共预算财政拨款基本支出明细情况。    </w:t>
            </w:r>
          </w:p>
        </w:tc>
      </w:tr>
    </w:tbl>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tbl>
      <w:tblPr>
        <w:tblStyle w:val="22"/>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autoSpaceDN w:val="0"/>
              <w:jc w:val="right"/>
              <w:textAlignment w:val="center"/>
              <w:rPr>
                <w:rFonts w:hint="eastAsia" w:ascii="宋体" w:cs="宋体"/>
                <w:b/>
                <w:color w:val="000000"/>
                <w:sz w:val="16"/>
                <w:szCs w:val="16"/>
              </w:rPr>
            </w:pPr>
            <w:r>
              <w:rPr>
                <w:rFonts w:hint="default" w:ascii="宋体" w:hAnsi="宋体" w:eastAsia="宋体"/>
                <w:b/>
                <w:i w:val="0"/>
                <w:color w:val="000000"/>
                <w:sz w:val="16"/>
                <w:u w:val="none"/>
                <w:lang w:eastAsia="zh-CN"/>
              </w:rPr>
              <w:t xml:space="preserve">1.62 </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color w:val="000000"/>
                <w:sz w:val="16"/>
                <w:szCs w:val="16"/>
              </w:rPr>
            </w:pPr>
            <w:r>
              <w:rPr>
                <w:rFonts w:hint="default" w:ascii="宋体" w:hAnsi="宋体" w:eastAsia="宋体"/>
                <w:b w:val="0"/>
                <w:i w:val="0"/>
                <w:color w:val="000000"/>
                <w:sz w:val="16"/>
                <w:u w:val="none"/>
                <w:lang w:eastAsia="zh-CN"/>
              </w:rPr>
              <w:t xml:space="preserve">0.00 </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hint="eastAsia" w:ascii="宋体" w:cs="宋体"/>
                <w:color w:val="000000"/>
                <w:sz w:val="16"/>
                <w:szCs w:val="16"/>
              </w:rPr>
            </w:pPr>
            <w:r>
              <w:rPr>
                <w:rFonts w:hint="default" w:ascii="宋体" w:hAnsi="宋体" w:eastAsia="宋体"/>
                <w:b w:val="0"/>
                <w:i w:val="0"/>
                <w:color w:val="000000"/>
                <w:sz w:val="16"/>
                <w:u w:val="none"/>
                <w:lang w:eastAsia="zh-CN"/>
              </w:rPr>
              <w:t xml:space="preserve">1.50 </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color w:val="000000"/>
                <w:sz w:val="16"/>
                <w:szCs w:val="16"/>
              </w:rPr>
            </w:pP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hint="eastAsia" w:ascii="宋体" w:cs="宋体"/>
                <w:color w:val="000000"/>
                <w:sz w:val="16"/>
                <w:szCs w:val="16"/>
              </w:rPr>
            </w:pPr>
            <w:r>
              <w:rPr>
                <w:rFonts w:hint="default" w:ascii="宋体" w:hAnsi="宋体" w:eastAsia="宋体"/>
                <w:b w:val="0"/>
                <w:i w:val="0"/>
                <w:color w:val="000000"/>
                <w:sz w:val="16"/>
                <w:u w:val="none"/>
                <w:lang w:eastAsia="zh-CN"/>
              </w:rPr>
              <w:t xml:space="preserve">1.50 </w:t>
            </w:r>
          </w:p>
        </w:tc>
        <w:tc>
          <w:tcPr>
            <w:tcW w:w="915" w:type="dxa"/>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hint="eastAsia" w:ascii="宋体" w:cs="宋体"/>
                <w:color w:val="000000"/>
                <w:sz w:val="16"/>
                <w:szCs w:val="16"/>
              </w:rPr>
            </w:pPr>
            <w:r>
              <w:rPr>
                <w:rFonts w:hint="default" w:ascii="宋体" w:hAnsi="宋体" w:eastAsia="宋体"/>
                <w:b w:val="0"/>
                <w:i w:val="0"/>
                <w:color w:val="000000"/>
                <w:sz w:val="16"/>
                <w:u w:val="none"/>
                <w:lang w:eastAsia="zh-CN"/>
              </w:rPr>
              <w:t xml:space="preserve">0.12 </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b/>
                <w:color w:val="000000"/>
                <w:sz w:val="16"/>
                <w:szCs w:val="16"/>
              </w:rPr>
            </w:pPr>
            <w:r>
              <w:rPr>
                <w:rFonts w:hint="default" w:ascii="宋体" w:hAnsi="宋体" w:eastAsia="宋体"/>
                <w:b/>
                <w:i w:val="0"/>
                <w:color w:val="000000"/>
                <w:sz w:val="16"/>
                <w:u w:val="none"/>
                <w:lang w:eastAsia="zh-CN"/>
              </w:rPr>
              <w:t xml:space="preserve">1.62 </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color w:val="000000"/>
                <w:sz w:val="16"/>
                <w:szCs w:val="16"/>
              </w:rPr>
            </w:pPr>
            <w:r>
              <w:rPr>
                <w:rFonts w:hint="default" w:ascii="宋体" w:hAnsi="宋体" w:eastAsia="宋体"/>
                <w:b w:val="0"/>
                <w:i w:val="0"/>
                <w:color w:val="000000"/>
                <w:sz w:val="16"/>
                <w:u w:val="none"/>
                <w:lang w:eastAsia="zh-CN"/>
              </w:rPr>
              <w:t xml:space="preserve">0.00 </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color w:val="000000"/>
                <w:sz w:val="16"/>
                <w:szCs w:val="16"/>
              </w:rPr>
            </w:pPr>
            <w:r>
              <w:rPr>
                <w:rFonts w:hint="default" w:ascii="宋体" w:hAnsi="宋体" w:eastAsia="宋体"/>
                <w:b w:val="0"/>
                <w:i w:val="0"/>
                <w:color w:val="000000"/>
                <w:sz w:val="16"/>
                <w:u w:val="none"/>
                <w:lang w:eastAsia="zh-CN"/>
              </w:rPr>
              <w:t xml:space="preserve">1.50 </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vAlign w:val="center"/>
          </w:tcPr>
          <w:p>
            <w:pPr>
              <w:autoSpaceDN w:val="0"/>
              <w:jc w:val="right"/>
              <w:textAlignment w:val="center"/>
              <w:rPr>
                <w:rFonts w:ascii="宋体" w:cs="宋体"/>
                <w:color w:val="000000"/>
                <w:sz w:val="16"/>
                <w:szCs w:val="16"/>
              </w:rPr>
            </w:pPr>
            <w:r>
              <w:rPr>
                <w:rFonts w:hint="default" w:ascii="宋体" w:hAnsi="宋体" w:eastAsia="宋体"/>
                <w:b w:val="0"/>
                <w:i w:val="0"/>
                <w:color w:val="000000"/>
                <w:sz w:val="16"/>
                <w:u w:val="none"/>
                <w:lang w:eastAsia="zh-CN"/>
              </w:rPr>
              <w:t xml:space="preserve">1.50 </w:t>
            </w:r>
          </w:p>
        </w:tc>
        <w:tc>
          <w:tcPr>
            <w:tcW w:w="870" w:type="dxa"/>
            <w:tcBorders>
              <w:top w:val="single" w:color="000000" w:sz="4" w:space="0"/>
              <w:left w:val="single" w:color="000000" w:sz="4" w:space="0"/>
              <w:bottom w:val="single" w:color="000000" w:sz="12" w:space="0"/>
              <w:right w:val="single" w:color="000000" w:sz="12" w:space="0"/>
            </w:tcBorders>
            <w:vAlign w:val="center"/>
          </w:tcPr>
          <w:p>
            <w:pPr>
              <w:autoSpaceDN w:val="0"/>
              <w:jc w:val="right"/>
              <w:textAlignment w:val="center"/>
              <w:rPr>
                <w:rFonts w:ascii="宋体" w:cs="宋体"/>
                <w:color w:val="000000"/>
                <w:sz w:val="16"/>
                <w:szCs w:val="16"/>
              </w:rPr>
            </w:pPr>
            <w:r>
              <w:rPr>
                <w:rFonts w:hint="default" w:ascii="宋体" w:hAnsi="宋体" w:eastAsia="宋体"/>
                <w:b/>
                <w:i w:val="0"/>
                <w:color w:val="000000"/>
                <w:sz w:val="16"/>
                <w:u w:val="none"/>
                <w:lang w:eastAsia="zh-CN"/>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tbl>
      <w:tblPr>
        <w:tblStyle w:val="22"/>
        <w:tblW w:w="1050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color w:val="auto"/>
                <w:kern w:val="0"/>
                <w:sz w:val="20"/>
                <w:szCs w:val="20"/>
              </w:rPr>
              <w:t>说明：</w:t>
            </w:r>
            <w:r>
              <w:rPr>
                <w:rFonts w:hint="eastAsia" w:ascii="宋体" w:hAnsi="宋体" w:cs="宋体"/>
                <w:b/>
                <w:color w:val="auto"/>
                <w:kern w:val="0"/>
                <w:sz w:val="20"/>
                <w:szCs w:val="20"/>
                <w:lang w:eastAsia="zh-CN"/>
              </w:rPr>
              <w:t>总工会</w:t>
            </w:r>
            <w:r>
              <w:rPr>
                <w:rFonts w:hint="eastAsia" w:ascii="宋体" w:hAnsi="宋体" w:cs="宋体"/>
                <w:b/>
                <w:color w:val="auto"/>
                <w:kern w:val="0"/>
                <w:sz w:val="20"/>
                <w:szCs w:val="20"/>
              </w:rPr>
              <w:t>没有政府性基金收入，也没有使用政府性基金安排的支出，故本表无数据。</w:t>
            </w:r>
          </w:p>
        </w:tc>
      </w:tr>
    </w:tbl>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rPr>
          <w:rFonts w:hint="eastAsia" w:ascii="仿宋" w:hAnsi="仿宋" w:eastAsia="仿宋"/>
          <w:sz w:val="32"/>
          <w:szCs w:val="32"/>
          <w:lang w:eastAsia="zh-CN"/>
        </w:rPr>
      </w:pPr>
    </w:p>
    <w:p>
      <w:pPr>
        <w:adjustRightInd w:val="0"/>
        <w:snapToGrid w:val="0"/>
        <w:spacing w:line="360" w:lineRule="auto"/>
        <w:jc w:val="center"/>
        <w:rPr>
          <w:rFonts w:hint="eastAsia" w:ascii="黑体" w:hAnsi="黑体" w:eastAsia="黑体" w:cs="黑体"/>
          <w:sz w:val="32"/>
          <w:szCs w:val="32"/>
        </w:rPr>
      </w:pPr>
    </w:p>
    <w:p>
      <w:pPr>
        <w:adjustRightInd w:val="0"/>
        <w:snapToGrid w:val="0"/>
        <w:spacing w:line="360" w:lineRule="auto"/>
        <w:jc w:val="center"/>
        <w:rPr>
          <w:rFonts w:hint="eastAsia" w:ascii="黑体" w:hAnsi="黑体" w:eastAsia="黑体" w:cs="黑体"/>
          <w:sz w:val="32"/>
          <w:szCs w:val="32"/>
        </w:rPr>
      </w:pPr>
    </w:p>
    <w:p>
      <w:pPr>
        <w:adjustRightInd w:val="0"/>
        <w:snapToGrid w:val="0"/>
        <w:spacing w:line="360" w:lineRule="auto"/>
        <w:jc w:val="center"/>
        <w:rPr>
          <w:rFonts w:hint="eastAsia" w:ascii="黑体" w:hAnsi="黑体" w:eastAsia="黑体" w:cs="黑体"/>
          <w:sz w:val="32"/>
          <w:szCs w:val="32"/>
        </w:rPr>
      </w:pPr>
    </w:p>
    <w:p>
      <w:pPr>
        <w:adjustRightInd w:val="0"/>
        <w:snapToGrid w:val="0"/>
        <w:spacing w:line="360" w:lineRule="auto"/>
        <w:jc w:val="center"/>
        <w:rPr>
          <w:rFonts w:hint="eastAsia" w:ascii="黑体" w:hAnsi="黑体" w:eastAsia="黑体" w:cs="黑体"/>
          <w:sz w:val="32"/>
          <w:szCs w:val="32"/>
        </w:rPr>
      </w:pPr>
    </w:p>
    <w:p>
      <w:pPr>
        <w:adjustRightInd w:val="0"/>
        <w:snapToGrid w:val="0"/>
        <w:spacing w:line="360" w:lineRule="auto"/>
        <w:jc w:val="center"/>
        <w:rPr>
          <w:rFonts w:hint="eastAsia" w:ascii="黑体" w:hAnsi="黑体" w:eastAsia="黑体" w:cs="黑体"/>
          <w:sz w:val="32"/>
          <w:szCs w:val="32"/>
        </w:rPr>
      </w:pPr>
    </w:p>
    <w:p>
      <w:pPr>
        <w:adjustRightInd w:val="0"/>
        <w:snapToGrid w:val="0"/>
        <w:spacing w:line="360" w:lineRule="auto"/>
        <w:jc w:val="center"/>
        <w:rPr>
          <w:rFonts w:hint="eastAsia" w:ascii="黑体" w:hAnsi="黑体" w:eastAsia="黑体" w:cs="黑体"/>
          <w:sz w:val="32"/>
          <w:szCs w:val="32"/>
        </w:rPr>
      </w:pPr>
    </w:p>
    <w:p>
      <w:pPr>
        <w:adjustRightInd w:val="0"/>
        <w:snapToGrid w:val="0"/>
        <w:spacing w:line="360" w:lineRule="auto"/>
        <w:jc w:val="center"/>
        <w:rPr>
          <w:rFonts w:hint="eastAsia" w:ascii="黑体" w:hAnsi="黑体" w:eastAsia="黑体" w:cs="黑体"/>
          <w:sz w:val="48"/>
          <w:szCs w:val="48"/>
        </w:rPr>
      </w:pPr>
    </w:p>
    <w:p>
      <w:pPr>
        <w:adjustRightInd w:val="0"/>
        <w:snapToGrid w:val="0"/>
        <w:spacing w:line="360" w:lineRule="auto"/>
        <w:jc w:val="center"/>
        <w:rPr>
          <w:rFonts w:hint="eastAsia" w:ascii="黑体" w:hAnsi="黑体" w:eastAsia="黑体" w:cs="黑体"/>
          <w:spacing w:val="-38"/>
          <w:sz w:val="48"/>
          <w:szCs w:val="48"/>
        </w:rPr>
      </w:pPr>
      <w:r>
        <w:rPr>
          <w:rFonts w:hint="eastAsia" w:ascii="黑体" w:hAnsi="黑体" w:eastAsia="黑体" w:cs="黑体"/>
          <w:sz w:val="48"/>
          <w:szCs w:val="48"/>
        </w:rPr>
        <w:t>第三部分</w:t>
      </w:r>
    </w:p>
    <w:p>
      <w:pPr>
        <w:adjustRightInd w:val="0"/>
        <w:snapToGrid w:val="0"/>
        <w:spacing w:line="360" w:lineRule="auto"/>
        <w:jc w:val="center"/>
        <w:rPr>
          <w:rFonts w:hint="eastAsia" w:ascii="黑体" w:hAnsi="黑体" w:eastAsia="黑体" w:cs="黑体"/>
          <w:sz w:val="48"/>
          <w:szCs w:val="48"/>
        </w:rPr>
      </w:pPr>
      <w:r>
        <w:rPr>
          <w:rFonts w:hint="eastAsia" w:ascii="黑体" w:hAnsi="黑体" w:eastAsia="黑体" w:cs="黑体"/>
          <w:sz w:val="48"/>
          <w:szCs w:val="48"/>
        </w:rPr>
        <w:t>开发区</w:t>
      </w:r>
      <w:r>
        <w:rPr>
          <w:rFonts w:hint="eastAsia" w:ascii="黑体" w:hAnsi="黑体" w:eastAsia="黑体" w:cs="黑体"/>
          <w:sz w:val="48"/>
          <w:szCs w:val="48"/>
          <w:lang w:eastAsia="zh-CN"/>
        </w:rPr>
        <w:t>总工会</w:t>
      </w:r>
      <w:r>
        <w:rPr>
          <w:rFonts w:hint="eastAsia" w:ascii="黑体" w:hAnsi="黑体" w:eastAsia="黑体" w:cs="黑体"/>
          <w:sz w:val="48"/>
          <w:szCs w:val="48"/>
        </w:rPr>
        <w:t>201</w:t>
      </w:r>
      <w:r>
        <w:rPr>
          <w:rFonts w:hint="eastAsia" w:ascii="黑体" w:hAnsi="黑体" w:eastAsia="黑体" w:cs="黑体"/>
          <w:sz w:val="48"/>
          <w:szCs w:val="48"/>
          <w:lang w:val="en-US" w:eastAsia="zh-CN"/>
        </w:rPr>
        <w:t>6</w:t>
      </w:r>
      <w:r>
        <w:rPr>
          <w:rFonts w:hint="eastAsia" w:ascii="黑体" w:hAnsi="黑体" w:eastAsia="黑体" w:cs="黑体"/>
          <w:sz w:val="48"/>
          <w:szCs w:val="48"/>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rPr>
          <w:rFonts w:hint="eastAsia" w:ascii="黑体" w:hAnsi="黑体" w:eastAsia="黑体" w:cs="黑体"/>
          <w:sz w:val="32"/>
          <w:szCs w:val="32"/>
        </w:rPr>
      </w:pP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年收入总计</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19.27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机关工作人员增加，开支加大。</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万元，占100%。</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35.17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年财政拨款收支总决算</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万元。与 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年相比，财政拨款收、支总计各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19.27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机关工作人员增加，开支加大</w:t>
      </w:r>
      <w:r>
        <w:rPr>
          <w:rFonts w:hint="eastAsia" w:ascii="仿宋_GB2312" w:hAnsi="仿宋_GB2312" w:eastAsia="仿宋_GB2312" w:cs="仿宋_GB2312"/>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财政拨款支出决算总体情况。</w:t>
      </w:r>
    </w:p>
    <w:p>
      <w:pPr>
        <w:adjustRightInd w:val="0"/>
        <w:snapToGrid w:val="0"/>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2016年一般公共预算财政拨款支出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万元，占支出合计的100%。与2015年相比，一般公共预算财政拨款支出增加</w:t>
      </w:r>
      <w:r>
        <w:rPr>
          <w:rFonts w:hint="eastAsia" w:ascii="仿宋_GB2312" w:hAnsi="仿宋_GB2312" w:eastAsia="仿宋_GB2312" w:cs="仿宋_GB2312"/>
          <w:sz w:val="32"/>
          <w:szCs w:val="32"/>
          <w:lang w:val="en-US" w:eastAsia="zh-CN"/>
        </w:rPr>
        <w:t>19.27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机关工作人员增加，开支加大</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财政拨款支出决算结构情况。</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2016年度一般公共预算财政拨款支出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万元，占100%。</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财政拨款支出决算具体情况。</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2016年度一般公共预算财政拨款支出年初预算为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万元，完成年初预算的100%。</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一般公共服务（类）财政事务（款）行政运行（项）。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万元，完成年初预算的100%。</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一般公共服务（类）财政事务（款）一般行政管理事务（项）。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万元，完成年初预算的100%。</w:t>
      </w:r>
    </w:p>
    <w:p>
      <w:pPr>
        <w:pStyle w:val="12"/>
        <w:kinsoku w:val="0"/>
        <w:overflowPunct w:val="0"/>
        <w:snapToGrid w:val="0"/>
        <w:spacing w:line="360" w:lineRule="auto"/>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hint="eastAsia" w:ascii="仿宋_GB2312" w:hAnsi="仿宋_GB2312" w:eastAsia="仿宋_GB2312" w:cs="仿宋_GB2312"/>
          <w:kern w:val="2"/>
        </w:rPr>
      </w:pPr>
      <w:r>
        <w:rPr>
          <w:rFonts w:hint="eastAsia" w:ascii="仿宋_GB2312" w:hAnsi="仿宋_GB2312" w:eastAsia="仿宋_GB2312" w:cs="仿宋_GB231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kern w:val="2"/>
        </w:rPr>
        <w:t>201</w:t>
      </w:r>
      <w:r>
        <w:rPr>
          <w:rFonts w:hint="eastAsia" w:hAnsi="仿宋_GB2312" w:cs="仿宋_GB2312"/>
          <w:kern w:val="2"/>
          <w:lang w:val="en-US" w:eastAsia="zh-CN"/>
        </w:rPr>
        <w:t>6</w:t>
      </w:r>
      <w:r>
        <w:rPr>
          <w:rFonts w:hint="eastAsia" w:ascii="仿宋_GB2312" w:hAnsi="仿宋_GB2312" w:eastAsia="仿宋_GB2312" w:cs="仿宋_GB2312"/>
          <w:kern w:val="2"/>
        </w:rPr>
        <w:t>年一般公共预算财政拨款基本支出</w:t>
      </w:r>
      <w:r>
        <w:rPr>
          <w:rFonts w:hint="eastAsia" w:hAnsi="仿宋_GB2312" w:cs="仿宋_GB2312"/>
          <w:lang w:val="en-US" w:eastAsia="zh-CN"/>
        </w:rPr>
        <w:t>35.17</w:t>
      </w:r>
      <w:r>
        <w:rPr>
          <w:rFonts w:hint="eastAsia" w:ascii="仿宋_GB2312" w:hAnsi="仿宋_GB2312" w:eastAsia="仿宋_GB2312" w:cs="仿宋_GB2312"/>
          <w:kern w:val="2"/>
        </w:rPr>
        <w:t>万元，其中：</w:t>
      </w:r>
      <w:r>
        <w:rPr>
          <w:rFonts w:hint="eastAsia" w:ascii="仿宋_GB2312" w:hAnsi="仿宋_GB2312" w:eastAsia="仿宋_GB2312" w:cs="仿宋_GB2312"/>
          <w:b/>
          <w:spacing w:val="-1"/>
        </w:rPr>
        <w:t>人员经费</w:t>
      </w:r>
      <w:r>
        <w:rPr>
          <w:rFonts w:hint="eastAsia" w:hAnsi="仿宋_GB2312" w:cs="仿宋_GB2312"/>
          <w:spacing w:val="-1"/>
          <w:lang w:val="en-US" w:eastAsia="zh-CN"/>
        </w:rPr>
        <w:t>28.37</w:t>
      </w:r>
      <w:r>
        <w:rPr>
          <w:rFonts w:hint="eastAsia" w:ascii="仿宋_GB2312" w:hAnsi="仿宋_GB2312" w:eastAsia="仿宋_GB2312" w:cs="仿宋_GB2312"/>
          <w:kern w:val="2"/>
        </w:rPr>
        <w:t>万元，主要包括：基本工资、津贴补贴、 奖金、社会保障缴费、伙食补助费、绩效工资、其他工资福利 支出、离休费、退休费、退职（役）费、抚恤金、生活补助、 医疗费、助学金、奖励金、住房公积金、提租补贴、购房补贴、 其他对个人和家庭的补助支出；</w:t>
      </w:r>
      <w:r>
        <w:rPr>
          <w:rFonts w:hint="eastAsia" w:ascii="仿宋_GB2312" w:hAnsi="仿宋_GB2312" w:eastAsia="仿宋_GB2312" w:cs="仿宋_GB2312"/>
          <w:b/>
          <w:spacing w:val="-1"/>
        </w:rPr>
        <w:t>公用经费</w:t>
      </w:r>
      <w:r>
        <w:rPr>
          <w:rFonts w:hint="eastAsia" w:hAnsi="仿宋_GB2312" w:cs="仿宋_GB2312"/>
          <w:spacing w:val="-2"/>
          <w:lang w:val="en-US" w:eastAsia="zh-CN"/>
        </w:rPr>
        <w:t>6.8</w:t>
      </w:r>
      <w:r>
        <w:rPr>
          <w:rFonts w:hint="eastAsia" w:ascii="仿宋_GB2312" w:hAnsi="仿宋_GB2312" w:eastAsia="仿宋_GB2312" w:cs="仿宋_GB2312"/>
          <w:kern w:val="2"/>
        </w:rPr>
        <w:t>万元，主要包括：办公费、印刷费、咨询费、手续费、水费、电费、邮电费、取暖费、物业管理费、差旅费、因公出国（境）费、维 修（护）费、租赁费、会议费、培训费、公务接待费、专用材料费、劳务费、委托业务费、工会经费、福利费、公务用车运 行维护费、其他交通费用、税金及附加费用、其他商品和服务 支出、办公设备购置、专用设备购置、大型修缮、信息网络及软件购置更新、其他资本性支出。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numPr>
          <w:ilvl w:val="0"/>
          <w:numId w:val="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w:t>
      </w:r>
      <w:r>
        <w:rPr>
          <w:rFonts w:hint="eastAsia" w:ascii="仿宋_GB2312" w:hAnsi="宋体" w:eastAsia="仿宋_GB2312" w:cs="Courier New"/>
          <w:sz w:val="32"/>
          <w:szCs w:val="32"/>
          <w:lang w:val="en-US" w:eastAsia="zh-CN"/>
        </w:rPr>
        <w:t>1.62</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1.62</w:t>
      </w:r>
      <w:r>
        <w:rPr>
          <w:rFonts w:hint="eastAsia" w:ascii="仿宋_GB2312" w:hAnsi="宋体" w:eastAsia="仿宋_GB2312" w:cs="Courier New"/>
          <w:sz w:val="32"/>
          <w:szCs w:val="32"/>
        </w:rPr>
        <w:t>万元，完成预算的100</w:t>
      </w:r>
      <w:r>
        <w:rPr>
          <w:rFonts w:ascii="仿宋_GB2312" w:hAnsi="宋体" w:eastAsia="仿宋_GB2312" w:cs="Courier New"/>
          <w:sz w:val="32"/>
          <w:szCs w:val="32"/>
        </w:rPr>
        <w:t>%</w:t>
      </w:r>
      <w:r>
        <w:rPr>
          <w:rFonts w:hint="eastAsia" w:ascii="仿宋_GB2312" w:hAnsi="宋体" w:eastAsia="仿宋_GB2312" w:cs="Courier New"/>
          <w:sz w:val="32"/>
          <w:szCs w:val="32"/>
        </w:rPr>
        <w:t>，其中：因公出国（境）费支出决算为0万元，完成预算的0</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；公务用车购置及运行费支出决算为</w:t>
      </w:r>
      <w:r>
        <w:rPr>
          <w:rFonts w:hint="eastAsia" w:ascii="仿宋_GB2312" w:hAnsi="宋体" w:eastAsia="仿宋_GB2312" w:cs="Courier New"/>
          <w:sz w:val="32"/>
          <w:szCs w:val="32"/>
          <w:lang w:val="en-US" w:eastAsia="zh-CN"/>
        </w:rPr>
        <w:t>1.5</w:t>
      </w:r>
      <w:r>
        <w:rPr>
          <w:rFonts w:hint="eastAsia" w:ascii="仿宋_GB2312" w:hAnsi="宋体" w:eastAsia="仿宋_GB2312" w:cs="Courier New"/>
          <w:sz w:val="32"/>
          <w:szCs w:val="32"/>
        </w:rPr>
        <w:t>万元，完成预算的100</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0.12</w:t>
      </w:r>
      <w:r>
        <w:rPr>
          <w:rFonts w:hint="eastAsia" w:ascii="仿宋_GB2312" w:hAnsi="宋体" w:eastAsia="仿宋_GB2312" w:cs="Courier New"/>
          <w:sz w:val="32"/>
          <w:szCs w:val="32"/>
        </w:rPr>
        <w:t>万元，完成预算的100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年度“三公”经费财政拨款支出决算数比</w:t>
      </w:r>
      <w:r>
        <w:rPr>
          <w:rFonts w:ascii="仿宋_GB2312" w:hAnsi="宋体" w:eastAsia="仿宋_GB2312" w:cs="Courier New"/>
          <w:sz w:val="32"/>
          <w:szCs w:val="32"/>
        </w:rPr>
        <w:t>2015</w:t>
      </w:r>
      <w:r>
        <w:rPr>
          <w:rFonts w:hint="eastAsia" w:ascii="仿宋_GB2312" w:hAnsi="宋体" w:eastAsia="仿宋_GB2312" w:cs="Courier New"/>
          <w:sz w:val="32"/>
          <w:szCs w:val="32"/>
        </w:rPr>
        <w:t>年减少</w:t>
      </w:r>
      <w:r>
        <w:rPr>
          <w:rFonts w:hint="eastAsia" w:ascii="仿宋_GB2312" w:hAnsi="宋体" w:eastAsia="仿宋_GB2312" w:cs="Courier New"/>
          <w:sz w:val="32"/>
          <w:szCs w:val="32"/>
          <w:lang w:val="en-US" w:eastAsia="zh-CN"/>
        </w:rPr>
        <w:t>1.11</w:t>
      </w:r>
      <w:r>
        <w:rPr>
          <w:rFonts w:hint="eastAsia" w:ascii="仿宋_GB2312" w:hAnsi="宋体" w:eastAsia="仿宋_GB2312" w:cs="Courier New"/>
          <w:sz w:val="32"/>
          <w:szCs w:val="32"/>
        </w:rPr>
        <w:t>万元，下降</w:t>
      </w:r>
      <w:r>
        <w:rPr>
          <w:rFonts w:ascii="仿宋_GB2312" w:hAnsi="宋体" w:eastAsia="仿宋_GB2312" w:cs="Courier New"/>
          <w:sz w:val="32"/>
          <w:szCs w:val="32"/>
        </w:rPr>
        <w:t>4</w:t>
      </w:r>
      <w:r>
        <w:rPr>
          <w:rFonts w:hint="eastAsia" w:ascii="仿宋_GB2312" w:hAnsi="宋体" w:eastAsia="仿宋_GB2312" w:cs="Courier New"/>
          <w:sz w:val="32"/>
          <w:szCs w:val="32"/>
          <w:lang w:val="en-US" w:eastAsia="zh-CN"/>
        </w:rPr>
        <w:t>0.7</w:t>
      </w:r>
      <w:r>
        <w:rPr>
          <w:rFonts w:ascii="仿宋_GB2312" w:hAnsi="宋体" w:eastAsia="仿宋_GB2312" w:cs="Courier New"/>
          <w:sz w:val="32"/>
          <w:szCs w:val="32"/>
        </w:rPr>
        <w:t>%</w:t>
      </w:r>
      <w:r>
        <w:rPr>
          <w:rFonts w:hint="eastAsia" w:ascii="仿宋_GB2312" w:hAnsi="宋体" w:eastAsia="仿宋_GB2312" w:cs="Courier New"/>
          <w:sz w:val="32"/>
          <w:szCs w:val="32"/>
        </w:rPr>
        <w:t>，其中：公务用车购置及运行费支出决算减少</w:t>
      </w:r>
      <w:r>
        <w:rPr>
          <w:rFonts w:hint="eastAsia" w:ascii="仿宋_GB2312" w:hAnsi="宋体" w:eastAsia="仿宋_GB2312" w:cs="Courier New"/>
          <w:sz w:val="32"/>
          <w:szCs w:val="32"/>
          <w:lang w:val="en-US" w:eastAsia="zh-CN"/>
        </w:rPr>
        <w:t>0.94</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38.5</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；公务用车购置及运行费支出减少的主要原因是我单位无公务用车购置费，严格控制公务用车维护费的支出；公务接待费支出决算减少</w:t>
      </w:r>
      <w:r>
        <w:rPr>
          <w:rFonts w:hint="eastAsia" w:ascii="仿宋_GB2312" w:hAnsi="宋体" w:eastAsia="仿宋_GB2312" w:cs="Courier New"/>
          <w:sz w:val="32"/>
          <w:szCs w:val="32"/>
          <w:lang w:val="en-US" w:eastAsia="zh-CN"/>
        </w:rPr>
        <w:t>0.17</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58.6</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。公务接待费支出减少的主要原因是严格控制招待费支出。</w:t>
      </w:r>
    </w:p>
    <w:p>
      <w:pPr>
        <w:numPr>
          <w:ilvl w:val="0"/>
          <w:numId w:val="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年度“三公”经费财政拨款支出决算中，因公出国（境）费支出决算0万元，占0</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；公务用车购置支出决算0万元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公务用车运行占</w:t>
      </w:r>
      <w:r>
        <w:rPr>
          <w:rFonts w:hint="eastAsia" w:ascii="仿宋_GB2312" w:hAnsi="宋体" w:eastAsia="仿宋_GB2312" w:cs="Courier New"/>
          <w:sz w:val="32"/>
          <w:szCs w:val="32"/>
          <w:lang w:val="en-US" w:eastAsia="zh-CN"/>
        </w:rPr>
        <w:t>92.6</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。具体情况如下：</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lang w:val="en-US" w:eastAsia="zh-CN"/>
        </w:rPr>
        <w:t>1.</w:t>
      </w: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支出0万元。全年安排</w:t>
      </w:r>
      <w:r>
        <w:rPr>
          <w:rFonts w:hint="eastAsia" w:ascii="仿宋_GB2312" w:hAnsi="宋体" w:eastAsia="仿宋_GB2312" w:cs="Courier New"/>
          <w:sz w:val="32"/>
          <w:szCs w:val="32"/>
          <w:lang w:eastAsia="zh-CN"/>
        </w:rPr>
        <w:t>工会</w:t>
      </w:r>
      <w:r>
        <w:rPr>
          <w:rFonts w:hint="eastAsia" w:ascii="仿宋_GB2312" w:hAnsi="宋体" w:eastAsia="仿宋_GB2312" w:cs="Courier New"/>
          <w:sz w:val="32"/>
          <w:szCs w:val="32"/>
        </w:rPr>
        <w:t>机关因公出国（境）团组0个，累计0人次。</w:t>
      </w:r>
    </w:p>
    <w:p>
      <w:pPr>
        <w:numPr>
          <w:ilvl w:val="0"/>
          <w:numId w:val="0"/>
        </w:numPr>
        <w:kinsoku w:val="0"/>
        <w:overflowPunct w:val="0"/>
        <w:autoSpaceDE w:val="0"/>
        <w:autoSpaceDN w:val="0"/>
        <w:adjustRightInd w:val="0"/>
        <w:snapToGrid w:val="0"/>
        <w:spacing w:line="360" w:lineRule="auto"/>
        <w:rPr>
          <w:rFonts w:ascii="仿宋_GB2312" w:hAnsi="宋体" w:eastAsia="仿宋_GB2312" w:cs="Courier New"/>
          <w:b/>
          <w:bCs/>
          <w:sz w:val="32"/>
          <w:szCs w:val="32"/>
        </w:rPr>
      </w:pPr>
      <w:r>
        <w:rPr>
          <w:rFonts w:hint="eastAsia" w:ascii="仿宋_GB2312" w:hAnsi="宋体" w:eastAsia="仿宋_GB2312"/>
          <w:b/>
          <w:bCs/>
          <w:sz w:val="32"/>
          <w:szCs w:val="32"/>
          <w:lang w:val="en-US" w:eastAsia="zh-CN"/>
        </w:rPr>
        <w:t xml:space="preserve">    2.</w:t>
      </w: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1.5</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color w:val="FF0000"/>
          <w:sz w:val="32"/>
          <w:szCs w:val="32"/>
          <w:highlight w:val="yellow"/>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rPr>
          <w:rFonts w:ascii="仿宋_GB2312" w:eastAsia="仿宋_GB2312"/>
          <w:sz w:val="32"/>
          <w:szCs w:val="32"/>
        </w:rPr>
      </w:pPr>
      <w:r>
        <w:rPr>
          <w:rFonts w:hint="eastAsia" w:ascii="仿宋_GB2312" w:hAnsi="宋体" w:eastAsia="仿宋_GB2312" w:cs="Courier New"/>
          <w:b/>
          <w:bCs/>
          <w:sz w:val="32"/>
          <w:szCs w:val="32"/>
          <w:lang w:val="en-US" w:eastAsia="zh-CN"/>
        </w:rPr>
        <w:t xml:space="preserve">    </w:t>
      </w: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1.5</w:t>
      </w:r>
      <w:r>
        <w:rPr>
          <w:rFonts w:hint="eastAsia" w:ascii="仿宋_GB2312" w:hAnsi="宋体" w:eastAsia="仿宋_GB2312" w:cs="Courier New"/>
          <w:sz w:val="32"/>
          <w:szCs w:val="32"/>
        </w:rPr>
        <w:t>万元。主要用于</w:t>
      </w:r>
      <w:r>
        <w:rPr>
          <w:rFonts w:hint="eastAsia" w:ascii="仿宋_GB2312" w:hAnsi="仿宋" w:eastAsia="仿宋_GB2312" w:cs="Courier New"/>
          <w:sz w:val="32"/>
          <w:szCs w:val="32"/>
        </w:rPr>
        <w:t>开展工作所需公务用车的燃料费、维修费、过路过桥费、保险费用等支出。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w:t>
      </w:r>
      <w:r>
        <w:rPr>
          <w:rFonts w:hint="eastAsia" w:ascii="仿宋_GB2312" w:hAnsi="宋体" w:eastAsia="仿宋_GB2312" w:cs="Courier New"/>
          <w:sz w:val="32"/>
          <w:szCs w:val="32"/>
          <w:lang w:eastAsia="zh-CN"/>
        </w:rPr>
        <w:t>总工会</w:t>
      </w:r>
      <w:r>
        <w:rPr>
          <w:rFonts w:hint="eastAsia" w:ascii="仿宋_GB2312" w:hAnsi="宋体" w:eastAsia="仿宋_GB2312" w:cs="Courier New"/>
          <w:sz w:val="32"/>
          <w:szCs w:val="32"/>
        </w:rPr>
        <w:t>开支财政拨款的公务用车保有量为</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w:t>
      </w:r>
    </w:p>
    <w:p>
      <w:pPr>
        <w:numPr>
          <w:ilvl w:val="0"/>
          <w:numId w:val="0"/>
        </w:numPr>
        <w:kinsoku w:val="0"/>
        <w:overflowPunct w:val="0"/>
        <w:autoSpaceDE w:val="0"/>
        <w:autoSpaceDN w:val="0"/>
        <w:adjustRightInd w:val="0"/>
        <w:snapToGrid w:val="0"/>
        <w:spacing w:line="360" w:lineRule="auto"/>
        <w:rPr>
          <w:rFonts w:ascii="仿宋_GB2312" w:hAnsi="宋体" w:eastAsia="仿宋_GB2312" w:cs="Courier New"/>
          <w:b/>
          <w:bCs/>
          <w:sz w:val="32"/>
          <w:szCs w:val="32"/>
        </w:rPr>
      </w:pPr>
      <w:r>
        <w:rPr>
          <w:rFonts w:hint="eastAsia" w:ascii="仿宋_GB2312" w:hAnsi="宋体" w:eastAsia="仿宋_GB2312"/>
          <w:b/>
          <w:bCs/>
          <w:sz w:val="32"/>
          <w:szCs w:val="32"/>
          <w:lang w:val="en-US" w:eastAsia="zh-CN"/>
        </w:rPr>
        <w:t xml:space="preserve">    3.</w:t>
      </w:r>
      <w:r>
        <w:rPr>
          <w:rFonts w:hint="eastAsia" w:ascii="仿宋_GB2312" w:hAnsi="宋体" w:eastAsia="仿宋_GB2312"/>
          <w:b/>
          <w:bCs/>
          <w:sz w:val="32"/>
          <w:szCs w:val="32"/>
        </w:rPr>
        <w:t>公务接待费支出</w:t>
      </w:r>
      <w:r>
        <w:rPr>
          <w:rFonts w:hint="eastAsia" w:ascii="仿宋_GB2312" w:hAnsi="宋体" w:eastAsia="仿宋_GB2312"/>
          <w:b/>
          <w:bCs/>
          <w:sz w:val="32"/>
          <w:szCs w:val="32"/>
          <w:lang w:val="en-US" w:eastAsia="zh-CN"/>
        </w:rPr>
        <w:t>0.12</w:t>
      </w:r>
      <w:r>
        <w:rPr>
          <w:rFonts w:hint="eastAsia" w:ascii="仿宋_GB2312" w:hAnsi="宋体" w:eastAsia="仿宋_GB2312"/>
          <w:b/>
          <w:bCs/>
          <w:sz w:val="32"/>
          <w:szCs w:val="32"/>
        </w:rPr>
        <w:t>万元。</w:t>
      </w:r>
      <w:r>
        <w:rPr>
          <w:rFonts w:hint="eastAsia" w:ascii="仿宋_GB2312" w:hAnsi="宋体" w:eastAsia="仿宋_GB2312"/>
          <w:b w:val="0"/>
          <w:bCs w:val="0"/>
          <w:sz w:val="32"/>
          <w:szCs w:val="32"/>
          <w:lang w:eastAsia="zh-CN"/>
        </w:rPr>
        <w:t>总工会</w:t>
      </w:r>
      <w:r>
        <w:rPr>
          <w:rFonts w:hint="eastAsia" w:ascii="仿宋_GB2312" w:hAnsi="宋体" w:eastAsia="仿宋_GB2312"/>
          <w:b w:val="0"/>
          <w:bCs w:val="0"/>
          <w:sz w:val="32"/>
          <w:szCs w:val="32"/>
        </w:rPr>
        <w:t>2016 年共接待3批次25人次。</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rPr>
      </w:pPr>
    </w:p>
    <w:p>
      <w:pPr>
        <w:pStyle w:val="12"/>
        <w:numPr>
          <w:ilvl w:val="0"/>
          <w:numId w:val="2"/>
        </w:numPr>
        <w:kinsoku w:val="0"/>
        <w:overflowPunct w:val="0"/>
        <w:snapToGrid w:val="0"/>
        <w:spacing w:line="360" w:lineRule="auto"/>
        <w:ind w:left="0" w:firstLine="636" w:firstLineChars="200"/>
        <w:jc w:val="both"/>
        <w:rPr>
          <w:rFonts w:hint="eastAsia" w:ascii="仿宋" w:hAnsi="仿宋" w:eastAsia="仿宋" w:cs="黑体"/>
          <w:spacing w:val="-1"/>
          <w:lang w:eastAsia="zh-CN"/>
        </w:rPr>
      </w:pPr>
      <w:r>
        <w:rPr>
          <w:rFonts w:hint="eastAsia" w:ascii="仿宋" w:hAnsi="仿宋" w:eastAsia="仿宋" w:cs="黑体"/>
          <w:spacing w:val="-1"/>
          <w:lang w:eastAsia="zh-CN"/>
        </w:rPr>
        <w:t>关于政府性基金预算财政拨款支出决算情况说明</w:t>
      </w:r>
    </w:p>
    <w:p>
      <w:pPr>
        <w:pStyle w:val="12"/>
        <w:numPr>
          <w:ilvl w:val="0"/>
          <w:numId w:val="0"/>
        </w:numPr>
        <w:kinsoku w:val="0"/>
        <w:overflowPunct w:val="0"/>
        <w:snapToGrid w:val="0"/>
        <w:spacing w:line="360" w:lineRule="auto"/>
        <w:jc w:val="both"/>
        <w:rPr>
          <w:rFonts w:hint="eastAsia" w:ascii="仿宋" w:hAnsi="仿宋" w:eastAsia="仿宋" w:cs="黑体"/>
          <w:spacing w:val="-1"/>
          <w:lang w:val="en-US" w:eastAsia="zh-CN"/>
        </w:rPr>
      </w:pPr>
      <w:r>
        <w:rPr>
          <w:rFonts w:hint="eastAsia" w:ascii="仿宋" w:hAnsi="仿宋" w:eastAsia="仿宋" w:cs="黑体"/>
          <w:spacing w:val="-1"/>
          <w:lang w:val="en-US" w:eastAsia="zh-CN"/>
        </w:rPr>
        <w:t xml:space="preserve">    </w:t>
      </w:r>
      <w:r>
        <w:rPr>
          <w:rFonts w:ascii="仿宋_GB2312" w:hAnsi="宋体" w:eastAsia="仿宋_GB2312" w:cs="Courier New"/>
          <w:sz w:val="32"/>
          <w:szCs w:val="32"/>
        </w:rPr>
        <w:t>2016</w:t>
      </w:r>
      <w:r>
        <w:rPr>
          <w:rFonts w:hint="eastAsia" w:ascii="仿宋_GB2312" w:hAnsi="宋体" w:eastAsia="仿宋_GB2312" w:cs="Courier New"/>
          <w:sz w:val="32"/>
          <w:szCs w:val="32"/>
        </w:rPr>
        <w:t>年度政府性基金预算财政拨款支出年初预算为0万元，支出决算为0万元，完成年初预算的0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lang w:eastAsia="zh-CN"/>
        </w:rPr>
        <w:t>九</w:t>
      </w:r>
      <w:r>
        <w:rPr>
          <w:rFonts w:hint="eastAsia" w:ascii="仿宋" w:hAnsi="仿宋" w:eastAsia="仿宋" w:cs="黑体"/>
          <w:spacing w:val="-1"/>
        </w:rPr>
        <w:t>、其他重要事项的情况说明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121" w:right="118" w:firstLine="360"/>
        <w:jc w:val="both"/>
        <w:rPr>
          <w:rFonts w:hint="eastAsia" w:ascii="仿宋_GB2312" w:hAnsi="仿宋_GB2312" w:eastAsia="仿宋_GB2312" w:cs="仿宋_GB2312"/>
          <w:kern w:val="2"/>
        </w:rPr>
      </w:pPr>
      <w:r>
        <w:rPr>
          <w:rFonts w:hint="eastAsia" w:ascii="仿宋_GB2312" w:hAnsi="仿宋_GB2312" w:eastAsia="仿宋_GB2312" w:cs="仿宋_GB231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kern w:val="2"/>
        </w:rPr>
        <w:t>201</w:t>
      </w:r>
      <w:r>
        <w:rPr>
          <w:rFonts w:hint="eastAsia" w:hAnsi="仿宋_GB2312" w:cs="仿宋_GB2312"/>
          <w:kern w:val="2"/>
          <w:lang w:val="en-US" w:eastAsia="zh-CN"/>
        </w:rPr>
        <w:t>6</w:t>
      </w:r>
      <w:r>
        <w:rPr>
          <w:rFonts w:hint="eastAsia" w:ascii="仿宋_GB2312" w:hAnsi="仿宋_GB2312" w:eastAsia="仿宋_GB2312" w:cs="仿宋_GB2312"/>
          <w:kern w:val="2"/>
        </w:rPr>
        <w:t xml:space="preserve"> 年机关运行经费支出</w:t>
      </w:r>
      <w:r>
        <w:rPr>
          <w:rFonts w:hint="eastAsia" w:hAnsi="仿宋_GB2312" w:cs="仿宋_GB2312"/>
          <w:kern w:val="2"/>
          <w:lang w:val="en-US" w:eastAsia="zh-CN"/>
        </w:rPr>
        <w:t>35.17</w:t>
      </w:r>
      <w:r>
        <w:rPr>
          <w:rFonts w:hint="eastAsia" w:ascii="仿宋_GB2312" w:hAnsi="仿宋_GB2312" w:eastAsia="仿宋_GB2312" w:cs="仿宋_GB2312"/>
          <w:kern w:val="2"/>
        </w:rPr>
        <w:t>万元，其中：</w:t>
      </w:r>
      <w:r>
        <w:rPr>
          <w:rFonts w:hint="eastAsia" w:ascii="仿宋_GB2312" w:hAnsi="仿宋_GB2312" w:eastAsia="仿宋_GB2312" w:cs="仿宋_GB2312"/>
          <w:b/>
          <w:spacing w:val="-1"/>
        </w:rPr>
        <w:t>人员经费</w:t>
      </w:r>
      <w:r>
        <w:rPr>
          <w:rFonts w:hint="eastAsia" w:hAnsi="仿宋_GB2312" w:cs="仿宋_GB2312"/>
          <w:spacing w:val="-1"/>
          <w:lang w:val="en-US" w:eastAsia="zh-CN"/>
        </w:rPr>
        <w:t>28.37</w:t>
      </w:r>
      <w:r>
        <w:rPr>
          <w:rFonts w:hint="eastAsia" w:ascii="仿宋_GB2312" w:hAnsi="仿宋_GB2312" w:eastAsia="仿宋_GB2312" w:cs="仿宋_GB2312"/>
          <w:kern w:val="2"/>
        </w:rPr>
        <w:t>万元，主要包括：基本工资、津贴补贴、 奖金、社会保障缴费、伙食补助费、绩效工资、其他工资福利 支出、离休费、退休费、退职（役）费、抚恤金、生活补助、 医疗费、助学金、奖励金、住房公积金、提租补贴、购房补贴、 其他对个人和家庭的补助支出；</w:t>
      </w:r>
      <w:r>
        <w:rPr>
          <w:rFonts w:hint="eastAsia" w:ascii="仿宋_GB2312" w:hAnsi="仿宋_GB2312" w:eastAsia="仿宋_GB2312" w:cs="仿宋_GB2312"/>
          <w:b/>
          <w:spacing w:val="-1"/>
        </w:rPr>
        <w:t>公用经费</w:t>
      </w:r>
      <w:r>
        <w:rPr>
          <w:rFonts w:hint="eastAsia" w:hAnsi="仿宋_GB2312" w:cs="仿宋_GB2312"/>
          <w:spacing w:val="-2"/>
          <w:lang w:val="en-US" w:eastAsia="zh-CN"/>
        </w:rPr>
        <w:t>6.8</w:t>
      </w:r>
      <w:r>
        <w:rPr>
          <w:rFonts w:hint="eastAsia" w:ascii="仿宋_GB2312" w:hAnsi="仿宋_GB2312" w:eastAsia="仿宋_GB2312" w:cs="仿宋_GB2312"/>
          <w:kern w:val="2"/>
        </w:rPr>
        <w:t>万元，主要包括：办公费、印刷费、咨询费、手续费、水费、电费、邮电费、取暖费、物业管理费、差旅费、因公出国（境）费、维 修（护）费、租赁费、会议费、培训费、公务接待费、专用材料费、劳务费、委托业务费、工会经费、福利费、公务用车运 行维护费、其他交通费用、税金及附加费用、其他商品和服务 支出、办公设备购置、专用设备购置、大型修缮、信息网络及软件购置更新、其他资本性支出。比 201</w:t>
      </w:r>
      <w:r>
        <w:rPr>
          <w:rFonts w:hint="eastAsia" w:hAnsi="仿宋_GB2312" w:cs="仿宋_GB2312"/>
          <w:kern w:val="2"/>
          <w:lang w:val="en-US" w:eastAsia="zh-CN"/>
        </w:rPr>
        <w:t>5</w:t>
      </w:r>
      <w:r>
        <w:rPr>
          <w:rFonts w:hint="eastAsia" w:ascii="仿宋_GB2312" w:hAnsi="仿宋_GB2312" w:eastAsia="仿宋_GB2312" w:cs="仿宋_GB2312"/>
          <w:kern w:val="2"/>
        </w:rPr>
        <w:t>年减少</w:t>
      </w:r>
      <w:r>
        <w:rPr>
          <w:rFonts w:hint="eastAsia" w:hAnsi="仿宋_GB2312" w:cs="仿宋_GB2312"/>
          <w:kern w:val="2"/>
          <w:lang w:val="en-US" w:eastAsia="zh-CN"/>
        </w:rPr>
        <w:t>18.2</w:t>
      </w:r>
      <w:r>
        <w:rPr>
          <w:rFonts w:hint="eastAsia" w:ascii="仿宋_GB2312" w:hAnsi="仿宋_GB2312" w:eastAsia="仿宋_GB2312" w:cs="仿宋_GB2312"/>
          <w:kern w:val="2"/>
        </w:rPr>
        <w:t>%。</w:t>
      </w:r>
    </w:p>
    <w:p>
      <w:pPr>
        <w:numPr>
          <w:ilvl w:val="0"/>
          <w:numId w:val="0"/>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2"/>
          <w:sz w:val="32"/>
          <w:szCs w:val="32"/>
          <w:lang w:val="en-US" w:eastAsia="zh-CN"/>
        </w:rPr>
        <w:t>（二）</w:t>
      </w:r>
      <w:r>
        <w:rPr>
          <w:rFonts w:hint="eastAsia" w:ascii="仿宋_GB2312" w:hAnsi="仿宋_GB2312" w:eastAsia="仿宋_GB2312" w:cs="仿宋_GB2312"/>
          <w:b/>
          <w:bCs/>
          <w:kern w:val="0"/>
          <w:sz w:val="32"/>
          <w:szCs w:val="32"/>
        </w:rPr>
        <w:t>政府采购支出情况。</w:t>
      </w:r>
    </w:p>
    <w:p>
      <w:pPr>
        <w:numPr>
          <w:ilvl w:val="0"/>
          <w:numId w:val="0"/>
        </w:num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kern w:val="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w:t>
      </w:r>
      <w:r>
        <w:rPr>
          <w:rFonts w:hint="eastAsia" w:ascii="仿宋" w:hAnsi="仿宋" w:eastAsia="仿宋"/>
          <w:b/>
          <w:lang w:eastAsia="zh-CN"/>
        </w:rPr>
        <w:t>三</w:t>
      </w:r>
      <w:r>
        <w:rPr>
          <w:rFonts w:hint="eastAsia" w:ascii="仿宋" w:hAnsi="仿宋" w:eastAsia="仿宋"/>
          <w:b/>
        </w:rPr>
        <w:t>）国有资产占用情况。</w:t>
      </w:r>
    </w:p>
    <w:p>
      <w:pPr>
        <w:pStyle w:val="12"/>
        <w:kinsoku w:val="0"/>
        <w:overflowPunct w:val="0"/>
        <w:snapToGrid w:val="0"/>
        <w:spacing w:line="360" w:lineRule="auto"/>
        <w:ind w:left="0" w:firstLine="640" w:firstLineChars="200"/>
        <w:jc w:val="left"/>
        <w:rPr>
          <w:rFonts w:hint="eastAsia" w:ascii="仿宋_GB2312" w:hAnsi="仿宋_GB2312" w:eastAsia="仿宋_GB2312" w:cs="仿宋_GB2312"/>
          <w:b w:val="0"/>
          <w:bCs w:val="0"/>
          <w:kern w:val="2"/>
        </w:rPr>
      </w:pPr>
      <w:r>
        <w:rPr>
          <w:rFonts w:hint="eastAsia" w:ascii="仿宋_GB2312" w:hAnsi="仿宋_GB2312" w:eastAsia="仿宋_GB2312" w:cs="仿宋_GB2312"/>
          <w:b w:val="0"/>
          <w:bCs w:val="0"/>
          <w:kern w:val="2"/>
        </w:rPr>
        <w:t>截至 201</w:t>
      </w:r>
      <w:r>
        <w:rPr>
          <w:rFonts w:hint="eastAsia" w:hAnsi="仿宋_GB2312" w:cs="仿宋_GB2312"/>
          <w:b w:val="0"/>
          <w:bCs w:val="0"/>
          <w:kern w:val="2"/>
          <w:lang w:val="en-US" w:eastAsia="zh-CN"/>
        </w:rPr>
        <w:t>6</w:t>
      </w:r>
      <w:r>
        <w:rPr>
          <w:rFonts w:hint="eastAsia" w:ascii="仿宋_GB2312" w:hAnsi="仿宋_GB2312" w:eastAsia="仿宋_GB2312" w:cs="仿宋_GB2312"/>
          <w:b w:val="0"/>
          <w:bCs w:val="0"/>
          <w:kern w:val="2"/>
        </w:rPr>
        <w:t>年 12 月 31 日，</w:t>
      </w:r>
      <w:r>
        <w:rPr>
          <w:rFonts w:hint="eastAsia" w:ascii="仿宋_GB2312" w:hAnsi="仿宋_GB2312" w:eastAsia="仿宋_GB2312" w:cs="仿宋_GB2312"/>
          <w:b w:val="0"/>
          <w:bCs w:val="0"/>
        </w:rPr>
        <w:t>开发区</w:t>
      </w:r>
      <w:r>
        <w:rPr>
          <w:rFonts w:hint="eastAsia" w:ascii="仿宋_GB2312" w:hAnsi="仿宋_GB2312" w:eastAsia="仿宋_GB2312" w:cs="仿宋_GB2312"/>
          <w:b w:val="0"/>
          <w:bCs w:val="0"/>
          <w:sz w:val="32"/>
          <w:szCs w:val="32"/>
          <w:lang w:eastAsia="zh-CN"/>
        </w:rPr>
        <w:t>总工会</w:t>
      </w:r>
      <w:r>
        <w:rPr>
          <w:rFonts w:hint="eastAsia" w:ascii="仿宋_GB2312" w:hAnsi="仿宋_GB2312" w:eastAsia="仿宋_GB2312" w:cs="仿宋_GB2312"/>
          <w:b w:val="0"/>
          <w:bCs w:val="0"/>
          <w:kern w:val="2"/>
        </w:rPr>
        <w:t>共有车辆</w:t>
      </w:r>
      <w:r>
        <w:rPr>
          <w:rFonts w:hint="eastAsia" w:ascii="仿宋_GB2312" w:hAnsi="仿宋_GB2312" w:eastAsia="仿宋_GB2312" w:cs="仿宋_GB2312"/>
          <w:b w:val="0"/>
          <w:bCs w:val="0"/>
          <w:kern w:val="2"/>
          <w:lang w:val="en-US" w:eastAsia="zh-CN"/>
        </w:rPr>
        <w:t>1</w:t>
      </w:r>
      <w:r>
        <w:rPr>
          <w:rFonts w:hint="eastAsia" w:ascii="仿宋_GB2312" w:hAnsi="仿宋_GB2312" w:eastAsia="仿宋_GB2312" w:cs="仿宋_GB2312"/>
          <w:b w:val="0"/>
          <w:bCs w:val="0"/>
          <w:kern w:val="2"/>
        </w:rPr>
        <w:t>辆，其中，一般公务用车</w:t>
      </w:r>
      <w:r>
        <w:rPr>
          <w:rFonts w:hint="eastAsia" w:ascii="仿宋_GB2312" w:hAnsi="仿宋_GB2312" w:eastAsia="仿宋_GB2312" w:cs="仿宋_GB2312"/>
          <w:b w:val="0"/>
          <w:bCs w:val="0"/>
          <w:kern w:val="2"/>
          <w:lang w:val="en-US" w:eastAsia="zh-CN"/>
        </w:rPr>
        <w:t>1</w:t>
      </w:r>
      <w:r>
        <w:rPr>
          <w:rFonts w:hint="eastAsia" w:ascii="仿宋_GB2312" w:hAnsi="仿宋_GB2312" w:eastAsia="仿宋_GB2312" w:cs="仿宋_GB2312"/>
          <w:b w:val="0"/>
          <w:bCs w:val="0"/>
          <w:kern w:val="2"/>
        </w:rPr>
        <w:t>辆，</w:t>
      </w:r>
      <w:r>
        <w:rPr>
          <w:rFonts w:hint="eastAsia" w:hAnsi="仿宋_GB2312" w:cs="仿宋_GB2312"/>
          <w:b w:val="0"/>
          <w:bCs w:val="0"/>
          <w:kern w:val="2"/>
          <w:lang w:eastAsia="zh-CN"/>
        </w:rPr>
        <w:t>单价价值</w:t>
      </w:r>
      <w:r>
        <w:rPr>
          <w:rFonts w:hint="eastAsia" w:hAnsi="仿宋_GB2312" w:cs="仿宋_GB2312"/>
          <w:b w:val="0"/>
          <w:bCs w:val="0"/>
          <w:kern w:val="2"/>
          <w:lang w:val="en-US" w:eastAsia="zh-CN"/>
        </w:rPr>
        <w:t>50万元以上的通用设备0台（套）</w:t>
      </w:r>
      <w:r>
        <w:rPr>
          <w:rFonts w:hint="eastAsia" w:hAnsi="仿宋_GB2312" w:cs="仿宋_GB2312"/>
          <w:b w:val="0"/>
          <w:bCs w:val="0"/>
          <w:kern w:val="2"/>
          <w:lang w:eastAsia="zh-CN"/>
        </w:rPr>
        <w:t>和单价价值</w:t>
      </w:r>
      <w:r>
        <w:rPr>
          <w:rFonts w:hint="eastAsia" w:hAnsi="仿宋_GB2312" w:cs="仿宋_GB2312"/>
          <w:b w:val="0"/>
          <w:bCs w:val="0"/>
          <w:kern w:val="2"/>
          <w:lang w:val="en-US" w:eastAsia="zh-CN"/>
        </w:rPr>
        <w:t>100万元以上的专用设备0台（套）。</w:t>
      </w: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sz w:val="32"/>
          <w:szCs w:val="32"/>
        </w:rPr>
      </w:pPr>
    </w:p>
    <w:p>
      <w:pPr>
        <w:pStyle w:val="12"/>
        <w:kinsoku w:val="0"/>
        <w:overflowPunct w:val="0"/>
        <w:snapToGrid w:val="0"/>
        <w:spacing w:line="360" w:lineRule="auto"/>
        <w:ind w:left="0" w:leftChars="0" w:firstLine="0" w:firstLineChars="0"/>
        <w:jc w:val="center"/>
        <w:rPr>
          <w:rFonts w:hint="eastAsia" w:ascii="仿宋" w:hAnsi="仿宋" w:eastAsia="仿宋" w:cs="黑体"/>
          <w:b/>
          <w:bCs/>
          <w:sz w:val="48"/>
          <w:szCs w:val="48"/>
        </w:rPr>
      </w:pPr>
    </w:p>
    <w:p>
      <w:pPr>
        <w:pStyle w:val="12"/>
        <w:numPr>
          <w:ilvl w:val="0"/>
          <w:numId w:val="3"/>
        </w:numPr>
        <w:kinsoku w:val="0"/>
        <w:overflowPunct w:val="0"/>
        <w:snapToGrid w:val="0"/>
        <w:spacing w:line="360" w:lineRule="auto"/>
        <w:ind w:left="0" w:leftChars="0" w:firstLine="0" w:firstLineChars="0"/>
        <w:jc w:val="center"/>
        <w:rPr>
          <w:rFonts w:hint="eastAsia" w:ascii="仿宋" w:hAnsi="仿宋" w:eastAsia="仿宋" w:cs="黑体"/>
          <w:b/>
          <w:bCs/>
          <w:sz w:val="48"/>
          <w:szCs w:val="48"/>
        </w:rPr>
      </w:pPr>
      <w:r>
        <w:rPr>
          <w:rFonts w:hint="eastAsia" w:ascii="仿宋" w:hAnsi="仿宋" w:eastAsia="仿宋" w:cs="黑体"/>
          <w:b/>
          <w:bCs/>
          <w:spacing w:val="-32"/>
          <w:sz w:val="48"/>
          <w:szCs w:val="48"/>
        </w:rPr>
        <w:t xml:space="preserve"> </w:t>
      </w:r>
      <w:r>
        <w:rPr>
          <w:rFonts w:hint="eastAsia" w:ascii="仿宋" w:hAnsi="仿宋" w:eastAsia="仿宋" w:cs="黑体"/>
          <w:b/>
          <w:bCs/>
          <w:sz w:val="48"/>
          <w:szCs w:val="48"/>
        </w:rPr>
        <w:t>名词解释</w:t>
      </w: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widowControl w:val="0"/>
        <w:numPr>
          <w:numId w:val="0"/>
        </w:numPr>
        <w:kinsoku w:val="0"/>
        <w:overflowPunct w:val="0"/>
        <w:autoSpaceDE w:val="0"/>
        <w:autoSpaceDN w:val="0"/>
        <w:adjustRightInd w:val="0"/>
        <w:snapToGrid w:val="0"/>
        <w:spacing w:line="360" w:lineRule="auto"/>
        <w:jc w:val="center"/>
        <w:rPr>
          <w:rFonts w:hint="eastAsia" w:ascii="仿宋" w:hAnsi="仿宋" w:eastAsia="仿宋" w:cs="黑体"/>
          <w:b/>
          <w:bCs/>
          <w:sz w:val="48"/>
          <w:szCs w:val="48"/>
        </w:rPr>
      </w:pPr>
    </w:p>
    <w:p>
      <w:pPr>
        <w:pStyle w:val="12"/>
        <w:kinsoku w:val="0"/>
        <w:overflowPunct w:val="0"/>
        <w:snapToGrid w:val="0"/>
        <w:spacing w:line="360" w:lineRule="auto"/>
        <w:ind w:left="0" w:leftChars="0" w:firstLine="0" w:firstLineChars="0"/>
        <w:jc w:val="both"/>
        <w:rPr>
          <w:rFonts w:hint="eastAsia" w:ascii="仿宋_GB2312" w:hAnsi="仿宋_GB2312" w:eastAsia="仿宋_GB2312" w:cs="仿宋_GB2312"/>
          <w:kern w:val="2"/>
        </w:rPr>
      </w:pPr>
      <w:r>
        <w:rPr>
          <w:rFonts w:hint="eastAsia" w:hAnsi="仿宋_GB2312" w:cs="仿宋_GB2312"/>
          <w:kern w:val="2"/>
          <w:lang w:val="en-US" w:eastAsia="zh-CN"/>
        </w:rPr>
        <w:t xml:space="preserve">    </w:t>
      </w:r>
      <w:r>
        <w:rPr>
          <w:rFonts w:hint="eastAsia" w:ascii="仿宋_GB2312" w:hAnsi="仿宋_GB2312" w:eastAsia="仿宋_GB2312" w:cs="仿宋_GB2312"/>
          <w:kern w:val="2"/>
        </w:rPr>
        <w:t>一、财政拨款收入：是指市级财政当年拨付的资金。</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hAnsi="仿宋_GB2312" w:cs="仿宋_GB2312"/>
          <w:kern w:val="2"/>
          <w:lang w:eastAsia="zh-CN"/>
        </w:rPr>
        <w:t>八</w:t>
      </w:r>
      <w:r>
        <w:rPr>
          <w:rFonts w:hint="eastAsia" w:ascii="仿宋_GB2312" w:hAnsi="仿宋_GB2312" w:eastAsia="仿宋_GB2312" w:cs="仿宋_GB2312"/>
          <w:kern w:val="2"/>
        </w:rPr>
        <w:t>、“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rPr>
      </w:pPr>
      <w:r>
        <w:rPr>
          <w:rFonts w:hint="eastAsia" w:ascii="仿宋_GB2312" w:hAnsi="仿宋_GB2312" w:eastAsia="仿宋_GB2312" w:cs="仿宋_GB2312"/>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sectPr>
      <w:headerReference r:id="rId5" w:type="first"/>
      <w:footerReference r:id="rId8" w:type="first"/>
      <w:headerReference r:id="rId3" w:type="default"/>
      <w:footerReference r:id="rId6" w:type="default"/>
      <w:headerReference r:id="rId4" w:type="even"/>
      <w:footerReference r:id="rId7" w:type="even"/>
      <w:pgSz w:w="11905" w:h="16840"/>
      <w:pgMar w:top="1580" w:right="1240" w:bottom="1180" w:left="1400" w:header="0" w:footer="9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Palatino Linotype">
    <w:panose1 w:val="02040502050505030304"/>
    <w:charset w:val="00"/>
    <w:family w:val="auto"/>
    <w:pitch w:val="default"/>
    <w:sig w:usb0="E0000287" w:usb1="40000013" w:usb2="00000000" w:usb3="00000000" w:csb0="2000019F"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文星简超黑">
    <w:altName w:val="黑体"/>
    <w:panose1 w:val="02010609000101010101"/>
    <w:charset w:val="00"/>
    <w:family w:val="auto"/>
    <w:pitch w:val="default"/>
    <w:sig w:usb0="00000000" w:usb1="00000000" w:usb2="00000000" w:usb3="00000000" w:csb0="00040001" w:csb1="00000000"/>
  </w:font>
  <w:font w:name="文星简行草">
    <w:altName w:val="Lucida Console"/>
    <w:panose1 w:val="02010609000101010101"/>
    <w:charset w:val="00"/>
    <w:family w:val="auto"/>
    <w:pitch w:val="default"/>
    <w:sig w:usb0="00000000" w:usb1="00000000" w:usb2="00000000" w:usb3="00000000" w:csb0="00040001"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文星简隶书">
    <w:altName w:val="宋体"/>
    <w:panose1 w:val="02010609000101010101"/>
    <w:charset w:val="00"/>
    <w:family w:val="auto"/>
    <w:pitch w:val="default"/>
    <w:sig w:usb0="00000000" w:usb1="00000000" w:usb2="00000000" w:usb3="00000000" w:csb0="00040001" w:csb1="00000000"/>
  </w:font>
  <w:font w:name="文星简魏体">
    <w:altName w:val="Lucida Console"/>
    <w:panose1 w:val="02010609000101010101"/>
    <w:charset w:val="00"/>
    <w:family w:val="auto"/>
    <w:pitch w:val="default"/>
    <w:sig w:usb0="00000000" w:usb1="00000000" w:usb2="00000000" w:usb3="00000000" w:csb0="00040001" w:csb1="00000000"/>
  </w:font>
  <w:font w:name="文星简黑变">
    <w:altName w:val="黑体"/>
    <w:panose1 w:val="02010609000101010101"/>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Outlook">
    <w:panose1 w:val="05010100010000000000"/>
    <w:charset w:val="02"/>
    <w:family w:val="auto"/>
    <w:pitch w:val="default"/>
    <w:sig w:usb0="00000000" w:usb1="00000000" w:usb2="00000000" w:usb3="00000000" w:csb0="80000000" w:csb1="00000000"/>
  </w:font>
  <w:font w:name="Modern No. 20">
    <w:panose1 w:val="02070704070505020303"/>
    <w:charset w:val="00"/>
    <w:family w:val="auto"/>
    <w:pitch w:val="default"/>
    <w:sig w:usb0="00000003" w:usb1="00000000" w:usb2="00000000" w:usb3="00000000" w:csb0="20000001" w:csb1="00000000"/>
  </w:font>
  <w:font w:name="Miriam">
    <w:panose1 w:val="020B0502050101010101"/>
    <w:charset w:val="00"/>
    <w:family w:val="auto"/>
    <w:pitch w:val="default"/>
    <w:sig w:usb0="00000801" w:usb1="00000000" w:usb2="00000000" w:usb3="00000000" w:csb0="00000020" w:csb1="00200000"/>
  </w:font>
  <w:font w:name="Microsoft Uighur">
    <w:panose1 w:val="02000000000000000000"/>
    <w:charset w:val="00"/>
    <w:family w:val="auto"/>
    <w:pitch w:val="default"/>
    <w:sig w:usb0="00002003" w:usb1="80000000" w:usb2="00000008" w:usb3="00000000" w:csb0="00000041" w:csb1="00000000"/>
  </w:font>
  <w:font w:name="Microsoft PhagsPa">
    <w:panose1 w:val="020B0502040204020203"/>
    <w:charset w:val="00"/>
    <w:family w:val="auto"/>
    <w:pitch w:val="default"/>
    <w:sig w:usb0="00000003" w:usb1="00200000" w:usb2="08000000" w:usb3="00000000" w:csb0="00000001" w:csb1="00000000"/>
  </w:font>
  <w:font w:name="Microsoft Himalaya">
    <w:panose1 w:val="01010100010101010101"/>
    <w:charset w:val="00"/>
    <w:family w:val="auto"/>
    <w:pitch w:val="default"/>
    <w:sig w:usb0="80000003" w:usb1="00010000" w:usb2="00000040" w:usb3="00000000" w:csb0="00000001" w:csb1="00000000"/>
  </w:font>
  <w:font w:name="Matura MT Script Capitals">
    <w:panose1 w:val="03020802060602070202"/>
    <w:charset w:val="00"/>
    <w:family w:val="auto"/>
    <w:pitch w:val="default"/>
    <w:sig w:usb0="00000003" w:usb1="00000000" w:usb2="00000000" w:usb3="00000000" w:csb0="20000001" w:csb1="00000000"/>
  </w:font>
  <w:font w:name="文星简大黑">
    <w:altName w:val="黑体"/>
    <w:panose1 w:val="02010609000101010101"/>
    <w:charset w:val="00"/>
    <w:family w:val="auto"/>
    <w:pitch w:val="default"/>
    <w:sig w:usb0="00000000" w:usb1="00000000" w:usb2="00000000" w:usb3="00000000" w:csb0="00040001" w:csb1="00000000"/>
  </w:font>
  <w:font w:name="文星简中圆">
    <w:altName w:val="Lucida Console"/>
    <w:panose1 w:val="02010609000101010101"/>
    <w:charset w:val="00"/>
    <w:family w:val="auto"/>
    <w:pitch w:val="default"/>
    <w:sig w:usb0="00000000" w:usb1="00000000" w:usb2="00000000" w:usb3="00000000" w:csb0="00040001"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文星简舒同">
    <w:altName w:val="Lucida Console"/>
    <w:panose1 w:val="02010609000101010101"/>
    <w:charset w:val="00"/>
    <w:family w:val="auto"/>
    <w:pitch w:val="default"/>
    <w:sig w:usb0="00000000" w:usb1="00000000" w:usb2="00000000" w:usb3="00000000" w:csb0="00040001" w:csb1="00000000"/>
  </w:font>
  <w:font w:name="文星简粗黑">
    <w:altName w:val="黑体"/>
    <w:panose1 w:val="02010609000101010101"/>
    <w:charset w:val="00"/>
    <w:family w:val="auto"/>
    <w:pitch w:val="default"/>
    <w:sig w:usb0="00000000" w:usb1="00000000" w:usb2="00000000" w:usb3="00000000" w:csb0="00040001" w:csb1="00000000"/>
  </w:font>
  <w:font w:name="文星简彩云">
    <w:altName w:val="Lucida Console"/>
    <w:panose1 w:val="02010609000101010101"/>
    <w:charset w:val="00"/>
    <w:family w:val="auto"/>
    <w:pitch w:val="default"/>
    <w:sig w:usb0="00000000" w:usb1="00000000" w:usb2="00000000" w:usb3="00000000" w:csb0="00040001" w:csb1="00000000"/>
  </w:font>
  <w:font w:name="文星简大标宋">
    <w:altName w:val="宋体"/>
    <w:panose1 w:val="02010609000101010101"/>
    <w:charset w:val="00"/>
    <w:family w:val="auto"/>
    <w:pitch w:val="default"/>
    <w:sig w:usb0="00000000" w:usb1="00000000" w:usb2="00000000" w:usb3="00000000" w:csb0="00040001" w:csb1="00000000"/>
  </w:font>
  <w:font w:name="文星简行楷">
    <w:altName w:val="宋体"/>
    <w:panose1 w:val="02010609000101010101"/>
    <w:charset w:val="00"/>
    <w:family w:val="auto"/>
    <w:pitch w:val="default"/>
    <w:sig w:usb0="00000000" w:usb1="00000000" w:usb2="00000000" w:usb3="00000000" w:csb0="00040001" w:csb1="00000000"/>
  </w:font>
  <w:font w:name="文星简综艺">
    <w:altName w:val="Lucida Console"/>
    <w:panose1 w:val="02010609000101010101"/>
    <w:charset w:val="00"/>
    <w:family w:val="auto"/>
    <w:pitch w:val="default"/>
    <w:sig w:usb0="00000000" w:usb1="00000000" w:usb2="00000000" w:usb3="00000000" w:csb0="00040001" w:csb1="00000000"/>
  </w:font>
  <w:font w:name="文星简美黑">
    <w:altName w:val="黑体"/>
    <w:panose1 w:val="02010609000101010101"/>
    <w:charset w:val="00"/>
    <w:family w:val="auto"/>
    <w:pitch w:val="default"/>
    <w:sig w:usb0="00000000" w:usb1="00000000" w:usb2="00000000" w:usb3="00000000" w:csb0="00040001" w:csb1="00000000"/>
  </w:font>
  <w:font w:name="文星简胖头鱼">
    <w:altName w:val="Lucida Console"/>
    <w:panose1 w:val="02010609000101010101"/>
    <w:charset w:val="00"/>
    <w:family w:val="auto"/>
    <w:pitch w:val="default"/>
    <w:sig w:usb0="00000000" w:usb1="00000000" w:usb2="00000000" w:usb3="00000000" w:csb0="00040001" w:csb1="00000000"/>
  </w:font>
  <w:font w:name="文星简楷宋">
    <w:altName w:val="宋体"/>
    <w:panose1 w:val="02010609000101010101"/>
    <w:charset w:val="00"/>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Bookman Old Style">
    <w:panose1 w:val="02050604050505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Lucida Sans Unicode">
    <w:panose1 w:val="020B0602030504020204"/>
    <w:charset w:val="00"/>
    <w:family w:val="auto"/>
    <w:pitch w:val="default"/>
    <w:sig w:usb0="80001AFF" w:usb1="0000396B" w:usb2="00000000" w:usb3="00000000" w:csb0="200000BF" w:csb1="D7F70000"/>
  </w:font>
  <w:font w:name="Monotype Corsiva">
    <w:panose1 w:val="03010101010201010101"/>
    <w:charset w:val="00"/>
    <w:family w:val="auto"/>
    <w:pitch w:val="default"/>
    <w:sig w:usb0="00000287" w:usb1="00000000" w:usb2="00000000" w:usb3="00000000" w:csb0="2000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_9ed1_4f53">
    <w:altName w:val="Courier New"/>
    <w:panose1 w:val="00000000000000000000"/>
    <w:charset w:val="00"/>
    <w:family w:val="auto"/>
    <w:pitch w:val="default"/>
    <w:sig w:usb0="00000000" w:usb1="00000000" w:usb2="00000000" w:usb3="00000000" w:csb0="00040001" w:csb1="00000000"/>
  </w:font>
  <w:font w:name="_4eff_5b8b">
    <w:altName w:val="Courier New"/>
    <w:panose1 w:val="00000000000000000000"/>
    <w:charset w:val="00"/>
    <w:family w:val="auto"/>
    <w:pitch w:val="default"/>
    <w:sig w:usb0="00000000" w:usb1="00000000" w:usb2="00000000" w:usb3="00000000" w:csb0="00040001" w:csb1="00000000"/>
  </w:font>
  <w:font w:name="_6977_4f53">
    <w:altName w:val="Courier New"/>
    <w:panose1 w:val="00000000000000000000"/>
    <w:charset w:val="00"/>
    <w:family w:val="auto"/>
    <w:pitch w:val="default"/>
    <w:sig w:usb0="00000000" w:usb1="00000000" w:usb2="00000000" w:usb3="00000000" w:csb0="00040001" w:csb1="00000000"/>
  </w:font>
  <w:font w:name="禹卫书法行书繁体">
    <w:altName w:val="PMingLiU"/>
    <w:panose1 w:val="02000603000000000000"/>
    <w:charset w:val="88"/>
    <w:family w:val="auto"/>
    <w:pitch w:val="default"/>
    <w:sig w:usb0="00000000" w:usb1="00000000" w:usb2="00000010" w:usb3="00000000" w:csb0="00100000" w:csb1="00000000"/>
  </w:font>
  <w:font w:name="MV Boli">
    <w:panose1 w:val="02000500030200090000"/>
    <w:charset w:val="00"/>
    <w:family w:val="auto"/>
    <w:pitch w:val="default"/>
    <w:sig w:usb0="00000003" w:usb1="00000000" w:usb2="00000100" w:usb3="00000000" w:csb0="00000001" w:csb1="00000000"/>
  </w:font>
  <w:font w:name="Sylfaen">
    <w:panose1 w:val="010A0502050306030303"/>
    <w:charset w:val="00"/>
    <w:family w:val="auto"/>
    <w:pitch w:val="default"/>
    <w:sig w:usb0="04000687" w:usb1="00000000" w:usb2="00000000" w:usb3="00000000" w:csb0="2000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7B4"/>
    <w:multiLevelType w:val="singleLevel"/>
    <w:tmpl w:val="0F2107B4"/>
    <w:lvl w:ilvl="0" w:tentative="0">
      <w:start w:val="4"/>
      <w:numFmt w:val="chineseCounting"/>
      <w:suff w:val="space"/>
      <w:lvlText w:val="第%1部分"/>
      <w:lvlJc w:val="left"/>
      <w:rPr>
        <w:rFonts w:hint="eastAsia"/>
      </w:rPr>
    </w:lvl>
  </w:abstractNum>
  <w:abstractNum w:abstractNumId="1">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2">
    <w:nsid w:val="5A164DEB"/>
    <w:multiLevelType w:val="singleLevel"/>
    <w:tmpl w:val="5A164DEB"/>
    <w:lvl w:ilvl="0" w:tentative="0">
      <w:start w:val="8"/>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3DA5C57"/>
    <w:rsid w:val="31F94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0"/>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1"/>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2"/>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3"/>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4"/>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5"/>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6"/>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7"/>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8"/>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qFormat/>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0"/>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9"/>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9"/>
    <w:unhideWhenUsed/>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1"/>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40"/>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3">
    <w:name w:val="List Paragraph"/>
    <w:basedOn w:val="1"/>
    <w:qFormat/>
    <w:uiPriority w:val="34"/>
    <w:pPr>
      <w:ind w:firstLine="420" w:firstLineChars="200"/>
    </w:pPr>
  </w:style>
  <w:style w:type="paragraph" w:customStyle="1" w:styleId="24">
    <w:name w:val="No Spacing"/>
    <w:link w:val="42"/>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5">
    <w:name w:val="Quote"/>
    <w:basedOn w:val="1"/>
    <w:next w:val="1"/>
    <w:link w:val="43"/>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6">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7">
    <w:name w:val="TOC Heading"/>
    <w:basedOn w:val="2"/>
    <w:next w:val="1"/>
    <w:qFormat/>
    <w:uiPriority w:val="39"/>
    <w:pPr>
      <w:spacing w:before="340" w:after="330" w:line="578" w:lineRule="atLeast"/>
      <w:outlineLvl w:val="9"/>
    </w:pPr>
    <w:rPr>
      <w:rFonts w:eastAsia="仿宋_GB2312"/>
      <w:sz w:val="44"/>
    </w:rPr>
  </w:style>
  <w:style w:type="character" w:customStyle="1" w:styleId="28">
    <w:name w:val="页眉 Char Char"/>
    <w:basedOn w:val="18"/>
    <w:link w:val="15"/>
    <w:uiPriority w:val="0"/>
    <w:rPr>
      <w:sz w:val="18"/>
      <w:szCs w:val="18"/>
    </w:rPr>
  </w:style>
  <w:style w:type="character" w:customStyle="1" w:styleId="29">
    <w:name w:val="页脚 Char Char"/>
    <w:basedOn w:val="18"/>
    <w:link w:val="14"/>
    <w:uiPriority w:val="0"/>
    <w:rPr>
      <w:sz w:val="18"/>
      <w:szCs w:val="18"/>
    </w:rPr>
  </w:style>
  <w:style w:type="character" w:customStyle="1" w:styleId="30">
    <w:name w:val="标题 1 Char Char"/>
    <w:basedOn w:val="18"/>
    <w:link w:val="2"/>
    <w:uiPriority w:val="9"/>
    <w:rPr>
      <w:rFonts w:ascii="Times New Roman" w:hAnsi="Times New Roman" w:eastAsia="黑体" w:cs="Times New Roman"/>
      <w:bCs/>
      <w:kern w:val="44"/>
      <w:sz w:val="32"/>
      <w:szCs w:val="44"/>
    </w:rPr>
  </w:style>
  <w:style w:type="character" w:customStyle="1" w:styleId="31">
    <w:name w:val="标题 2 Char Char"/>
    <w:basedOn w:val="18"/>
    <w:link w:val="3"/>
    <w:uiPriority w:val="9"/>
    <w:rPr>
      <w:rFonts w:ascii="Times New Roman" w:hAnsi="Times New Roman" w:eastAsia="仿宋_GB2312" w:cs="Times New Roman"/>
      <w:b/>
      <w:bCs/>
      <w:kern w:val="0"/>
      <w:sz w:val="32"/>
      <w:szCs w:val="32"/>
    </w:rPr>
  </w:style>
  <w:style w:type="character" w:customStyle="1" w:styleId="32">
    <w:name w:val="标题 3 Char Char"/>
    <w:basedOn w:val="18"/>
    <w:link w:val="4"/>
    <w:uiPriority w:val="9"/>
    <w:rPr>
      <w:rFonts w:ascii="Times New Roman" w:hAnsi="Times New Roman" w:eastAsia="仿宋_GB2312" w:cs="Times New Roman"/>
      <w:b/>
      <w:bCs/>
      <w:kern w:val="0"/>
      <w:sz w:val="32"/>
      <w:szCs w:val="32"/>
    </w:rPr>
  </w:style>
  <w:style w:type="character" w:customStyle="1" w:styleId="33">
    <w:name w:val="标题 4 Char Char"/>
    <w:basedOn w:val="18"/>
    <w:link w:val="5"/>
    <w:uiPriority w:val="9"/>
    <w:rPr>
      <w:rFonts w:ascii="Cambria" w:hAnsi="Cambria" w:eastAsia="宋体" w:cs="Times New Roman"/>
      <w:b/>
      <w:bCs/>
      <w:kern w:val="0"/>
      <w:sz w:val="28"/>
      <w:szCs w:val="28"/>
    </w:rPr>
  </w:style>
  <w:style w:type="character" w:customStyle="1" w:styleId="34">
    <w:name w:val="标题 5 Char Char"/>
    <w:basedOn w:val="18"/>
    <w:link w:val="6"/>
    <w:uiPriority w:val="9"/>
    <w:rPr>
      <w:rFonts w:ascii="Times New Roman" w:hAnsi="Times New Roman" w:eastAsia="仿宋_GB2312" w:cs="Times New Roman"/>
      <w:b/>
      <w:bCs/>
      <w:kern w:val="0"/>
      <w:sz w:val="28"/>
      <w:szCs w:val="28"/>
    </w:rPr>
  </w:style>
  <w:style w:type="character" w:customStyle="1" w:styleId="35">
    <w:name w:val="标题 6 Char Char"/>
    <w:basedOn w:val="18"/>
    <w:link w:val="7"/>
    <w:uiPriority w:val="9"/>
    <w:rPr>
      <w:rFonts w:ascii="Cambria" w:hAnsi="Cambria" w:eastAsia="宋体" w:cs="Times New Roman"/>
      <w:b/>
      <w:bCs/>
      <w:kern w:val="0"/>
      <w:sz w:val="24"/>
      <w:szCs w:val="24"/>
    </w:rPr>
  </w:style>
  <w:style w:type="character" w:customStyle="1" w:styleId="36">
    <w:name w:val="标题 7 Char Char"/>
    <w:basedOn w:val="18"/>
    <w:link w:val="8"/>
    <w:uiPriority w:val="9"/>
    <w:rPr>
      <w:rFonts w:ascii="Times New Roman" w:hAnsi="Times New Roman" w:eastAsia="仿宋_GB2312" w:cs="Times New Roman"/>
      <w:b/>
      <w:bCs/>
      <w:kern w:val="0"/>
      <w:sz w:val="24"/>
      <w:szCs w:val="24"/>
    </w:rPr>
  </w:style>
  <w:style w:type="character" w:customStyle="1" w:styleId="37">
    <w:name w:val="标题 8 Char Char"/>
    <w:basedOn w:val="18"/>
    <w:link w:val="9"/>
    <w:uiPriority w:val="9"/>
    <w:rPr>
      <w:rFonts w:ascii="Cambria" w:hAnsi="Cambria" w:eastAsia="宋体" w:cs="Times New Roman"/>
      <w:kern w:val="0"/>
      <w:sz w:val="24"/>
      <w:szCs w:val="24"/>
    </w:rPr>
  </w:style>
  <w:style w:type="character" w:customStyle="1" w:styleId="38">
    <w:name w:val="标题 9 Char Char"/>
    <w:basedOn w:val="18"/>
    <w:link w:val="10"/>
    <w:uiPriority w:val="9"/>
    <w:rPr>
      <w:rFonts w:ascii="Cambria" w:hAnsi="Cambria" w:eastAsia="宋体" w:cs="Times New Roman"/>
      <w:kern w:val="0"/>
      <w:sz w:val="20"/>
      <w:szCs w:val="21"/>
    </w:rPr>
  </w:style>
  <w:style w:type="character" w:customStyle="1" w:styleId="39">
    <w:name w:val="批注框文本 Char Char"/>
    <w:basedOn w:val="18"/>
    <w:link w:val="13"/>
    <w:uiPriority w:val="99"/>
    <w:rPr>
      <w:rFonts w:ascii="Calibri" w:hAnsi="Calibri" w:eastAsia="宋体" w:cs="Times New Roman"/>
      <w:sz w:val="18"/>
      <w:szCs w:val="18"/>
    </w:rPr>
  </w:style>
  <w:style w:type="character" w:customStyle="1" w:styleId="40">
    <w:name w:val="标题 Char Char"/>
    <w:basedOn w:val="18"/>
    <w:link w:val="17"/>
    <w:uiPriority w:val="10"/>
    <w:rPr>
      <w:rFonts w:ascii="Times New Roman" w:hAnsi="Times New Roman" w:eastAsia="黑体" w:cs="Times New Roman"/>
      <w:b/>
      <w:bCs/>
      <w:kern w:val="0"/>
      <w:sz w:val="36"/>
      <w:szCs w:val="32"/>
    </w:rPr>
  </w:style>
  <w:style w:type="character" w:customStyle="1" w:styleId="41">
    <w:name w:val="副标题 Char Char"/>
    <w:basedOn w:val="18"/>
    <w:link w:val="16"/>
    <w:uiPriority w:val="11"/>
    <w:rPr>
      <w:rFonts w:ascii="Cambria" w:hAnsi="Cambria" w:eastAsia="宋体" w:cs="Times New Roman"/>
      <w:b/>
      <w:bCs/>
      <w:kern w:val="28"/>
      <w:sz w:val="32"/>
      <w:szCs w:val="32"/>
    </w:rPr>
  </w:style>
  <w:style w:type="character" w:customStyle="1" w:styleId="42">
    <w:name w:val="无间隔 Char"/>
    <w:link w:val="24"/>
    <w:uiPriority w:val="1"/>
    <w:rPr>
      <w:rFonts w:ascii="Times New Roman" w:hAnsi="Times New Roman" w:eastAsia="仿宋_GB2312" w:cs="Times New Roman"/>
      <w:kern w:val="0"/>
      <w:sz w:val="32"/>
      <w:szCs w:val="20"/>
    </w:rPr>
  </w:style>
  <w:style w:type="character" w:customStyle="1" w:styleId="43">
    <w:name w:val="引用 Char"/>
    <w:basedOn w:val="18"/>
    <w:link w:val="25"/>
    <w:uiPriority w:val="29"/>
    <w:rPr>
      <w:rFonts w:ascii="Times New Roman" w:hAnsi="Times New Roman" w:eastAsia="仿宋_GB2312" w:cs="Times New Roman"/>
      <w:i/>
      <w:iCs/>
      <w:color w:val="000000"/>
      <w:kern w:val="0"/>
      <w:sz w:val="32"/>
      <w:szCs w:val="20"/>
    </w:rPr>
  </w:style>
  <w:style w:type="character" w:customStyle="1" w:styleId="44">
    <w:name w:val="明显引用 Char"/>
    <w:basedOn w:val="18"/>
    <w:link w:val="26"/>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character" w:customStyle="1" w:styleId="50">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1029</Words>
  <Characters>5870</Characters>
  <Lines>48</Lines>
  <Paragraphs>13</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2018-01-08T17:11:49Z</dcterms:modified>
  <dc:title>公开参考格式：不随文下发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