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濮阳经济技术开发区政协工作委员会</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开发区政协工委概况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主要职责</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开发区政协工委2016年度部门决算表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开发区政协工委2016年度部门决算情况说明</w:t>
      </w:r>
    </w:p>
    <w:p>
      <w:pPr>
        <w:numPr>
          <w:ilvl w:val="0"/>
          <w:numId w:val="2"/>
        </w:numPr>
        <w:jc w:val="left"/>
        <w:rPr>
          <w:rFonts w:ascii="宋体" w:cs="宋体"/>
          <w:sz w:val="32"/>
          <w:szCs w:val="32"/>
        </w:rPr>
      </w:pPr>
      <w:r>
        <w:rPr>
          <w:rFonts w:hint="eastAsia" w:ascii="宋体" w:hAnsi="宋体" w:cs="宋体"/>
          <w:sz w:val="32"/>
          <w:szCs w:val="32"/>
        </w:rPr>
        <w:t>收入支出总体情况说明</w:t>
      </w:r>
    </w:p>
    <w:p>
      <w:pPr>
        <w:numPr>
          <w:ilvl w:val="0"/>
          <w:numId w:val="3"/>
        </w:numPr>
        <w:jc w:val="left"/>
        <w:rPr>
          <w:rFonts w:ascii="宋体" w:cs="宋体"/>
          <w:sz w:val="32"/>
          <w:szCs w:val="32"/>
        </w:rPr>
      </w:pPr>
      <w:r>
        <w:rPr>
          <w:rFonts w:hint="eastAsia" w:ascii="宋体" w:hAnsi="宋体" w:cs="宋体"/>
          <w:sz w:val="32"/>
          <w:szCs w:val="32"/>
        </w:rPr>
        <w:t>收入决算情况说明</w:t>
      </w:r>
    </w:p>
    <w:p>
      <w:pPr>
        <w:numPr>
          <w:ilvl w:val="0"/>
          <w:numId w:val="3"/>
        </w:numPr>
        <w:jc w:val="left"/>
        <w:rPr>
          <w:rFonts w:ascii="宋体" w:cs="宋体"/>
          <w:sz w:val="32"/>
          <w:szCs w:val="32"/>
        </w:rPr>
      </w:pPr>
      <w:r>
        <w:rPr>
          <w:rFonts w:hint="eastAsia" w:ascii="宋体" w:hAnsi="宋体" w:cs="宋体"/>
          <w:sz w:val="32"/>
          <w:szCs w:val="32"/>
        </w:rPr>
        <w:t>支出决算情况说明</w:t>
      </w:r>
    </w:p>
    <w:p>
      <w:pPr>
        <w:numPr>
          <w:ilvl w:val="0"/>
          <w:numId w:val="4"/>
        </w:numPr>
        <w:adjustRightInd w:val="0"/>
        <w:snapToGrid w:val="0"/>
        <w:spacing w:line="360" w:lineRule="auto"/>
        <w:outlineLvl w:val="1"/>
        <w:rPr>
          <w:rFonts w:ascii="宋体" w:cs="宋体"/>
          <w:sz w:val="32"/>
          <w:szCs w:val="32"/>
        </w:rPr>
      </w:pPr>
      <w:r>
        <w:rPr>
          <w:rFonts w:hint="eastAsia" w:ascii="宋体" w:hAnsi="宋体" w:cs="宋体"/>
          <w:sz w:val="32"/>
          <w:szCs w:val="32"/>
        </w:rPr>
        <w:t>关于财政拨款收入支出决算总体情况说明</w:t>
      </w:r>
    </w:p>
    <w:p>
      <w:pPr>
        <w:numPr>
          <w:ilvl w:val="0"/>
          <w:numId w:val="5"/>
        </w:numPr>
        <w:adjustRightInd w:val="0"/>
        <w:snapToGrid w:val="0"/>
        <w:spacing w:line="360" w:lineRule="auto"/>
        <w:outlineLvl w:val="1"/>
        <w:rPr>
          <w:rFonts w:ascii="宋体" w:cs="宋体"/>
          <w:sz w:val="32"/>
          <w:szCs w:val="32"/>
        </w:rPr>
      </w:pPr>
      <w:r>
        <w:rPr>
          <w:rFonts w:hint="eastAsia" w:ascii="宋体" w:hAnsi="宋体" w:cs="宋体"/>
          <w:sz w:val="32"/>
          <w:szCs w:val="32"/>
        </w:rPr>
        <w:t>关于一般公共预算财政拨款支出决算情况说明</w:t>
      </w:r>
    </w:p>
    <w:p>
      <w:pPr>
        <w:adjustRightInd w:val="0"/>
        <w:snapToGrid w:val="0"/>
        <w:spacing w:line="360" w:lineRule="auto"/>
        <w:outlineLvl w:val="1"/>
        <w:rPr>
          <w:rFonts w:ascii="宋体" w:cs="宋体"/>
          <w:sz w:val="32"/>
          <w:szCs w:val="32"/>
        </w:rPr>
      </w:pPr>
      <w:r>
        <w:rPr>
          <w:rFonts w:hint="eastAsia" w:ascii="宋体" w:hAnsi="宋体" w:cs="宋体"/>
          <w:sz w:val="32"/>
          <w:szCs w:val="32"/>
        </w:rPr>
        <w:t>六、关于一般公共预算财政拨款基本支出决算情况说明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宋体" w:hAnsi="宋体" w:cs="宋体"/>
          <w:sz w:val="32"/>
          <w:szCs w:val="32"/>
        </w:rPr>
        <w:t>七、关于一般公共预算财政拨款“三公”经费支出决算情况说明</w:t>
      </w:r>
    </w:p>
    <w:p>
      <w:pPr>
        <w:kinsoku w:val="0"/>
        <w:overflowPunct w:val="0"/>
        <w:autoSpaceDE w:val="0"/>
        <w:autoSpaceDN w:val="0"/>
        <w:adjustRightInd w:val="0"/>
        <w:snapToGrid w:val="0"/>
        <w:spacing w:line="360" w:lineRule="auto"/>
        <w:rPr>
          <w:rFonts w:ascii="楷体_GB2312" w:hAnsi="楷体_GB2312" w:eastAsia="楷体_GB2312" w:cs="楷体_GB2312"/>
          <w:sz w:val="32"/>
          <w:szCs w:val="32"/>
        </w:rPr>
      </w:pPr>
      <w:r>
        <w:rPr>
          <w:rFonts w:hint="eastAsia" w:ascii="宋体" w:hAnsi="宋体" w:cs="宋体"/>
          <w:sz w:val="32"/>
          <w:szCs w:val="32"/>
        </w:rPr>
        <w:t>（一）</w:t>
      </w: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楷体_GB2312" w:hAnsi="楷体_GB2312" w:eastAsia="楷体_GB2312" w:cs="楷体_GB2312"/>
          <w:sz w:val="32"/>
          <w:szCs w:val="32"/>
        </w:rPr>
        <w:t>（二）“三公”经费财政拨款支出决算具体情况说明。</w:t>
      </w:r>
    </w:p>
    <w:p>
      <w:pPr>
        <w:adjustRightInd w:val="0"/>
        <w:snapToGrid w:val="0"/>
        <w:spacing w:line="360" w:lineRule="auto"/>
        <w:outlineLvl w:val="1"/>
        <w:rPr>
          <w:rFonts w:ascii="宋体" w:cs="宋体"/>
          <w:sz w:val="32"/>
          <w:szCs w:val="32"/>
        </w:rPr>
      </w:pPr>
      <w:r>
        <w:rPr>
          <w:rFonts w:hint="eastAsia" w:ascii="宋体" w:hAnsi="宋体" w:cs="宋体"/>
          <w:sz w:val="32"/>
          <w:szCs w:val="32"/>
        </w:rPr>
        <w:t>八、关于政府性基金预算财政拨款支出决算情况说明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宋体" w:hAnsi="宋体" w:cs="宋体"/>
          <w:sz w:val="32"/>
          <w:szCs w:val="32"/>
        </w:rPr>
        <w:t>九</w:t>
      </w:r>
      <w:r>
        <w:rPr>
          <w:rFonts w:hint="eastAsia" w:ascii="黑体" w:hAnsi="黑体" w:eastAsia="黑体"/>
          <w:sz w:val="32"/>
          <w:szCs w:val="32"/>
        </w:rPr>
        <w:t>、</w:t>
      </w:r>
      <w:r>
        <w:rPr>
          <w:rFonts w:hint="eastAsia" w:ascii="宋体" w:hAnsi="宋体" w:cs="宋体"/>
          <w:sz w:val="32"/>
          <w:szCs w:val="32"/>
        </w:rPr>
        <w:t>其他重要事项的情况说明</w:t>
      </w:r>
    </w:p>
    <w:p>
      <w:pPr>
        <w:kinsoku w:val="0"/>
        <w:overflowPunct w:val="0"/>
        <w:autoSpaceDE w:val="0"/>
        <w:autoSpaceDN w:val="0"/>
        <w:adjustRightInd w:val="0"/>
        <w:snapToGrid w:val="0"/>
        <w:spacing w:line="360" w:lineRule="auto"/>
        <w:rPr>
          <w:rFonts w:ascii="楷体_GB2312" w:hAnsi="Times New Roman" w:eastAsia="楷体_GB2312"/>
          <w:bCs/>
          <w:kern w:val="0"/>
          <w:sz w:val="32"/>
          <w:szCs w:val="32"/>
        </w:rPr>
      </w:pPr>
      <w:r>
        <w:rPr>
          <w:rFonts w:hint="eastAsia" w:ascii="宋体" w:hAnsi="宋体" w:cs="宋体"/>
          <w:sz w:val="32"/>
          <w:szCs w:val="32"/>
        </w:rPr>
        <w:t>（一）</w:t>
      </w: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（二）政府采购支出情况。</w:t>
      </w:r>
    </w:p>
    <w:p>
      <w:pPr>
        <w:kinsoku w:val="0"/>
        <w:overflowPunct w:val="0"/>
        <w:autoSpaceDE w:val="0"/>
        <w:autoSpaceDN w:val="0"/>
        <w:adjustRightInd w:val="0"/>
        <w:snapToGrid w:val="0"/>
        <w:spacing w:line="360" w:lineRule="auto"/>
        <w:rPr>
          <w:rFonts w:ascii="宋体" w:cs="宋体"/>
          <w:sz w:val="32"/>
          <w:szCs w:val="32"/>
        </w:rPr>
      </w:pPr>
      <w:r>
        <w:rPr>
          <w:rFonts w:hint="eastAsia" w:ascii="楷体_GB2312" w:hAnsi="Times New Roman" w:eastAsia="楷体_GB2312" w:cs="仿宋_GB2312"/>
          <w:bCs/>
          <w:kern w:val="0"/>
          <w:sz w:val="32"/>
          <w:szCs w:val="32"/>
        </w:rPr>
        <w:t>（三）国有资产占用情况。</w:t>
      </w:r>
    </w:p>
    <w:p>
      <w:pPr>
        <w:jc w:val="left"/>
        <w:rPr>
          <w:rFonts w:ascii="黑体" w:hAnsi="黑体" w:eastAsia="黑体" w:cs="黑体"/>
          <w:sz w:val="32"/>
          <w:szCs w:val="32"/>
        </w:rPr>
      </w:pP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第一部分　　开发区政协工委概况</w:t>
      </w:r>
    </w:p>
    <w:p>
      <w:pPr>
        <w:numPr>
          <w:ilvl w:val="0"/>
          <w:numId w:val="6"/>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主要职责</w:t>
      </w:r>
    </w:p>
    <w:p>
      <w:pPr>
        <w:pStyle w:val="2"/>
        <w:kinsoku w:val="0"/>
        <w:overflowPunct w:val="0"/>
        <w:snapToGrid w:val="0"/>
        <w:spacing w:line="360" w:lineRule="auto"/>
        <w:ind w:left="121" w:right="118" w:firstLine="360"/>
        <w:rPr>
          <w:rFonts w:hAnsi="仿宋_GB2312" w:cs="仿宋_GB2312"/>
          <w:kern w:val="2"/>
        </w:rPr>
      </w:pPr>
      <w:r>
        <w:rPr>
          <w:rFonts w:hint="eastAsia" w:hAnsi="仿宋_GB2312" w:cs="仿宋_GB2312"/>
        </w:rPr>
        <w:t>濮阳经济技术开发区政协工作委员会，成立于2006年2月，具体负责开发区内政协工作。主要工作职责是：传达贯彻上级政协的有关决议和重要会议精神；受市政协委托联系开发区辖区内的省、市政协委员，为政协委员服务，并组织政协委员进行视察、调研、经验交流和工作研讨等；负责开发区辖区内政协委员提案的督办落实工作和市政协及区党工委、管委会交办的其他工作，</w:t>
      </w:r>
      <w:r>
        <w:rPr>
          <w:rFonts w:hint="eastAsia" w:hAnsi="仿宋_GB2312" w:cs="仿宋_GB2312"/>
          <w:kern w:val="2"/>
        </w:rPr>
        <w:t>开发区政协工委部门决算为机关本级决算。</w:t>
      </w:r>
    </w:p>
    <w:p>
      <w:pPr>
        <w:numPr>
          <w:ilvl w:val="0"/>
          <w:numId w:val="7"/>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numPr>
          <w:numId w:val="0"/>
        </w:numPr>
        <w:spacing w:line="360" w:lineRule="auto"/>
        <w:ind w:firstLine="640" w:firstLineChars="200"/>
        <w:jc w:val="left"/>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纳入开发区政协</w:t>
      </w:r>
      <w:r>
        <w:rPr>
          <w:rFonts w:hint="eastAsia" w:ascii="仿宋" w:hAnsi="仿宋" w:eastAsia="仿宋" w:cs="仿宋"/>
          <w:b w:val="0"/>
          <w:bCs w:val="0"/>
          <w:sz w:val="32"/>
          <w:szCs w:val="32"/>
          <w:lang w:val="en-US" w:eastAsia="zh-CN"/>
        </w:rPr>
        <w:t>2016年部门决算编制范围的单位包括：政协本级。</w:t>
      </w:r>
    </w:p>
    <w:p>
      <w:pPr>
        <w:numPr>
          <w:numId w:val="0"/>
        </w:numPr>
        <w:spacing w:line="360" w:lineRule="auto"/>
        <w:ind w:firstLine="640" w:firstLineChars="200"/>
        <w:jc w:val="left"/>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本单位无二级预算单位，本级决算及汇总决算。</w:t>
      </w:r>
    </w:p>
    <w:p>
      <w:pPr>
        <w:pStyle w:val="2"/>
        <w:kinsoku w:val="0"/>
        <w:overflowPunct w:val="0"/>
        <w:snapToGrid w:val="0"/>
        <w:spacing w:line="360" w:lineRule="auto"/>
        <w:ind w:left="121" w:right="118" w:firstLine="360"/>
        <w:rPr>
          <w:rFonts w:hAnsi="仿宋_GB2312" w:cs="仿宋_GB2312"/>
          <w:kern w:val="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开发区政协工委2016年度部门决算表</w:t>
      </w:r>
    </w:p>
    <w:tbl>
      <w:tblPr>
        <w:tblStyle w:val="6"/>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72" w:type="dxa"/>
            <w:shd w:val="clear" w:color="auto" w:fill="auto"/>
            <w:vAlign w:val="center"/>
          </w:tcPr>
          <w:p>
            <w:pPr>
              <w:rPr>
                <w:rFonts w:ascii="宋体" w:hAnsi="宋体" w:eastAsia="宋体" w:cs="宋体"/>
                <w:color w:val="000000"/>
                <w:sz w:val="16"/>
                <w:szCs w:val="16"/>
              </w:rPr>
            </w:pPr>
          </w:p>
        </w:tc>
        <w:tc>
          <w:tcPr>
            <w:tcW w:w="1316" w:type="dxa"/>
            <w:shd w:val="clear" w:color="auto" w:fill="auto"/>
            <w:vAlign w:val="center"/>
          </w:tcPr>
          <w:p>
            <w:pPr>
              <w:rPr>
                <w:rFonts w:ascii="宋体" w:hAnsi="宋体" w:eastAsia="宋体" w:cs="宋体"/>
                <w:color w:val="000000"/>
                <w:sz w:val="16"/>
                <w:szCs w:val="16"/>
              </w:rPr>
            </w:pPr>
          </w:p>
        </w:tc>
        <w:tc>
          <w:tcPr>
            <w:tcW w:w="3144" w:type="dxa"/>
            <w:gridSpan w:val="3"/>
            <w:shd w:val="clear" w:color="auto" w:fill="auto"/>
            <w:vAlign w:val="center"/>
          </w:tcPr>
          <w:p>
            <w:pPr>
              <w:rPr>
                <w:rFonts w:ascii="宋体" w:hAnsi="宋体" w:eastAsia="宋体" w:cs="宋体"/>
                <w:color w:val="000000"/>
                <w:sz w:val="16"/>
                <w:szCs w:val="16"/>
              </w:rPr>
            </w:pPr>
          </w:p>
        </w:tc>
        <w:tc>
          <w:tcPr>
            <w:tcW w:w="527" w:type="dxa"/>
            <w:shd w:val="clear" w:color="auto" w:fill="auto"/>
            <w:vAlign w:val="center"/>
          </w:tcPr>
          <w:p>
            <w:pPr>
              <w:rPr>
                <w:rFonts w:ascii="宋体" w:hAnsi="宋体" w:eastAsia="宋体" w:cs="宋体"/>
                <w:color w:val="000000"/>
                <w:sz w:val="16"/>
                <w:szCs w:val="16"/>
              </w:rPr>
            </w:pPr>
          </w:p>
        </w:tc>
        <w:tc>
          <w:tcPr>
            <w:tcW w:w="1609"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公开01表</w:t>
            </w:r>
          </w:p>
        </w:tc>
      </w:tr>
      <w:tr>
        <w:tblPrEx>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rPr>
                <w:rFonts w:ascii="宋体" w:hAnsi="宋体" w:eastAsia="宋体" w:cs="宋体"/>
                <w:color w:val="000000"/>
                <w:sz w:val="16"/>
                <w:szCs w:val="16"/>
              </w:rPr>
            </w:pPr>
          </w:p>
        </w:tc>
        <w:tc>
          <w:tcPr>
            <w:tcW w:w="472" w:type="dxa"/>
            <w:shd w:val="clear" w:color="auto" w:fill="auto"/>
            <w:vAlign w:val="center"/>
          </w:tcPr>
          <w:p>
            <w:pPr>
              <w:rPr>
                <w:rFonts w:ascii="宋体" w:hAnsi="宋体" w:eastAsia="宋体" w:cs="宋体"/>
                <w:color w:val="000000"/>
                <w:sz w:val="16"/>
                <w:szCs w:val="16"/>
              </w:rPr>
            </w:pPr>
          </w:p>
        </w:tc>
        <w:tc>
          <w:tcPr>
            <w:tcW w:w="1316" w:type="dxa"/>
            <w:shd w:val="clear" w:color="auto" w:fill="auto"/>
            <w:vAlign w:val="center"/>
          </w:tcPr>
          <w:p>
            <w:pPr>
              <w:rPr>
                <w:rFonts w:ascii="宋体" w:hAnsi="宋体" w:eastAsia="宋体" w:cs="宋体"/>
                <w:color w:val="000000"/>
                <w:sz w:val="16"/>
                <w:szCs w:val="16"/>
              </w:rPr>
            </w:pPr>
          </w:p>
        </w:tc>
        <w:tc>
          <w:tcPr>
            <w:tcW w:w="3144" w:type="dxa"/>
            <w:gridSpan w:val="3"/>
            <w:shd w:val="clear" w:color="auto" w:fill="auto"/>
            <w:vAlign w:val="center"/>
          </w:tcPr>
          <w:p>
            <w:pPr>
              <w:rPr>
                <w:rFonts w:ascii="宋体" w:hAnsi="宋体" w:eastAsia="宋体" w:cs="宋体"/>
                <w:color w:val="000000"/>
                <w:sz w:val="16"/>
                <w:szCs w:val="16"/>
              </w:rPr>
            </w:pPr>
          </w:p>
        </w:tc>
        <w:tc>
          <w:tcPr>
            <w:tcW w:w="527" w:type="dxa"/>
            <w:shd w:val="clear" w:color="auto" w:fill="auto"/>
            <w:vAlign w:val="center"/>
          </w:tcPr>
          <w:p>
            <w:pPr>
              <w:rPr>
                <w:rFonts w:ascii="宋体" w:hAnsi="宋体" w:eastAsia="宋体" w:cs="宋体"/>
                <w:color w:val="000000"/>
                <w:sz w:val="16"/>
                <w:szCs w:val="16"/>
              </w:rPr>
            </w:pPr>
          </w:p>
        </w:tc>
        <w:tc>
          <w:tcPr>
            <w:tcW w:w="1609"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76.81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76.81</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76.81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76.81</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29</w:t>
            </w:r>
          </w:p>
        </w:tc>
        <w:tc>
          <w:tcPr>
            <w:tcW w:w="243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76.81</w:t>
            </w:r>
          </w:p>
        </w:tc>
        <w:tc>
          <w:tcPr>
            <w:tcW w:w="232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76.81</w:t>
            </w:r>
          </w:p>
        </w:tc>
      </w:tr>
      <w:tr>
        <w:tblPrEx>
          <w:tblLayout w:type="fixed"/>
          <w:tblCellMar>
            <w:top w:w="15" w:type="dxa"/>
            <w:left w:w="15" w:type="dxa"/>
            <w:bottom w:w="15" w:type="dxa"/>
            <w:right w:w="15" w:type="dxa"/>
          </w:tblCellMar>
        </w:tblPrEx>
        <w:trPr>
          <w:trHeight w:val="555" w:hRule="atLeast"/>
        </w:trPr>
        <w:tc>
          <w:tcPr>
            <w:tcW w:w="10350" w:type="dxa"/>
            <w:gridSpan w:val="10"/>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注：本表反映部门本年度的总收支和年末结转结余情况。</w:t>
            </w: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6"/>
        <w:tblW w:w="10337" w:type="dxa"/>
        <w:tblInd w:w="-827" w:type="dxa"/>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Layout w:type="fixed"/>
          <w:tblCellMar>
            <w:top w:w="15" w:type="dxa"/>
            <w:left w:w="15" w:type="dxa"/>
            <w:bottom w:w="15" w:type="dxa"/>
            <w:right w:w="15" w:type="dxa"/>
          </w:tblCellMar>
        </w:tblPrEx>
        <w:trPr>
          <w:trHeight w:val="375" w:hRule="atLeast"/>
        </w:trPr>
        <w:tc>
          <w:tcPr>
            <w:tcW w:w="10337" w:type="dxa"/>
            <w:gridSpan w:val="16"/>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637" w:type="dxa"/>
            <w:gridSpan w:val="2"/>
            <w:shd w:val="clear" w:color="auto" w:fill="auto"/>
            <w:vAlign w:val="center"/>
          </w:tcPr>
          <w:p>
            <w:pPr>
              <w:rPr>
                <w:rFonts w:ascii="宋体" w:hAnsi="宋体" w:eastAsia="宋体" w:cs="宋体"/>
                <w:color w:val="000000"/>
                <w:sz w:val="16"/>
                <w:szCs w:val="16"/>
              </w:rPr>
            </w:pPr>
          </w:p>
        </w:tc>
        <w:tc>
          <w:tcPr>
            <w:tcW w:w="1036" w:type="dxa"/>
            <w:shd w:val="clear" w:color="auto" w:fill="auto"/>
            <w:vAlign w:val="center"/>
          </w:tcPr>
          <w:p>
            <w:pPr>
              <w:rPr>
                <w:rFonts w:ascii="宋体" w:hAnsi="宋体" w:eastAsia="宋体" w:cs="宋体"/>
                <w:color w:val="000000"/>
                <w:sz w:val="16"/>
                <w:szCs w:val="16"/>
              </w:rPr>
            </w:pPr>
          </w:p>
        </w:tc>
        <w:tc>
          <w:tcPr>
            <w:tcW w:w="1904"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公开02表</w:t>
            </w:r>
          </w:p>
        </w:tc>
      </w:tr>
      <w:tr>
        <w:tblPrEx>
          <w:tblLayout w:type="fixed"/>
          <w:tblCellMar>
            <w:top w:w="15" w:type="dxa"/>
            <w:left w:w="15" w:type="dxa"/>
            <w:bottom w:w="15" w:type="dxa"/>
            <w:right w:w="15" w:type="dxa"/>
          </w:tblCellMar>
        </w:tblPrEx>
        <w:trPr>
          <w:trHeight w:val="270" w:hRule="atLeast"/>
        </w:trPr>
        <w:tc>
          <w:tcPr>
            <w:tcW w:w="1637" w:type="dxa"/>
            <w:gridSpan w:val="2"/>
            <w:shd w:val="clear" w:color="auto" w:fill="auto"/>
            <w:vAlign w:val="center"/>
          </w:tcPr>
          <w:p>
            <w:pPr>
              <w:rPr>
                <w:rFonts w:ascii="宋体" w:hAnsi="宋体" w:eastAsia="宋体" w:cs="宋体"/>
                <w:color w:val="000000"/>
                <w:sz w:val="16"/>
                <w:szCs w:val="16"/>
              </w:rPr>
            </w:pPr>
          </w:p>
        </w:tc>
        <w:tc>
          <w:tcPr>
            <w:tcW w:w="1036" w:type="dxa"/>
            <w:shd w:val="clear" w:color="auto" w:fill="auto"/>
            <w:vAlign w:val="center"/>
          </w:tcPr>
          <w:p>
            <w:pPr>
              <w:rPr>
                <w:rFonts w:ascii="宋体" w:hAnsi="宋体" w:eastAsia="宋体" w:cs="宋体"/>
                <w:color w:val="000000"/>
                <w:sz w:val="16"/>
                <w:szCs w:val="16"/>
              </w:rPr>
            </w:pPr>
          </w:p>
        </w:tc>
        <w:tc>
          <w:tcPr>
            <w:tcW w:w="1904"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09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其他收入</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76.81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76.81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一般公共服务支出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76.81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76.81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人大事务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76.81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76.81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2010101</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行政运行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2010102</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一般行政管理事务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机关服务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76.81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76.81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2010104</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人大会议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2320303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地方政府向国际组织借款付息支出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37" w:type="dxa"/>
            <w:gridSpan w:val="16"/>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6"/>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一般公共服务支出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人大事务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rPr>
              <w:t xml:space="preserve">76.81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rPr>
              <w:t xml:space="preserve">76.81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2010102</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一般行政管理事务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机关服务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rPr>
              <w:t xml:space="preserve">76.81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rPr>
              <w:t xml:space="preserve">76.81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2010104</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人大会议</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2010105</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人大立法</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2010106</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人大监督</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2010107</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人大代表履职能力提升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2320411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国有土地使用权出让金债务付息支出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6"/>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trHeight w:val="90"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76.81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76.81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76.81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208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130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95" w:hRule="atLeast"/>
        </w:trPr>
        <w:tc>
          <w:tcPr>
            <w:tcW w:w="10425"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Style w:val="6"/>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一般公共服务支出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76.81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人大事务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rPr>
              <w:t xml:space="preserve">76.81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rPr>
              <w:t xml:space="preserve">76.81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行政运行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2010102</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一般行政管理事务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rPr>
              <w:t xml:space="preserve">76.81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b/>
                <w:color w:val="000000"/>
                <w:kern w:val="0"/>
                <w:sz w:val="16"/>
                <w:szCs w:val="16"/>
              </w:rPr>
              <w:t xml:space="preserve">76.81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2010104</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人大会议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人大立法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2010106</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人大监督</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2010107</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人大代表履职能力提升</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2010108</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代表工作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2010109</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人大信访工作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2010150</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事业运行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8"/>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50.13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26.68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20.55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12.95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29.58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2.95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0.64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3.05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2.3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1.14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3.65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29"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30" w:type="dxa"/>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212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公开07表</w:t>
            </w:r>
          </w:p>
        </w:tc>
      </w:tr>
      <w:tr>
        <w:tblPrEx>
          <w:tblLayout w:type="fixed"/>
          <w:tblCellMar>
            <w:top w:w="15" w:type="dxa"/>
            <w:left w:w="15" w:type="dxa"/>
            <w:bottom w:w="15" w:type="dxa"/>
            <w:right w:w="15" w:type="dxa"/>
          </w:tblCellMar>
        </w:tblPrEx>
        <w:trPr>
          <w:trHeight w:val="270" w:hRule="atLeast"/>
        </w:trPr>
        <w:tc>
          <w:tcPr>
            <w:tcW w:w="1783" w:type="dxa"/>
            <w:gridSpan w:val="2"/>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29"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30" w:type="dxa"/>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212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r>
      <w:tr>
        <w:tblPrEx>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4.79</w:t>
            </w:r>
          </w:p>
        </w:tc>
        <w:tc>
          <w:tcPr>
            <w:tcW w:w="92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70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3.65</w:t>
            </w:r>
          </w:p>
        </w:tc>
        <w:tc>
          <w:tcPr>
            <w:tcW w:w="8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3.65</w:t>
            </w: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1.14</w:t>
            </w:r>
          </w:p>
        </w:tc>
        <w:tc>
          <w:tcPr>
            <w:tcW w:w="9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4.79</w:t>
            </w: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3.65</w:t>
            </w: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3.65</w:t>
            </w: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1.14</w:t>
            </w:r>
          </w:p>
        </w:tc>
      </w:tr>
      <w:tr>
        <w:tblPrEx>
          <w:tblLayout w:type="fixed"/>
          <w:tblCellMar>
            <w:top w:w="15" w:type="dxa"/>
            <w:left w:w="15" w:type="dxa"/>
            <w:bottom w:w="15" w:type="dxa"/>
            <w:right w:w="15" w:type="dxa"/>
          </w:tblCellMar>
        </w:tblPrEx>
        <w:trPr>
          <w:trHeight w:val="600" w:hRule="atLeast"/>
        </w:trPr>
        <w:tc>
          <w:tcPr>
            <w:tcW w:w="10485" w:type="dxa"/>
            <w:gridSpan w:val="2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trHeight w:val="270"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b/>
                <w:color w:val="FF0000"/>
                <w:sz w:val="20"/>
                <w:szCs w:val="20"/>
              </w:rPr>
            </w:pPr>
            <w:r>
              <w:rPr>
                <w:rFonts w:hint="eastAsia" w:ascii="宋体" w:hAnsi="宋体" w:eastAsia="宋体" w:cs="宋体"/>
                <w:b/>
                <w:color w:val="FF0000"/>
                <w:kern w:val="0"/>
                <w:sz w:val="20"/>
                <w:szCs w:val="20"/>
              </w:rPr>
              <w:t>（该报表全部数据为零时）说明：开发区政协工委没有政府性基金收入，也没有使用政府性基金安排的支出，故本表无数据。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开发区政协工委</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2016年度部门决算情况说明</w:t>
      </w: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rPr>
          <w:rFonts w:ascii="仿宋_GB2312" w:hAnsi="宋体" w:eastAsia="仿宋_GB2312" w:cs="Courier New"/>
          <w:sz w:val="32"/>
          <w:szCs w:val="32"/>
        </w:rPr>
      </w:pPr>
      <w:r>
        <w:rPr>
          <w:rFonts w:hint="eastAsia" w:ascii="仿宋_GB2312" w:hAnsi="宋体" w:eastAsia="仿宋_GB2312" w:cs="Courier New"/>
          <w:sz w:val="32"/>
          <w:szCs w:val="32"/>
        </w:rPr>
        <w:t>2016年度收入总计76.81万元，支出总计76.81万元，与2015年相比，收、支总计各增加4.84万元，增长6.7%。主要原因：</w:t>
      </w:r>
      <w:r>
        <w:rPr>
          <w:rFonts w:ascii="仿宋_GB2312" w:hAnsi="宋体" w:eastAsia="仿宋_GB2312" w:cs="Courier New"/>
          <w:sz w:val="32"/>
          <w:szCs w:val="32"/>
        </w:rPr>
        <w:t>2016</w:t>
      </w:r>
      <w:r>
        <w:rPr>
          <w:rFonts w:hint="eastAsia" w:ascii="仿宋_GB2312" w:hAnsi="宋体" w:eastAsia="仿宋_GB2312" w:cs="Courier New"/>
          <w:sz w:val="32"/>
          <w:szCs w:val="32"/>
        </w:rPr>
        <w:t>年工资额比</w:t>
      </w:r>
      <w:r>
        <w:rPr>
          <w:rFonts w:ascii="仿宋_GB2312" w:hAnsi="宋体" w:eastAsia="仿宋_GB2312" w:cs="Courier New"/>
          <w:sz w:val="32"/>
          <w:szCs w:val="32"/>
        </w:rPr>
        <w:t>2015</w:t>
      </w:r>
      <w:r>
        <w:rPr>
          <w:rFonts w:hint="eastAsia" w:ascii="仿宋_GB2312" w:hAnsi="宋体" w:eastAsia="仿宋_GB2312" w:cs="Courier New"/>
          <w:sz w:val="32"/>
          <w:szCs w:val="32"/>
        </w:rPr>
        <w:t>年有所增加，人员经费随之增长。支出增加4.84万元，增长6.7</w:t>
      </w:r>
      <w:r>
        <w:rPr>
          <w:rFonts w:ascii="仿宋_GB2312" w:hAnsi="宋体" w:eastAsia="仿宋_GB2312" w:cs="Courier New"/>
          <w:sz w:val="32"/>
          <w:szCs w:val="32"/>
        </w:rPr>
        <w:t>%</w:t>
      </w:r>
      <w:r>
        <w:rPr>
          <w:rFonts w:hint="eastAsia" w:ascii="仿宋_GB2312" w:hAnsi="宋体" w:eastAsia="仿宋_GB2312" w:cs="Courier New"/>
          <w:sz w:val="32"/>
          <w:szCs w:val="32"/>
        </w:rPr>
        <w:t>。主要原因：</w:t>
      </w:r>
      <w:r>
        <w:rPr>
          <w:rFonts w:ascii="仿宋_GB2312" w:hAnsi="宋体" w:eastAsia="仿宋_GB2312" w:cs="Courier New"/>
          <w:sz w:val="32"/>
          <w:szCs w:val="32"/>
        </w:rPr>
        <w:t>2016</w:t>
      </w:r>
      <w:r>
        <w:rPr>
          <w:rFonts w:hint="eastAsia" w:ascii="仿宋_GB2312" w:hAnsi="宋体" w:eastAsia="仿宋_GB2312" w:cs="Courier New"/>
          <w:sz w:val="32"/>
          <w:szCs w:val="32"/>
        </w:rPr>
        <w:t>年工资额比</w:t>
      </w:r>
      <w:r>
        <w:rPr>
          <w:rFonts w:ascii="仿宋_GB2312" w:hAnsi="宋体" w:eastAsia="仿宋_GB2312" w:cs="Courier New"/>
          <w:sz w:val="32"/>
          <w:szCs w:val="32"/>
        </w:rPr>
        <w:t>2015</w:t>
      </w:r>
      <w:r>
        <w:rPr>
          <w:rFonts w:hint="eastAsia" w:ascii="仿宋_GB2312" w:hAnsi="宋体" w:eastAsia="仿宋_GB2312" w:cs="Courier New"/>
          <w:sz w:val="32"/>
          <w:szCs w:val="32"/>
        </w:rPr>
        <w:t>年有所增加，人员经费随之增长。</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图1：收、支决算总计变动情况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收入合计76.81万元，</w:t>
      </w:r>
      <w:r>
        <w:rPr>
          <w:rFonts w:hint="eastAsia" w:ascii="仿宋_GB2312" w:hAnsi="宋体" w:eastAsia="仿宋_GB2312" w:cs="Courier New"/>
          <w:sz w:val="32"/>
          <w:szCs w:val="32"/>
        </w:rPr>
        <w:t>增长6.7%。主要原因：</w:t>
      </w:r>
      <w:r>
        <w:rPr>
          <w:rFonts w:ascii="仿宋_GB2312" w:hAnsi="宋体" w:eastAsia="仿宋_GB2312" w:cs="Courier New"/>
          <w:sz w:val="32"/>
          <w:szCs w:val="32"/>
        </w:rPr>
        <w:t>2016</w:t>
      </w:r>
      <w:r>
        <w:rPr>
          <w:rFonts w:hint="eastAsia" w:ascii="仿宋_GB2312" w:hAnsi="宋体" w:eastAsia="仿宋_GB2312" w:cs="Courier New"/>
          <w:sz w:val="32"/>
          <w:szCs w:val="32"/>
        </w:rPr>
        <w:t>年工资额比</w:t>
      </w:r>
      <w:r>
        <w:rPr>
          <w:rFonts w:ascii="仿宋_GB2312" w:hAnsi="宋体" w:eastAsia="仿宋_GB2312" w:cs="Courier New"/>
          <w:sz w:val="32"/>
          <w:szCs w:val="32"/>
        </w:rPr>
        <w:t>2015</w:t>
      </w:r>
      <w:r>
        <w:rPr>
          <w:rFonts w:hint="eastAsia" w:ascii="仿宋_GB2312" w:hAnsi="宋体" w:eastAsia="仿宋_GB2312" w:cs="Courier New"/>
          <w:sz w:val="32"/>
          <w:szCs w:val="32"/>
        </w:rPr>
        <w:t>年有所增加，人员经费随之增长。</w:t>
      </w:r>
      <w:r>
        <w:rPr>
          <w:rFonts w:hint="eastAsia" w:ascii="仿宋_GB2312" w:hAnsi="Times New Roman" w:eastAsia="仿宋_GB2312"/>
          <w:sz w:val="32"/>
          <w:szCs w:val="32"/>
        </w:rPr>
        <w:t>其中：财政拨款收入76.81万元。事业收入0万元，占0</w:t>
      </w:r>
      <w:r>
        <w:rPr>
          <w:rFonts w:ascii="仿宋_GB2312" w:hAnsi="Times New Roman" w:eastAsia="仿宋_GB2312"/>
          <w:sz w:val="32"/>
          <w:szCs w:val="32"/>
        </w:rPr>
        <w:t>%</w:t>
      </w:r>
      <w:r>
        <w:rPr>
          <w:rFonts w:hint="eastAsia" w:ascii="仿宋_GB2312" w:hAnsi="Times New Roman" w:eastAsia="仿宋_GB2312"/>
          <w:sz w:val="32"/>
          <w:szCs w:val="32"/>
        </w:rPr>
        <w:t>；经营收入万元，占0</w:t>
      </w:r>
      <w:r>
        <w:rPr>
          <w:rFonts w:ascii="仿宋_GB2312" w:hAnsi="Times New Roman" w:eastAsia="仿宋_GB2312"/>
          <w:sz w:val="32"/>
          <w:szCs w:val="32"/>
        </w:rPr>
        <w:t>%</w:t>
      </w:r>
      <w:r>
        <w:rPr>
          <w:rFonts w:hint="eastAsia" w:ascii="仿宋_GB2312" w:hAnsi="Times New Roman" w:eastAsia="仿宋_GB2312"/>
          <w:sz w:val="32"/>
          <w:szCs w:val="32"/>
        </w:rPr>
        <w:t>；其他收入0万元，占0</w:t>
      </w:r>
      <w:r>
        <w:rPr>
          <w:rFonts w:ascii="仿宋_GB2312" w:hAnsi="Times New Roman" w:eastAsia="仿宋_GB2312"/>
          <w:sz w:val="32"/>
          <w:szCs w:val="32"/>
        </w:rPr>
        <w:t>%</w:t>
      </w:r>
      <w:r>
        <w:rPr>
          <w:rFonts w:hint="eastAsia" w:ascii="仿宋_GB2312" w:hAnsi="Times New Roman" w:eastAsia="仿宋_GB2312"/>
          <w:sz w:val="32"/>
          <w:szCs w:val="32"/>
        </w:rPr>
        <w:t>。</w: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图2：收入决算</w: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2016年度支出合计76.81万元，</w:t>
      </w:r>
      <w:r>
        <w:rPr>
          <w:rFonts w:hint="eastAsia" w:ascii="仿宋_GB2312" w:hAnsi="宋体" w:eastAsia="仿宋_GB2312" w:cs="Courier New"/>
          <w:sz w:val="32"/>
          <w:szCs w:val="32"/>
        </w:rPr>
        <w:t>增长6.7%。主要原因：</w:t>
      </w:r>
      <w:r>
        <w:rPr>
          <w:rFonts w:ascii="仿宋_GB2312" w:hAnsi="宋体" w:eastAsia="仿宋_GB2312" w:cs="Courier New"/>
          <w:sz w:val="32"/>
          <w:szCs w:val="32"/>
        </w:rPr>
        <w:t>2016</w:t>
      </w:r>
      <w:r>
        <w:rPr>
          <w:rFonts w:hint="eastAsia" w:ascii="仿宋_GB2312" w:hAnsi="宋体" w:eastAsia="仿宋_GB2312" w:cs="Courier New"/>
          <w:sz w:val="32"/>
          <w:szCs w:val="32"/>
        </w:rPr>
        <w:t>年工资额比</w:t>
      </w:r>
      <w:r>
        <w:rPr>
          <w:rFonts w:ascii="仿宋_GB2312" w:hAnsi="宋体" w:eastAsia="仿宋_GB2312" w:cs="Courier New"/>
          <w:sz w:val="32"/>
          <w:szCs w:val="32"/>
        </w:rPr>
        <w:t>2015</w:t>
      </w:r>
      <w:r>
        <w:rPr>
          <w:rFonts w:hint="eastAsia" w:ascii="仿宋_GB2312" w:hAnsi="宋体" w:eastAsia="仿宋_GB2312" w:cs="Courier New"/>
          <w:sz w:val="32"/>
          <w:szCs w:val="32"/>
        </w:rPr>
        <w:t>年有所增加，人员经费随之增长。</w:t>
      </w:r>
      <w:r>
        <w:rPr>
          <w:rFonts w:hint="eastAsia" w:ascii="仿宋_GB2312" w:hAnsi="宋体" w:eastAsia="仿宋_GB2312" w:cs="Courier New"/>
          <w:sz w:val="32"/>
          <w:szCs w:val="32"/>
        </w:rPr>
        <w:t>其中：基本支出76.81万元，占100</w:t>
      </w:r>
      <w:r>
        <w:rPr>
          <w:rFonts w:ascii="仿宋_GB2312" w:hAnsi="宋体" w:eastAsia="仿宋_GB2312" w:cs="Courier New"/>
          <w:sz w:val="32"/>
          <w:szCs w:val="32"/>
        </w:rPr>
        <w:t>%</w:t>
      </w:r>
      <w:r>
        <w:rPr>
          <w:rFonts w:hint="eastAsia" w:ascii="仿宋_GB2312" w:hAnsi="宋体" w:eastAsia="仿宋_GB2312" w:cs="Courier New"/>
          <w:sz w:val="32"/>
          <w:szCs w:val="32"/>
        </w:rPr>
        <w:t>，项目支出0万元，占0</w:t>
      </w:r>
      <w:r>
        <w:rPr>
          <w:rFonts w:ascii="仿宋_GB2312" w:hAnsi="宋体" w:eastAsia="仿宋_GB2312" w:cs="Courier New"/>
          <w:sz w:val="32"/>
          <w:szCs w:val="32"/>
        </w:rPr>
        <w:t>%</w:t>
      </w:r>
      <w:r>
        <w:rPr>
          <w:rFonts w:hint="eastAsia" w:ascii="仿宋_GB2312" w:hAnsi="宋体" w:eastAsia="仿宋_GB2312" w:cs="Courier New"/>
          <w:sz w:val="32"/>
          <w:szCs w:val="32"/>
        </w:rPr>
        <w:t>；经营支出0万元，占0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图3：支出决算</w:t>
      </w:r>
    </w:p>
    <w:p>
      <w:pPr>
        <w:adjustRightInd w:val="0"/>
        <w:snapToGrid w:val="0"/>
        <w:spacing w:line="360" w:lineRule="auto"/>
        <w:jc w:val="center"/>
        <w:rPr>
          <w:rFonts w:ascii="宋体" w:hAnsi="宋体" w:eastAsia="宋体" w:cs="宋体"/>
          <w:sz w:val="24"/>
        </w:rPr>
      </w:pP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rPr>
          <w:rFonts w:ascii="仿宋_GB2312" w:hAnsi="宋体" w:eastAsia="仿宋_GB2312" w:cs="Courier New"/>
          <w:sz w:val="32"/>
          <w:szCs w:val="32"/>
        </w:rPr>
      </w:pPr>
      <w:r>
        <w:rPr>
          <w:rFonts w:hint="eastAsia" w:ascii="仿宋_GB2312" w:hAnsi="宋体" w:eastAsia="仿宋_GB2312" w:cs="Courier New"/>
          <w:sz w:val="32"/>
          <w:szCs w:val="32"/>
        </w:rPr>
        <w:t>2016年财政拨款收支总决算76.81万元。与2015年相比，财政拨款收、支总计各增加4.84万元，增长6.7%。主要原因：</w:t>
      </w:r>
      <w:r>
        <w:rPr>
          <w:rFonts w:ascii="仿宋_GB2312" w:hAnsi="宋体" w:eastAsia="仿宋_GB2312" w:cs="Courier New"/>
          <w:sz w:val="32"/>
          <w:szCs w:val="32"/>
        </w:rPr>
        <w:t>2016</w:t>
      </w:r>
      <w:r>
        <w:rPr>
          <w:rFonts w:hint="eastAsia" w:ascii="仿宋_GB2312" w:hAnsi="宋体" w:eastAsia="仿宋_GB2312" w:cs="Courier New"/>
          <w:sz w:val="32"/>
          <w:szCs w:val="32"/>
        </w:rPr>
        <w:t>年工资额比</w:t>
      </w:r>
      <w:r>
        <w:rPr>
          <w:rFonts w:ascii="仿宋_GB2312" w:hAnsi="宋体" w:eastAsia="仿宋_GB2312" w:cs="Courier New"/>
          <w:sz w:val="32"/>
          <w:szCs w:val="32"/>
        </w:rPr>
        <w:t>2015</w:t>
      </w:r>
      <w:r>
        <w:rPr>
          <w:rFonts w:hint="eastAsia" w:ascii="仿宋_GB2312" w:hAnsi="宋体" w:eastAsia="仿宋_GB2312" w:cs="Courier New"/>
          <w:sz w:val="32"/>
          <w:szCs w:val="32"/>
        </w:rPr>
        <w:t>年有所增加，人员经费随之增长。支出增加4.84万元，增长6.7</w:t>
      </w:r>
      <w:r>
        <w:rPr>
          <w:rFonts w:ascii="仿宋_GB2312" w:hAnsi="宋体" w:eastAsia="仿宋_GB2312" w:cs="Courier New"/>
          <w:sz w:val="32"/>
          <w:szCs w:val="32"/>
        </w:rPr>
        <w:t>%</w:t>
      </w:r>
      <w:r>
        <w:rPr>
          <w:rFonts w:hint="eastAsia" w:ascii="仿宋_GB2312" w:hAnsi="宋体" w:eastAsia="仿宋_GB2312" w:cs="Courier New"/>
          <w:sz w:val="32"/>
          <w:szCs w:val="32"/>
        </w:rPr>
        <w:t>。主要原因：</w:t>
      </w:r>
      <w:r>
        <w:rPr>
          <w:rFonts w:ascii="仿宋_GB2312" w:hAnsi="宋体" w:eastAsia="仿宋_GB2312" w:cs="Courier New"/>
          <w:sz w:val="32"/>
          <w:szCs w:val="32"/>
        </w:rPr>
        <w:t>2016</w:t>
      </w:r>
      <w:r>
        <w:rPr>
          <w:rFonts w:hint="eastAsia" w:ascii="仿宋_GB2312" w:hAnsi="宋体" w:eastAsia="仿宋_GB2312" w:cs="Courier New"/>
          <w:sz w:val="32"/>
          <w:szCs w:val="32"/>
        </w:rPr>
        <w:t>年工资额比</w:t>
      </w:r>
      <w:r>
        <w:rPr>
          <w:rFonts w:ascii="仿宋_GB2312" w:hAnsi="宋体" w:eastAsia="仿宋_GB2312" w:cs="Courier New"/>
          <w:sz w:val="32"/>
          <w:szCs w:val="32"/>
        </w:rPr>
        <w:t>2015</w:t>
      </w:r>
      <w:r>
        <w:rPr>
          <w:rFonts w:hint="eastAsia" w:ascii="仿宋_GB2312" w:hAnsi="宋体" w:eastAsia="仿宋_GB2312" w:cs="Courier New"/>
          <w:sz w:val="32"/>
          <w:szCs w:val="32"/>
        </w:rPr>
        <w:t>年有所增加，人员经费随之增长。</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图4：财政拨款收、支决算总计变动情况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9"/>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2016年一般公共预算财政拨款支出76.81万元，占支出合计的100%。与2015年相比，一般公共预算财政拨款支出增加4.84万元，增长6.7%。</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图5：财政拨款支出决算变动情况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9"/>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2016年度一般公共预算财政拨款支出76.81万元，主要用于以下方面：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支出76.81万元，占100%。</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图6：财政拨款支出决算结构</w:t>
      </w:r>
    </w:p>
    <w:p>
      <w:pPr>
        <w:adjustRightInd w:val="0"/>
        <w:snapToGrid w:val="0"/>
        <w:spacing w:line="360" w:lineRule="auto"/>
        <w:rPr>
          <w:rFonts w:ascii="仿宋_GB2312" w:hAnsi="宋体" w:eastAsia="仿宋_GB2312" w:cs="Courier New"/>
          <w:sz w:val="32"/>
          <w:szCs w:val="32"/>
        </w:rPr>
      </w:pPr>
    </w:p>
    <w:p>
      <w:pPr>
        <w:numPr>
          <w:ilvl w:val="0"/>
          <w:numId w:val="9"/>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2016年度一般公共预算财政拨款支出年初预算为76.81万元，支出决算为76.81万元，完成年初预算的100%。</w:t>
      </w:r>
    </w:p>
    <w:p>
      <w:p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rPr>
        <w:t>一般公共服务（类）财政事务（款）行政运行（项）。</w:t>
      </w:r>
      <w:r>
        <w:rPr>
          <w:rFonts w:hint="eastAsia" w:ascii="仿宋_GB2312" w:hAnsi="宋体" w:eastAsia="仿宋_GB2312" w:cs="Courier New"/>
          <w:sz w:val="32"/>
          <w:szCs w:val="32"/>
        </w:rPr>
        <w:t>年初预算为76.81万元，支出决算为76.81万元，完成年初预算的</w:t>
      </w:r>
      <w:r>
        <w:rPr>
          <w:rFonts w:ascii="仿宋_GB2312" w:hAnsi="宋体" w:eastAsia="仿宋_GB2312" w:cs="Courier New"/>
          <w:sz w:val="32"/>
          <w:szCs w:val="32"/>
        </w:rPr>
        <w:t>100%</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一般公共服务（类）财政事务（款）一般行政管理事务（项）。</w:t>
      </w:r>
      <w:r>
        <w:rPr>
          <w:rFonts w:hint="eastAsia" w:ascii="仿宋_GB2312" w:hAnsi="宋体" w:eastAsia="仿宋_GB2312" w:cs="Courier New"/>
          <w:sz w:val="32"/>
          <w:szCs w:val="32"/>
        </w:rPr>
        <w:t>年初预算为76.81万元，支出决算为76.81万元，完成年初预算的100%。</w:t>
      </w: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2016年一般公共预算财政拨款基本支出76.81万元，其中：</w:t>
      </w:r>
      <w:r>
        <w:rPr>
          <w:rFonts w:hint="eastAsia" w:ascii="仿宋_GB2312" w:hAnsi="Times New Roman" w:eastAsia="仿宋_GB2312" w:cs="仿宋_GB2312"/>
          <w:bCs/>
          <w:spacing w:val="-1"/>
          <w:kern w:val="0"/>
          <w:sz w:val="32"/>
          <w:szCs w:val="32"/>
        </w:rPr>
        <w:t>人员经费50.13万元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主要包括：基本工资20.55万元、津贴补贴29.58万元；</w:t>
      </w:r>
      <w:r>
        <w:rPr>
          <w:rFonts w:hint="eastAsia" w:ascii="仿宋_GB2312" w:hAnsi="Times New Roman" w:eastAsia="仿宋_GB2312" w:cs="仿宋_GB2312"/>
          <w:b/>
          <w:spacing w:val="-1"/>
          <w:kern w:val="0"/>
          <w:sz w:val="32"/>
          <w:szCs w:val="32"/>
        </w:rPr>
        <w:t>公用经费、机关运行</w:t>
      </w:r>
      <w:r>
        <w:rPr>
          <w:rFonts w:hint="eastAsia" w:ascii="仿宋_GB2312" w:hAnsi="Times New Roman" w:eastAsia="仿宋_GB2312" w:cs="仿宋_GB2312"/>
          <w:spacing w:val="-2"/>
          <w:kern w:val="0"/>
          <w:sz w:val="32"/>
          <w:szCs w:val="32"/>
        </w:rPr>
        <w:t>26.68万元</w:t>
      </w:r>
      <w:r>
        <w:rPr>
          <w:rFonts w:hint="eastAsia" w:ascii="仿宋_GB2312" w:hAnsi="宋体" w:eastAsia="仿宋_GB2312" w:cs="Courier New"/>
          <w:sz w:val="32"/>
          <w:szCs w:val="32"/>
        </w:rPr>
        <w:t>，主要包括：办公费12.95万元，印刷费2.95万元，邮电费0.64万元，差旅费3.05万元，培训费2.3万元，公务接待费1.14万元，公务用车运行维护费3.65万元。</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七、关于一般公共预算财政拨款“三公”经费支出决算情况说明</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2016年度“三公”经费财政拨款支出预算为4.79万元，支出决算为4.79万元，完成预算的100%，其中：因公出国（境）费支出决算为0万元，完成预算的100</w:t>
      </w:r>
      <w:bookmarkStart w:id="0" w:name="_GoBack"/>
      <w:bookmarkEnd w:id="0"/>
      <w:r>
        <w:rPr>
          <w:rFonts w:hint="eastAsia" w:ascii="仿宋_GB2312" w:hAnsi="宋体" w:eastAsia="仿宋_GB2312" w:cs="Courier New"/>
          <w:sz w:val="32"/>
          <w:szCs w:val="32"/>
        </w:rPr>
        <w:t>%；公务用车购置</w:t>
      </w:r>
      <w:r>
        <w:rPr>
          <w:rFonts w:hint="eastAsia" w:ascii="仿宋_GB2312" w:hAnsi="宋体" w:eastAsia="仿宋_GB2312" w:cs="Courier New"/>
          <w:sz w:val="32"/>
          <w:szCs w:val="32"/>
          <w:lang w:val="en-US" w:eastAsia="zh-CN"/>
        </w:rPr>
        <w:t>0元，同比增长0%，公车</w:t>
      </w:r>
      <w:r>
        <w:rPr>
          <w:rFonts w:hint="eastAsia" w:ascii="仿宋_GB2312" w:hAnsi="宋体" w:eastAsia="仿宋_GB2312" w:cs="Courier New"/>
          <w:sz w:val="32"/>
          <w:szCs w:val="32"/>
        </w:rPr>
        <w:t>运行费支出决算为3.65万元，完成预算的100%；公务接待费支出决算为1.14万元，完成预算的100%。</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2016年度“三公”经费财政拨款支出决算数比2015年减少3.07万元，下降64%，其中：</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公务用车购置</w:t>
      </w:r>
      <w:r>
        <w:rPr>
          <w:rFonts w:hint="eastAsia" w:ascii="仿宋_GB2312" w:hAnsi="宋体" w:eastAsia="仿宋_GB2312" w:cs="Courier New"/>
          <w:sz w:val="32"/>
          <w:szCs w:val="32"/>
          <w:lang w:val="en-US" w:eastAsia="zh-CN"/>
        </w:rPr>
        <w:t>0万元；同比增0%。2.</w:t>
      </w:r>
      <w:r>
        <w:rPr>
          <w:rFonts w:hint="eastAsia" w:ascii="仿宋_GB2312" w:hAnsi="宋体" w:eastAsia="仿宋_GB2312" w:cs="Courier New"/>
          <w:sz w:val="32"/>
          <w:szCs w:val="32"/>
        </w:rPr>
        <w:t>运行费支出决算</w:t>
      </w:r>
      <w:r>
        <w:rPr>
          <w:rFonts w:hint="eastAsia" w:ascii="仿宋_GB2312" w:hAnsi="宋体" w:eastAsia="仿宋_GB2312" w:cs="Courier New"/>
          <w:sz w:val="32"/>
          <w:szCs w:val="32"/>
          <w:lang w:val="en-US" w:eastAsia="zh-CN"/>
        </w:rPr>
        <w:t>3.65万元，</w:t>
      </w:r>
      <w:r>
        <w:rPr>
          <w:rFonts w:hint="eastAsia" w:ascii="仿宋_GB2312" w:hAnsi="宋体" w:eastAsia="仿宋_GB2312" w:cs="Courier New"/>
          <w:sz w:val="32"/>
          <w:szCs w:val="32"/>
        </w:rPr>
        <w:t>减少3.55万元，下降97%；公务用车购置及运行费支出减少的主要原因是我单位无公务用车购置费，严格控制公务用车维护费的支出；公务接待费支出决算增加0.48万元，增长73%，增加的主要原因是招待次数增加，业务频率增长。</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2016年度“三公”经费财政拨款支出决算中，因公出国（境）费支出决算0万元，占0%；公务用车购置及运行费支出决算3.65万元，占76%；公务接待费支出决算1.14万元，占24%。具体情况如下：</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图7：“三公”经费财政拨款支出结构</w:t>
      </w:r>
    </w:p>
    <w:p>
      <w:pPr>
        <w:numPr>
          <w:ilvl w:val="0"/>
          <w:numId w:val="11"/>
        </w:num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rPr>
        <w:t>因公出国（境）费</w:t>
      </w:r>
      <w:r>
        <w:rPr>
          <w:rFonts w:hint="eastAsia" w:ascii="仿宋_GB2312" w:hAnsi="宋体" w:eastAsia="仿宋_GB2312" w:cs="Courier New"/>
          <w:sz w:val="32"/>
          <w:szCs w:val="32"/>
        </w:rPr>
        <w:t>支出0万元。全年安排局机关、0和Ｘ单位因公出国（境）团组0个，累计0人次。</w:t>
      </w:r>
    </w:p>
    <w:p>
      <w:pPr>
        <w:numPr>
          <w:ilvl w:val="0"/>
          <w:numId w:val="11"/>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公务用车购置及运行费</w:t>
      </w:r>
      <w:r>
        <w:rPr>
          <w:rFonts w:hint="eastAsia" w:ascii="仿宋_GB2312" w:hAnsi="宋体" w:eastAsia="仿宋_GB2312" w:cs="Courier New"/>
          <w:sz w:val="32"/>
          <w:szCs w:val="32"/>
        </w:rPr>
        <w:t>支出3.65万元。其中：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支出为0万元。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支出3.65万元。主要用于燃油和车辆维修等。</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3.公务接待费支出1.14万元。</w:t>
      </w:r>
      <w:r>
        <w:rPr>
          <w:rFonts w:hint="eastAsia" w:ascii="仿宋_GB2312" w:hAnsi="宋体" w:eastAsia="仿宋_GB2312" w:cs="Courier New"/>
          <w:sz w:val="32"/>
          <w:szCs w:val="32"/>
        </w:rPr>
        <w:t>主要用于公务接待,</w:t>
      </w:r>
      <w:r>
        <w:rPr>
          <w:rFonts w:ascii="仿宋_GB2312" w:hAnsi="宋体" w:eastAsia="仿宋_GB2312" w:cs="Courier New"/>
          <w:sz w:val="32"/>
          <w:szCs w:val="32"/>
        </w:rPr>
        <w:t xml:space="preserve"> 2016</w:t>
      </w:r>
      <w:r>
        <w:rPr>
          <w:rFonts w:hint="eastAsia" w:ascii="仿宋_GB2312" w:hAnsi="宋体" w:eastAsia="仿宋_GB2312" w:cs="Courier New"/>
          <w:sz w:val="32"/>
          <w:szCs w:val="32"/>
        </w:rPr>
        <w:t>年度共接待国内来访团组19个、来访人员186人次（不包括陪同人员）。</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pStyle w:val="11"/>
        <w:numPr>
          <w:ilvl w:val="0"/>
          <w:numId w:val="12"/>
        </w:numPr>
        <w:adjustRightInd w:val="0"/>
        <w:snapToGrid w:val="0"/>
        <w:spacing w:line="360" w:lineRule="auto"/>
        <w:ind w:firstLineChars="0"/>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2016年度政府性基金预算财政拨款支出年初预算为0万元，支出决算为0万元，完成年初预算的0%。</w:t>
      </w:r>
    </w:p>
    <w:p>
      <w:pPr>
        <w:kinsoku w:val="0"/>
        <w:overflowPunct w:val="0"/>
        <w:autoSpaceDE w:val="0"/>
        <w:autoSpaceDN w:val="0"/>
        <w:adjustRightInd w:val="0"/>
        <w:snapToGrid w:val="0"/>
        <w:spacing w:line="360" w:lineRule="auto"/>
        <w:ind w:firstLine="640" w:firstLineChars="200"/>
        <w:rPr>
          <w:rFonts w:hint="eastAsia" w:ascii="黑体" w:hAnsi="黑体" w:eastAsia="黑体"/>
          <w:sz w:val="32"/>
          <w:szCs w:val="32"/>
        </w:rPr>
      </w:pPr>
    </w:p>
    <w:p>
      <w:pPr>
        <w:kinsoku w:val="0"/>
        <w:overflowPunct w:val="0"/>
        <w:autoSpaceDE w:val="0"/>
        <w:autoSpaceDN w:val="0"/>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numPr>
          <w:ilvl w:val="0"/>
          <w:numId w:val="13"/>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2016年度机关运行经费支出26.68万元，主要包括：办公费12.95万元，印刷费2.95万元，邮电费0.64万元，差旅费3.05万元，培训费2.3万元，公务接待费1.14万元，公务用车运行维护费3.65万元。比2015年增加1.69万元，增长6.7</w:t>
      </w:r>
      <w:r>
        <w:rPr>
          <w:rFonts w:ascii="仿宋_GB2312" w:hAnsi="宋体" w:eastAsia="仿宋_GB2312" w:cs="Courier New"/>
          <w:sz w:val="32"/>
          <w:szCs w:val="32"/>
        </w:rPr>
        <w:t>%</w:t>
      </w:r>
      <w:r>
        <w:rPr>
          <w:rFonts w:hint="eastAsia" w:ascii="仿宋_GB2312" w:hAnsi="宋体" w:eastAsia="仿宋_GB2312" w:cs="Courier New"/>
          <w:sz w:val="32"/>
          <w:szCs w:val="32"/>
        </w:rPr>
        <w:t>。主要原因：</w:t>
      </w:r>
      <w:r>
        <w:rPr>
          <w:rFonts w:ascii="仿宋_GB2312" w:hAnsi="宋体" w:eastAsia="仿宋_GB2312" w:cs="Courier New"/>
          <w:sz w:val="32"/>
          <w:szCs w:val="32"/>
        </w:rPr>
        <w:t>2016</w:t>
      </w:r>
      <w:r>
        <w:rPr>
          <w:rFonts w:hint="eastAsia" w:ascii="仿宋_GB2312" w:hAnsi="宋体" w:eastAsia="仿宋_GB2312" w:cs="Courier New"/>
          <w:sz w:val="32"/>
          <w:szCs w:val="32"/>
        </w:rPr>
        <w:t>年人员和业务频率比</w:t>
      </w:r>
      <w:r>
        <w:rPr>
          <w:rFonts w:ascii="仿宋_GB2312" w:hAnsi="宋体" w:eastAsia="仿宋_GB2312" w:cs="Courier New"/>
          <w:sz w:val="32"/>
          <w:szCs w:val="32"/>
        </w:rPr>
        <w:t>2015</w:t>
      </w:r>
      <w:r>
        <w:rPr>
          <w:rFonts w:hint="eastAsia" w:ascii="仿宋_GB2312" w:hAnsi="宋体" w:eastAsia="仿宋_GB2312" w:cs="Courier New"/>
          <w:sz w:val="32"/>
          <w:szCs w:val="32"/>
        </w:rPr>
        <w:t>年有所增加，各项经费随之增长。</w:t>
      </w:r>
    </w:p>
    <w:p>
      <w:pPr>
        <w:numPr>
          <w:ilvl w:val="0"/>
          <w:numId w:val="13"/>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年度政府采购支出总额0万元，其中：政府采购货物支出0万元，政府采购工程支出0万元，政府采购服务支出0万元。授予中小企业合同金额0万元，占政府采购支出总额的0</w:t>
      </w:r>
      <w:r>
        <w:rPr>
          <w:rFonts w:ascii="仿宋_GB2312" w:hAnsi="宋体" w:eastAsia="仿宋_GB2312" w:cs="Courier New"/>
          <w:sz w:val="32"/>
          <w:szCs w:val="32"/>
        </w:rPr>
        <w:t>%</w:t>
      </w:r>
      <w:r>
        <w:rPr>
          <w:rFonts w:hint="eastAsia" w:ascii="仿宋_GB2312" w:hAnsi="宋体" w:eastAsia="仿宋_GB2312" w:cs="Courier New"/>
          <w:sz w:val="32"/>
          <w:szCs w:val="32"/>
        </w:rPr>
        <w:t>，其中：授予小微企业合同金额0万元，占政府采购支出总额的0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13"/>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2016年期末，开发区政协工委共有车辆1辆，其中：一般公务用车1辆。无单价价值50万元以上通用设备台（套）数量和单价价值100万元以上专用设备台（套）数量。</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hint="eastAsia" w:ascii="仿宋_GB2312" w:hAnsi="宋体" w:eastAsia="仿宋_GB2312" w:cs="Courier New"/>
          <w:sz w:val="32"/>
          <w:szCs w:val="32"/>
        </w:rPr>
      </w:pPr>
      <w:r>
        <w:rPr>
          <w:rFonts w:hint="eastAsia" w:ascii="仿宋_GB2312" w:hAnsi="宋体" w:eastAsia="仿宋_GB2312" w:cs="Courier New"/>
          <w:b/>
          <w:bCs/>
          <w:sz w:val="32"/>
          <w:szCs w:val="32"/>
        </w:rPr>
        <w:t>八、“三公”经费：</w:t>
      </w:r>
      <w:r>
        <w:rPr>
          <w:rFonts w:hint="eastAsia" w:ascii="仿宋_GB2312" w:hAnsi="宋体" w:eastAsia="仿宋_GB2312" w:cs="Courier New"/>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九、机关运行经费：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jc w:val="left"/>
        <w:rPr>
          <w:rFonts w:ascii="仿宋_GB2312" w:hAnsi="宋体" w:eastAsia="仿宋_GB2312" w:cs="Courier New"/>
          <w:sz w:val="32"/>
          <w:szCs w:val="32"/>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73A2"/>
    <w:multiLevelType w:val="multilevel"/>
    <w:tmpl w:val="183C73A2"/>
    <w:lvl w:ilvl="0" w:tentative="0">
      <w:start w:val="8"/>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3">
    <w:nsid w:val="5971C193"/>
    <w:multiLevelType w:val="singleLevel"/>
    <w:tmpl w:val="5971C193"/>
    <w:lvl w:ilvl="0" w:tentative="0">
      <w:start w:val="2"/>
      <w:numFmt w:val="chineseCounting"/>
      <w:suff w:val="nothing"/>
      <w:lvlText w:val="%1、"/>
      <w:lvlJc w:val="left"/>
    </w:lvl>
  </w:abstractNum>
  <w:abstractNum w:abstractNumId="4">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5">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6">
    <w:nsid w:val="5971E093"/>
    <w:multiLevelType w:val="singleLevel"/>
    <w:tmpl w:val="5971E093"/>
    <w:lvl w:ilvl="0" w:tentative="0">
      <w:start w:val="1"/>
      <w:numFmt w:val="chineseCounting"/>
      <w:suff w:val="nothing"/>
      <w:lvlText w:val="（%1）"/>
      <w:lvlJc w:val="left"/>
      <w:pPr>
        <w:ind w:left="0" w:firstLine="420"/>
      </w:pPr>
      <w:rPr>
        <w:rFonts w:hint="eastAsia"/>
      </w:rPr>
    </w:lvl>
  </w:abstractNum>
  <w:abstractNum w:abstractNumId="7">
    <w:nsid w:val="5971E2D2"/>
    <w:multiLevelType w:val="singleLevel"/>
    <w:tmpl w:val="5971E2D2"/>
    <w:lvl w:ilvl="0" w:tentative="0">
      <w:start w:val="1"/>
      <w:numFmt w:val="decimal"/>
      <w:suff w:val="nothing"/>
      <w:lvlText w:val="%1．"/>
      <w:lvlJc w:val="left"/>
      <w:pPr>
        <w:ind w:left="0" w:firstLine="400"/>
      </w:pPr>
      <w:rPr>
        <w:rFonts w:hint="default"/>
      </w:rPr>
    </w:lvl>
  </w:abstractNum>
  <w:abstractNum w:abstractNumId="8">
    <w:nsid w:val="5971EDEF"/>
    <w:multiLevelType w:val="singleLevel"/>
    <w:tmpl w:val="5971EDEF"/>
    <w:lvl w:ilvl="0" w:tentative="0">
      <w:start w:val="1"/>
      <w:numFmt w:val="chineseCounting"/>
      <w:suff w:val="nothing"/>
      <w:lvlText w:val="（%1）"/>
      <w:lvlJc w:val="left"/>
      <w:pPr>
        <w:ind w:left="0" w:firstLine="420"/>
      </w:pPr>
      <w:rPr>
        <w:rFonts w:hint="eastAsia"/>
      </w:rPr>
    </w:lvl>
  </w:abstractNum>
  <w:abstractNum w:abstractNumId="9">
    <w:nsid w:val="5A0E52DA"/>
    <w:multiLevelType w:val="singleLevel"/>
    <w:tmpl w:val="5A0E52DA"/>
    <w:lvl w:ilvl="0" w:tentative="0">
      <w:start w:val="1"/>
      <w:numFmt w:val="chineseCounting"/>
      <w:suff w:val="nothing"/>
      <w:lvlText w:val="%1、"/>
      <w:lvlJc w:val="left"/>
      <w:rPr>
        <w:rFonts w:cs="Times New Roman"/>
      </w:rPr>
    </w:lvl>
  </w:abstractNum>
  <w:abstractNum w:abstractNumId="10">
    <w:nsid w:val="5A0E52ED"/>
    <w:multiLevelType w:val="singleLevel"/>
    <w:tmpl w:val="5A0E52ED"/>
    <w:lvl w:ilvl="0" w:tentative="0">
      <w:start w:val="2"/>
      <w:numFmt w:val="chineseCounting"/>
      <w:suff w:val="nothing"/>
      <w:lvlText w:val="%1、"/>
      <w:lvlJc w:val="left"/>
      <w:rPr>
        <w:rFonts w:cs="Times New Roman"/>
      </w:rPr>
    </w:lvl>
  </w:abstractNum>
  <w:abstractNum w:abstractNumId="11">
    <w:nsid w:val="5A0E5338"/>
    <w:multiLevelType w:val="singleLevel"/>
    <w:tmpl w:val="5A0E5338"/>
    <w:lvl w:ilvl="0" w:tentative="0">
      <w:start w:val="4"/>
      <w:numFmt w:val="chineseCounting"/>
      <w:suff w:val="nothing"/>
      <w:lvlText w:val="%1、"/>
      <w:lvlJc w:val="left"/>
      <w:rPr>
        <w:rFonts w:cs="Times New Roman"/>
      </w:rPr>
    </w:lvl>
  </w:abstractNum>
  <w:abstractNum w:abstractNumId="12">
    <w:nsid w:val="5A0E5375"/>
    <w:multiLevelType w:val="singleLevel"/>
    <w:tmpl w:val="5A0E5375"/>
    <w:lvl w:ilvl="0" w:tentative="0">
      <w:start w:val="5"/>
      <w:numFmt w:val="chineseCounting"/>
      <w:suff w:val="nothing"/>
      <w:lvlText w:val="%1、"/>
      <w:lvlJc w:val="left"/>
      <w:rPr>
        <w:rFonts w:cs="Times New Roman"/>
      </w:rPr>
    </w:lvl>
  </w:abstractNum>
  <w:num w:numId="1">
    <w:abstractNumId w:val="1"/>
  </w:num>
  <w:num w:numId="2">
    <w:abstractNumId w:val="9"/>
  </w:num>
  <w:num w:numId="3">
    <w:abstractNumId w:val="10"/>
  </w:num>
  <w:num w:numId="4">
    <w:abstractNumId w:val="11"/>
  </w:num>
  <w:num w:numId="5">
    <w:abstractNumId w:val="12"/>
  </w:num>
  <w:num w:numId="6">
    <w:abstractNumId w:val="2"/>
  </w:num>
  <w:num w:numId="7">
    <w:abstractNumId w:val="3"/>
  </w:num>
  <w:num w:numId="8">
    <w:abstractNumId w:val="4"/>
  </w:num>
  <w:num w:numId="9">
    <w:abstractNumId w:val="5"/>
  </w:num>
  <w:num w:numId="10">
    <w:abstractNumId w:val="6"/>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172A27"/>
    <w:rsid w:val="000343D0"/>
    <w:rsid w:val="0003640A"/>
    <w:rsid w:val="00061D50"/>
    <w:rsid w:val="0006329A"/>
    <w:rsid w:val="000B5A03"/>
    <w:rsid w:val="000C51C0"/>
    <w:rsid w:val="000F6D48"/>
    <w:rsid w:val="001150B0"/>
    <w:rsid w:val="00172A27"/>
    <w:rsid w:val="0017747D"/>
    <w:rsid w:val="001A1DDD"/>
    <w:rsid w:val="001D1DBA"/>
    <w:rsid w:val="001D65BD"/>
    <w:rsid w:val="001E0C0B"/>
    <w:rsid w:val="002563A5"/>
    <w:rsid w:val="002929B4"/>
    <w:rsid w:val="00366F57"/>
    <w:rsid w:val="003F3712"/>
    <w:rsid w:val="00447F3C"/>
    <w:rsid w:val="00461F84"/>
    <w:rsid w:val="004D31A8"/>
    <w:rsid w:val="00510993"/>
    <w:rsid w:val="00643691"/>
    <w:rsid w:val="006A2C6E"/>
    <w:rsid w:val="006B4AD4"/>
    <w:rsid w:val="006B6257"/>
    <w:rsid w:val="006C423C"/>
    <w:rsid w:val="0070235D"/>
    <w:rsid w:val="00734C1F"/>
    <w:rsid w:val="00767D6F"/>
    <w:rsid w:val="00775FA7"/>
    <w:rsid w:val="0080574C"/>
    <w:rsid w:val="00891835"/>
    <w:rsid w:val="008A5CCD"/>
    <w:rsid w:val="009108DE"/>
    <w:rsid w:val="00922BDE"/>
    <w:rsid w:val="009570F3"/>
    <w:rsid w:val="009C2B1F"/>
    <w:rsid w:val="00A2349F"/>
    <w:rsid w:val="00AB69A8"/>
    <w:rsid w:val="00AF3443"/>
    <w:rsid w:val="00B458CF"/>
    <w:rsid w:val="00B808CD"/>
    <w:rsid w:val="00BC4541"/>
    <w:rsid w:val="00C64635"/>
    <w:rsid w:val="00C73F03"/>
    <w:rsid w:val="00CD71F9"/>
    <w:rsid w:val="00D36A6E"/>
    <w:rsid w:val="00DC6811"/>
    <w:rsid w:val="00DD233E"/>
    <w:rsid w:val="00E463C0"/>
    <w:rsid w:val="00E73092"/>
    <w:rsid w:val="00E80092"/>
    <w:rsid w:val="00EE07DA"/>
    <w:rsid w:val="00F21E6A"/>
    <w:rsid w:val="00F36A59"/>
    <w:rsid w:val="04453648"/>
    <w:rsid w:val="05DB00B9"/>
    <w:rsid w:val="09BB2134"/>
    <w:rsid w:val="0CA434B9"/>
    <w:rsid w:val="0E4C156E"/>
    <w:rsid w:val="0F095976"/>
    <w:rsid w:val="10BD4691"/>
    <w:rsid w:val="11585E8B"/>
    <w:rsid w:val="15492582"/>
    <w:rsid w:val="18F44D57"/>
    <w:rsid w:val="1D415527"/>
    <w:rsid w:val="1E7D3B34"/>
    <w:rsid w:val="22A51050"/>
    <w:rsid w:val="26101391"/>
    <w:rsid w:val="283D43BA"/>
    <w:rsid w:val="29B70F08"/>
    <w:rsid w:val="2BA4769A"/>
    <w:rsid w:val="2CD06EF4"/>
    <w:rsid w:val="2F335194"/>
    <w:rsid w:val="30963758"/>
    <w:rsid w:val="32261600"/>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3B3097"/>
    <w:rsid w:val="58B06254"/>
    <w:rsid w:val="5AF25131"/>
    <w:rsid w:val="5B576DE0"/>
    <w:rsid w:val="600176AC"/>
    <w:rsid w:val="65332BB8"/>
    <w:rsid w:val="664A46E0"/>
    <w:rsid w:val="66755D81"/>
    <w:rsid w:val="68A121F7"/>
    <w:rsid w:val="68A9241E"/>
    <w:rsid w:val="6B6D695A"/>
    <w:rsid w:val="6FD41D7F"/>
    <w:rsid w:val="72416639"/>
    <w:rsid w:val="738C1FE2"/>
    <w:rsid w:val="73E80C0E"/>
    <w:rsid w:val="75531EF6"/>
    <w:rsid w:val="75D0003D"/>
    <w:rsid w:val="764F7877"/>
    <w:rsid w:val="7803327F"/>
    <w:rsid w:val="7AA141FF"/>
    <w:rsid w:val="7C445B57"/>
    <w:rsid w:val="7D713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31"/>
    <w:basedOn w:val="5"/>
    <w:qFormat/>
    <w:uiPriority w:val="0"/>
    <w:rPr>
      <w:rFonts w:ascii="Arial" w:hAnsi="Arial" w:cs="Arial"/>
      <w:color w:val="000000"/>
      <w:sz w:val="16"/>
      <w:szCs w:val="16"/>
      <w:u w:val="none"/>
    </w:rPr>
  </w:style>
  <w:style w:type="character" w:customStyle="1" w:styleId="8">
    <w:name w:val="font01"/>
    <w:basedOn w:val="5"/>
    <w:qFormat/>
    <w:uiPriority w:val="0"/>
    <w:rPr>
      <w:rFonts w:hint="default" w:ascii="Arial" w:hAnsi="Arial" w:cs="Arial"/>
      <w:color w:val="000000"/>
      <w:sz w:val="16"/>
      <w:szCs w:val="16"/>
      <w:u w:val="none"/>
    </w:rPr>
  </w:style>
  <w:style w:type="character" w:customStyle="1" w:styleId="9">
    <w:name w:val="font41"/>
    <w:basedOn w:val="5"/>
    <w:qFormat/>
    <w:uiPriority w:val="0"/>
    <w:rPr>
      <w:rFonts w:hint="eastAsia" w:ascii="宋体" w:hAnsi="宋体" w:eastAsia="宋体" w:cs="宋体"/>
      <w:color w:val="000000"/>
      <w:sz w:val="16"/>
      <w:szCs w:val="16"/>
      <w:u w:val="none"/>
    </w:rPr>
  </w:style>
  <w:style w:type="character" w:customStyle="1" w:styleId="10">
    <w:name w:val="正文文本 Char"/>
    <w:basedOn w:val="5"/>
    <w:link w:val="2"/>
    <w:uiPriority w:val="1"/>
    <w:rPr>
      <w:rFonts w:ascii="仿宋_GB2312" w:eastAsia="仿宋_GB2312"/>
      <w:sz w:val="32"/>
      <w:szCs w:val="32"/>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1429</Words>
  <Characters>8151</Characters>
  <Lines>67</Lines>
  <Paragraphs>19</Paragraphs>
  <TotalTime>0</TotalTime>
  <ScaleCrop>false</ScaleCrop>
  <LinksUpToDate>false</LinksUpToDate>
  <CharactersWithSpaces>9561</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2017-09-29T02:19:00Z</dcterms:created>
  <dc:creator>wsj</dc:creator>
  <cp:lastModifiedBy>Administrator</cp:lastModifiedBy>
  <cp:lastPrinted>2017-07-25T02:47:00Z</cp:lastPrinted>
  <dcterms:modified xsi:type="dcterms:W3CDTF">2018-01-08T15:24:39Z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