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rPr>
          <w:rFonts w:ascii="黑体" w:eastAsia="黑体"/>
          <w:szCs w:val="32"/>
        </w:rPr>
      </w:pPr>
      <w:r>
        <w:rPr>
          <w:rFonts w:hint="eastAsia" w:ascii="黑体" w:eastAsia="黑体"/>
          <w:szCs w:val="32"/>
        </w:rPr>
        <w:t>公开参考格式：不随文下发</w:t>
      </w: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仿宋_GB2312"/>
          <w:szCs w:val="32"/>
        </w:rPr>
      </w:pPr>
      <w:r>
        <w:rPr>
          <w:rFonts w:hint="eastAsia" w:ascii="方正小标宋简体" w:eastAsia="方正小标宋简体"/>
          <w:sz w:val="36"/>
          <w:szCs w:val="36"/>
        </w:rPr>
        <w:t>2015年度市级部门决算公开</w:t>
      </w: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rPr>
        <w:t>开发区检察室</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hint="eastAsia" w:ascii="仿宋" w:hAnsi="仿宋" w:eastAsia="仿宋"/>
          <w:sz w:val="32"/>
          <w:szCs w:val="32"/>
        </w:rPr>
        <w:t>开发区检察室2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rPr>
        <w:t>开发区检察室</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bookmarkStart w:id="0" w:name="_GoBack"/>
      <w:bookmarkEnd w:id="0"/>
    </w:p>
    <w:p>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开发区检察室概况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一、开发区检察室主要职责:</w:t>
      </w:r>
      <w:r>
        <w:rPr>
          <w:rFonts w:hint="eastAsia"/>
        </w:rPr>
        <w:t xml:space="preserve"> </w:t>
      </w:r>
      <w:r>
        <w:rPr>
          <w:rFonts w:hint="eastAsia" w:ascii="仿宋" w:hAnsi="仿宋" w:eastAsia="仿宋"/>
          <w:sz w:val="32"/>
          <w:szCs w:val="32"/>
        </w:rPr>
        <w:t>依据国家相关法律法规查办贪污贿赂犯罪案件、国家工作人员渎职犯罪案件和国家机关工作人员利用职权实施的犯罪行为进行查办。以及举报和群众上访的案件查办。</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二、开发区检察室决算单位构成</w:t>
      </w:r>
    </w:p>
    <w:p>
      <w:pPr>
        <w:pStyle w:val="12"/>
        <w:kinsoku w:val="0"/>
        <w:overflowPunct w:val="0"/>
        <w:snapToGrid w:val="0"/>
        <w:spacing w:line="360" w:lineRule="auto"/>
        <w:ind w:left="121" w:right="118" w:firstLine="360"/>
        <w:rPr>
          <w:rFonts w:ascii="仿宋" w:hAnsi="仿宋" w:eastAsia="仿宋"/>
          <w:spacing w:val="-1"/>
        </w:rPr>
      </w:pPr>
      <w:r>
        <w:rPr>
          <w:rFonts w:hint="eastAsia" w:ascii="仿宋" w:hAnsi="仿宋" w:eastAsia="仿宋"/>
        </w:rPr>
        <w:t>开发区检察室</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w:t>
      </w:r>
      <w:r>
        <w:rPr>
          <w:rFonts w:hint="eastAsia" w:ascii="仿宋" w:hAnsi="仿宋" w:eastAsia="仿宋"/>
          <w:spacing w:val="-1"/>
        </w:rPr>
        <w:t>事业单位</w:t>
      </w:r>
      <w:r>
        <w:rPr>
          <w:rFonts w:hint="eastAsia" w:ascii="仿宋" w:hAnsi="仿宋" w:eastAsia="仿宋"/>
          <w:spacing w:val="-1"/>
          <w:lang w:eastAsia="zh-CN"/>
        </w:rPr>
        <w:t>财政收支</w:t>
      </w:r>
      <w:r>
        <w:rPr>
          <w:rFonts w:hint="eastAsia" w:ascii="仿宋" w:hAnsi="仿宋" w:eastAsia="仿宋"/>
          <w:spacing w:val="-1"/>
        </w:rPr>
        <w:t>决算。</w:t>
      </w:r>
    </w:p>
    <w:p>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开发区检察室2015年度部门决算表</w:t>
      </w:r>
    </w:p>
    <w:p>
      <w:pPr>
        <w:adjustRightInd w:val="0"/>
        <w:snapToGrid w:val="0"/>
        <w:spacing w:line="360" w:lineRule="auto"/>
        <w:jc w:val="center"/>
        <w:rPr>
          <w:rFonts w:ascii="仿宋" w:hAnsi="仿宋" w:eastAsia="仿宋" w:cs="黑体"/>
          <w:b/>
          <w:bCs/>
          <w:spacing w:val="-38"/>
          <w:sz w:val="32"/>
          <w:szCs w:val="32"/>
        </w:rPr>
      </w:pPr>
      <w:r>
        <w:rPr>
          <w:rFonts w:hint="eastAsia" w:ascii="仿宋" w:hAnsi="仿宋" w:eastAsia="仿宋" w:cs="黑体"/>
          <w:b/>
          <w:bCs/>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开发区检察室</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rPr>
        <w:t>开发区检察室</w:t>
      </w:r>
      <w:r>
        <w:rPr>
          <w:rFonts w:hint="eastAsia" w:ascii="仿宋" w:hAnsi="仿宋" w:eastAsia="仿宋" w:cs="Courier New"/>
          <w:sz w:val="32"/>
          <w:szCs w:val="32"/>
        </w:rPr>
        <w:t>2015年收入总计223万元，支出总计223万元，与2014年相比，收、支总计各增加</w:t>
      </w:r>
      <w:r>
        <w:rPr>
          <w:rFonts w:hint="eastAsia" w:ascii="仿宋" w:hAnsi="仿宋" w:eastAsia="仿宋" w:cs="Courier New"/>
          <w:sz w:val="32"/>
          <w:szCs w:val="32"/>
          <w:lang w:val="en-US" w:eastAsia="zh-CN"/>
        </w:rPr>
        <w:t>22</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0.85</w:t>
      </w:r>
      <w:r>
        <w:rPr>
          <w:rFonts w:hint="eastAsia" w:ascii="仿宋" w:hAnsi="仿宋" w:eastAsia="仿宋" w:cs="Courier New"/>
          <w:sz w:val="32"/>
          <w:szCs w:val="32"/>
        </w:rPr>
        <w:t>%。主要原因：</w:t>
      </w:r>
      <w:r>
        <w:rPr>
          <w:rFonts w:ascii="仿宋" w:hAnsi="仿宋" w:eastAsia="仿宋" w:cs="Courier New"/>
          <w:sz w:val="32"/>
          <w:szCs w:val="32"/>
        </w:rPr>
        <w:t xml:space="preserve"> </w:t>
      </w:r>
      <w:r>
        <w:rPr>
          <w:rFonts w:hint="eastAsia" w:ascii="仿宋" w:hAnsi="仿宋" w:eastAsia="仿宋" w:cs="Courier New"/>
          <w:sz w:val="32"/>
          <w:szCs w:val="32"/>
          <w:lang w:eastAsia="zh-CN"/>
        </w:rPr>
        <w:t>工资福利开支增加</w:t>
      </w:r>
      <w:r>
        <w:rPr>
          <w:rFonts w:hint="eastAsia" w:ascii="仿宋" w:hAnsi="仿宋" w:eastAsia="仿宋" w:cs="Courier New"/>
          <w:sz w:val="32"/>
          <w:szCs w:val="32"/>
          <w:lang w:val="en-US" w:eastAsia="zh-CN"/>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开发区检察室本年收入合计</w:t>
      </w:r>
      <w:r>
        <w:rPr>
          <w:rFonts w:hint="eastAsia" w:ascii="仿宋" w:hAnsi="仿宋" w:eastAsia="仿宋"/>
          <w:sz w:val="32"/>
          <w:szCs w:val="32"/>
          <w:lang w:val="en-US" w:eastAsia="zh-CN"/>
        </w:rPr>
        <w:t>223</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223</w:t>
      </w:r>
      <w:r>
        <w:rPr>
          <w:rFonts w:hint="eastAsia" w:ascii="仿宋" w:hAnsi="仿宋" w:eastAsia="仿宋"/>
          <w:sz w:val="32"/>
          <w:szCs w:val="32"/>
        </w:rPr>
        <w:t>万元</w:t>
      </w:r>
      <w:r>
        <w:rPr>
          <w:rFonts w:hint="eastAsia" w:ascii="仿宋" w:hAnsi="仿宋" w:eastAsia="仿宋"/>
          <w:sz w:val="32"/>
          <w:szCs w:val="32"/>
          <w:lang w:val="en-US" w:eastAsia="zh-CN"/>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rPr>
        <w:t>开发区检察室</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223</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113</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51</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110</w:t>
      </w:r>
      <w:r>
        <w:rPr>
          <w:rFonts w:hint="eastAsia" w:ascii="仿宋" w:hAnsi="仿宋" w:eastAsia="仿宋" w:cs="Courier New"/>
          <w:sz w:val="32"/>
          <w:szCs w:val="32"/>
        </w:rPr>
        <w:t>万元，</w:t>
      </w:r>
      <w:r>
        <w:rPr>
          <w:rFonts w:ascii="仿宋" w:hAnsi="仿宋" w:eastAsia="仿宋" w:cs="Courier New"/>
          <w:sz w:val="32"/>
          <w:szCs w:val="32"/>
        </w:rPr>
        <w:t xml:space="preserve"> </w:t>
      </w:r>
      <w:r>
        <w:rPr>
          <w:rFonts w:hint="eastAsia" w:ascii="仿宋" w:hAnsi="仿宋" w:eastAsia="仿宋" w:cs="Courier New"/>
          <w:sz w:val="32"/>
          <w:szCs w:val="32"/>
        </w:rPr>
        <w:t>占</w:t>
      </w:r>
      <w:r>
        <w:rPr>
          <w:rFonts w:hint="eastAsia" w:ascii="仿宋" w:hAnsi="仿宋" w:eastAsia="仿宋" w:cs="Courier New"/>
          <w:sz w:val="32"/>
          <w:szCs w:val="32"/>
          <w:lang w:val="en-US" w:eastAsia="zh-CN"/>
        </w:rPr>
        <w:t>49</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rPr>
        <w:t>开发区检察室</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223</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年相比，财政拨款收、支总计各增加</w:t>
      </w:r>
      <w:r>
        <w:rPr>
          <w:rFonts w:hint="eastAsia" w:ascii="仿宋" w:hAnsi="仿宋" w:eastAsia="仿宋" w:cs="Courier New"/>
          <w:sz w:val="32"/>
          <w:szCs w:val="32"/>
          <w:lang w:val="en-US" w:eastAsia="zh-CN"/>
        </w:rPr>
        <w:t>22</w:t>
      </w:r>
      <w:r>
        <w:rPr>
          <w:rFonts w:hint="eastAsia" w:ascii="仿宋" w:hAnsi="仿宋" w:eastAsia="仿宋" w:cs="Courier New"/>
          <w:sz w:val="32"/>
          <w:szCs w:val="32"/>
        </w:rPr>
        <w:t xml:space="preserve"> 万元，增长</w:t>
      </w:r>
      <w:r>
        <w:rPr>
          <w:rFonts w:hint="eastAsia" w:ascii="仿宋" w:hAnsi="仿宋" w:eastAsia="仿宋" w:cs="Courier New"/>
          <w:sz w:val="32"/>
          <w:szCs w:val="32"/>
          <w:lang w:val="en-US" w:eastAsia="zh-CN"/>
        </w:rPr>
        <w:t>0.85</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工资福利开支增加</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sz w:val="32"/>
          <w:szCs w:val="32"/>
        </w:rPr>
        <w:t>开发区检察室</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230</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230</w:t>
      </w:r>
      <w:r>
        <w:rPr>
          <w:rFonts w:hint="eastAsia" w:ascii="仿宋" w:hAnsi="仿宋" w:eastAsia="仿宋" w:cs="Courier New"/>
          <w:sz w:val="32"/>
          <w:szCs w:val="32"/>
        </w:rPr>
        <w:t>万元。主要用于以下方面：公共</w:t>
      </w:r>
      <w:r>
        <w:rPr>
          <w:rFonts w:hint="eastAsia" w:ascii="仿宋" w:hAnsi="仿宋" w:eastAsia="仿宋" w:cs="Courier New"/>
          <w:sz w:val="32"/>
          <w:szCs w:val="32"/>
          <w:lang w:eastAsia="zh-CN"/>
        </w:rPr>
        <w:t>安全</w:t>
      </w:r>
      <w:r>
        <w:rPr>
          <w:rFonts w:hint="eastAsia" w:ascii="仿宋" w:hAnsi="仿宋" w:eastAsia="仿宋" w:cs="Courier New"/>
          <w:sz w:val="32"/>
          <w:szCs w:val="32"/>
        </w:rPr>
        <w:t>服务（类）支出</w:t>
      </w:r>
      <w:r>
        <w:rPr>
          <w:rFonts w:hint="eastAsia" w:ascii="仿宋" w:hAnsi="仿宋" w:eastAsia="仿宋" w:cs="Courier New"/>
          <w:sz w:val="32"/>
          <w:szCs w:val="32"/>
          <w:lang w:val="en-US" w:eastAsia="zh-CN"/>
        </w:rPr>
        <w:t>230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pStyle w:val="12"/>
        <w:kinsoku w:val="0"/>
        <w:overflowPunct w:val="0"/>
        <w:snapToGrid w:val="0"/>
        <w:spacing w:line="360" w:lineRule="auto"/>
        <w:ind w:left="0" w:leftChars="0" w:firstLine="0" w:firstLineChars="0"/>
        <w:rPr>
          <w:rFonts w:ascii="仿宋" w:hAnsi="仿宋" w:eastAsia="仿宋" w:cs="黑体"/>
        </w:rPr>
      </w:pPr>
      <w:r>
        <w:rPr>
          <w:rFonts w:hint="eastAsia" w:ascii="仿宋" w:hAnsi="仿宋" w:eastAsia="仿宋" w:cs="黑体"/>
          <w:lang w:val="en-US" w:eastAsia="zh-CN"/>
        </w:rPr>
        <w:t xml:space="preserve">   </w:t>
      </w: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 xml:space="preserve"> 检察室</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223</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113</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w:t>
      </w:r>
      <w:r>
        <w:rPr>
          <w:rFonts w:hint="eastAsia" w:ascii="仿宋" w:hAnsi="仿宋" w:eastAsia="仿宋"/>
          <w:b/>
          <w:spacing w:val="-1"/>
        </w:rPr>
        <w:t>公用经费</w:t>
      </w:r>
      <w:r>
        <w:rPr>
          <w:rFonts w:hint="eastAsia" w:ascii="仿宋" w:hAnsi="仿宋" w:eastAsia="仿宋"/>
          <w:spacing w:val="-2"/>
          <w:lang w:val="en-US" w:eastAsia="zh-CN"/>
        </w:rPr>
        <w:t>110</w:t>
      </w:r>
      <w:r>
        <w:rPr>
          <w:rFonts w:hint="eastAsia" w:ascii="仿宋" w:hAnsi="仿宋" w:eastAsia="仿宋" w:cs="Courier New"/>
          <w:kern w:val="2"/>
        </w:rPr>
        <w:t>万元，主要包括：办公费、印刷费、水费、电费、邮电费、物业管理费、差旅费、维</w:t>
      </w:r>
      <w:r>
        <w:rPr>
          <w:rFonts w:ascii="仿宋" w:hAnsi="仿宋" w:eastAsia="仿宋" w:cs="Courier New"/>
          <w:kern w:val="2"/>
        </w:rPr>
        <w:t xml:space="preserve"> </w:t>
      </w:r>
      <w:r>
        <w:rPr>
          <w:rFonts w:hint="eastAsia" w:ascii="仿宋" w:hAnsi="仿宋" w:eastAsia="仿宋" w:cs="Courier New"/>
          <w:kern w:val="2"/>
        </w:rPr>
        <w:t>修（护）费、会议费、培训费、公务接待费、公务用车运</w:t>
      </w:r>
      <w:r>
        <w:rPr>
          <w:rFonts w:ascii="仿宋" w:hAnsi="仿宋" w:eastAsia="仿宋" w:cs="Courier New"/>
          <w:kern w:val="2"/>
        </w:rPr>
        <w:t xml:space="preserve"> </w:t>
      </w:r>
      <w:r>
        <w:rPr>
          <w:rFonts w:hint="eastAsia" w:ascii="仿宋" w:hAnsi="仿宋" w:eastAsia="仿宋" w:cs="Courier New"/>
          <w:kern w:val="2"/>
        </w:rPr>
        <w:t>行维护费、其他交通费用、其他商品和服务支出、办公设备购置、专用设备购置、信息网络及软件购置更新、其他资本性支出。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rPr>
        <w:t>开发区检察室</w:t>
      </w:r>
      <w:r>
        <w:rPr>
          <w:rFonts w:hint="eastAsia" w:ascii="仿宋" w:hAnsi="仿宋" w:eastAsia="仿宋" w:cs="Courier New"/>
          <w:kern w:val="2"/>
        </w:rPr>
        <w:t>2015 年“三公”经费财政拨款支出预算为</w:t>
      </w:r>
      <w:r>
        <w:rPr>
          <w:rFonts w:hint="eastAsia" w:ascii="仿宋" w:hAnsi="仿宋" w:eastAsia="仿宋" w:cs="Courier New"/>
          <w:kern w:val="2"/>
          <w:lang w:val="en-US" w:eastAsia="zh-CN"/>
        </w:rPr>
        <w:t>49.64</w:t>
      </w:r>
      <w:r>
        <w:rPr>
          <w:rFonts w:hint="eastAsia" w:ascii="仿宋" w:hAnsi="仿宋" w:eastAsia="仿宋" w:cs="Courier New"/>
          <w:kern w:val="2"/>
        </w:rPr>
        <w:t>万元，支出决算为</w:t>
      </w:r>
      <w:r>
        <w:rPr>
          <w:rFonts w:hint="eastAsia" w:ascii="仿宋" w:hAnsi="仿宋" w:eastAsia="仿宋" w:cs="Courier New"/>
          <w:kern w:val="2"/>
          <w:lang w:val="en-US" w:eastAsia="zh-CN"/>
        </w:rPr>
        <w:t>49.64</w:t>
      </w:r>
      <w:r>
        <w:rPr>
          <w:rFonts w:hint="eastAsia" w:ascii="仿宋" w:hAnsi="仿宋" w:eastAsia="仿宋" w:cs="Courier New"/>
          <w:kern w:val="2"/>
        </w:rPr>
        <w:t>万元，2015年“三公”经费财政拨款支出决算数比 2014 年增加</w:t>
      </w:r>
      <w:r>
        <w:rPr>
          <w:rFonts w:hint="eastAsia" w:ascii="仿宋" w:hAnsi="仿宋" w:eastAsia="仿宋" w:cs="Courier New"/>
          <w:kern w:val="2"/>
          <w:lang w:val="en-US" w:eastAsia="zh-CN"/>
        </w:rPr>
        <w:t>1.95</w:t>
      </w:r>
      <w:r>
        <w:rPr>
          <w:rFonts w:hint="eastAsia" w:ascii="仿宋" w:hAnsi="仿宋" w:eastAsia="仿宋" w:cs="Courier New"/>
          <w:kern w:val="2"/>
        </w:rPr>
        <w:t>万元，增长</w:t>
      </w:r>
      <w:r>
        <w:rPr>
          <w:rFonts w:hint="eastAsia" w:ascii="仿宋" w:hAnsi="仿宋" w:eastAsia="仿宋" w:cs="Courier New"/>
          <w:kern w:val="2"/>
          <w:lang w:val="en-US" w:eastAsia="zh-CN"/>
        </w:rPr>
        <w:t>1.04</w:t>
      </w:r>
      <w:r>
        <w:rPr>
          <w:rFonts w:hint="eastAsia" w:ascii="仿宋" w:hAnsi="仿宋" w:eastAsia="仿宋" w:cs="Courier New"/>
          <w:kern w:val="2"/>
        </w:rPr>
        <w:t>%，主要原因：</w:t>
      </w:r>
      <w:r>
        <w:rPr>
          <w:rFonts w:hint="eastAsia" w:ascii="仿宋" w:hAnsi="仿宋" w:eastAsia="仿宋" w:cs="Courier New"/>
          <w:kern w:val="2"/>
          <w:lang w:eastAsia="zh-CN"/>
        </w:rPr>
        <w:t>公务用车费用增加</w:t>
      </w:r>
      <w:r>
        <w:rPr>
          <w:rFonts w:hint="eastAsia" w:ascii="仿宋" w:hAnsi="仿宋" w:eastAsia="仿宋" w:cs="Courier New"/>
          <w:kern w:val="2"/>
        </w:rPr>
        <w:t>。具体支出情况如下：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 xml:space="preserve">  </w:t>
      </w:r>
      <w:r>
        <w:rPr>
          <w:rFonts w:hint="eastAsia" w:ascii="仿宋" w:hAnsi="仿宋" w:eastAsia="仿宋" w:cs="Courier New"/>
          <w:kern w:val="2"/>
        </w:rPr>
        <w:t>全年安排因公出国（境）团组</w:t>
      </w:r>
      <w:r>
        <w:rPr>
          <w:rFonts w:hint="eastAsia" w:ascii="仿宋" w:hAnsi="仿宋" w:eastAsia="仿宋" w:cs="Courier New"/>
          <w:kern w:val="2"/>
          <w:lang w:eastAsia="zh-CN"/>
        </w:rPr>
        <w:t>无</w:t>
      </w:r>
      <w:r>
        <w:rPr>
          <w:rFonts w:hint="eastAsia" w:ascii="仿宋" w:hAnsi="仿宋" w:eastAsia="仿宋" w:cs="Courier New"/>
          <w:kern w:val="2"/>
        </w:rPr>
        <w:t>，全年因公出国（境）累计</w:t>
      </w:r>
      <w:r>
        <w:rPr>
          <w:rFonts w:hint="eastAsia" w:ascii="仿宋" w:hAnsi="仿宋" w:eastAsia="仿宋" w:cs="Courier New"/>
          <w:kern w:val="2"/>
          <w:lang w:val="en-US" w:eastAsia="zh-CN"/>
        </w:rPr>
        <w:t>0</w:t>
      </w:r>
      <w:r>
        <w:rPr>
          <w:rFonts w:hint="eastAsia" w:ascii="仿宋" w:hAnsi="仿宋" w:eastAsia="仿宋" w:cs="Courier New"/>
          <w:kern w:val="2"/>
        </w:rPr>
        <w:t>人次。</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lang w:val="en-US" w:eastAsia="zh-CN"/>
        </w:rPr>
        <w:t>49.64</w:t>
      </w:r>
      <w:r>
        <w:rPr>
          <w:rFonts w:hint="eastAsia" w:ascii="仿宋" w:hAnsi="仿宋" w:eastAsia="仿宋"/>
        </w:rPr>
        <w:t>万</w:t>
      </w:r>
      <w:r>
        <w:rPr>
          <w:rFonts w:hint="eastAsia" w:ascii="仿宋" w:hAnsi="仿宋" w:eastAsia="仿宋" w:cs="Courier New"/>
          <w:kern w:val="2"/>
        </w:rPr>
        <w:t>元，，其中，公务用车购置费</w:t>
      </w:r>
      <w:r>
        <w:rPr>
          <w:rFonts w:hint="eastAsia" w:ascii="仿宋" w:hAnsi="仿宋" w:eastAsia="仿宋" w:cs="Courier New"/>
          <w:kern w:val="2"/>
          <w:lang w:val="en-US" w:eastAsia="zh-CN"/>
        </w:rPr>
        <w:t>0</w:t>
      </w:r>
      <w:r>
        <w:rPr>
          <w:rFonts w:hint="eastAsia" w:ascii="仿宋" w:hAnsi="仿宋" w:eastAsia="仿宋" w:cs="Courier New"/>
          <w:kern w:val="2"/>
        </w:rPr>
        <w:t>万元，购置</w:t>
      </w:r>
      <w:r>
        <w:rPr>
          <w:rFonts w:hint="eastAsia" w:ascii="仿宋" w:hAnsi="仿宋" w:eastAsia="仿宋" w:cs="Courier New"/>
          <w:kern w:val="2"/>
          <w:lang w:val="en-US" w:eastAsia="zh-CN"/>
        </w:rPr>
        <w:t>0</w:t>
      </w:r>
      <w:r>
        <w:rPr>
          <w:rFonts w:hint="eastAsia" w:ascii="仿宋" w:hAnsi="仿宋" w:eastAsia="仿宋" w:cs="Courier New"/>
          <w:kern w:val="2"/>
        </w:rPr>
        <w:t>辆车；公务用车运行维护费</w:t>
      </w:r>
      <w:r>
        <w:rPr>
          <w:rFonts w:hint="eastAsia" w:ascii="仿宋" w:hAnsi="仿宋" w:eastAsia="仿宋" w:cs="Courier New"/>
          <w:kern w:val="2"/>
          <w:lang w:val="en-US" w:eastAsia="zh-CN"/>
        </w:rPr>
        <w:t>49.64</w:t>
      </w:r>
      <w:r>
        <w:rPr>
          <w:rFonts w:hint="eastAsia" w:ascii="仿宋" w:hAnsi="仿宋" w:eastAsia="仿宋" w:cs="Courier New"/>
          <w:kern w:val="2"/>
        </w:rPr>
        <w:t>万元，主要用于开展工作所需公务用车的燃料费、维修费、过路过桥费、保险费等支出。</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lang w:val="en-US" w:eastAsia="zh-CN"/>
        </w:rPr>
        <w:t>1.77</w:t>
      </w:r>
      <w:r>
        <w:rPr>
          <w:rFonts w:hint="eastAsia" w:ascii="仿宋" w:hAnsi="仿宋" w:eastAsia="仿宋" w:cs="Courier New"/>
          <w:kern w:val="2"/>
        </w:rPr>
        <w:t>万元，主要用于按规定开支的各类公务接待支出。2015 年共接待</w:t>
      </w:r>
      <w:r>
        <w:rPr>
          <w:rFonts w:hint="eastAsia" w:ascii="仿宋" w:hAnsi="仿宋" w:eastAsia="仿宋" w:cs="Courier New"/>
          <w:kern w:val="2"/>
          <w:lang w:val="en-US" w:eastAsia="zh-CN"/>
        </w:rPr>
        <w:t>44</w:t>
      </w:r>
      <w:r>
        <w:rPr>
          <w:rFonts w:hint="eastAsia" w:ascii="仿宋" w:hAnsi="仿宋" w:eastAsia="仿宋" w:cs="Courier New"/>
          <w:kern w:val="2"/>
        </w:rPr>
        <w:t>批次、</w:t>
      </w:r>
      <w:r>
        <w:rPr>
          <w:rFonts w:hint="eastAsia" w:ascii="仿宋" w:hAnsi="仿宋" w:eastAsia="仿宋" w:cs="Courier New"/>
          <w:kern w:val="2"/>
          <w:lang w:val="en-US" w:eastAsia="zh-CN"/>
        </w:rPr>
        <w:t>450</w:t>
      </w:r>
      <w:r>
        <w:rPr>
          <w:rFonts w:hint="eastAsia" w:ascii="仿宋" w:hAnsi="仿宋" w:eastAsia="仿宋" w:cs="Courier New"/>
          <w:kern w:val="2"/>
        </w:rPr>
        <w:t>人次。决算数比 2014 年减少</w:t>
      </w:r>
      <w:r>
        <w:rPr>
          <w:rFonts w:hint="eastAsia" w:ascii="仿宋" w:hAnsi="仿宋" w:eastAsia="仿宋" w:cs="Courier New"/>
          <w:kern w:val="2"/>
          <w:lang w:val="en-US" w:eastAsia="zh-CN"/>
        </w:rPr>
        <w:t>0.75</w:t>
      </w:r>
      <w:r>
        <w:rPr>
          <w:rFonts w:hint="eastAsia" w:ascii="仿宋" w:hAnsi="仿宋" w:eastAsia="仿宋" w:cs="Courier New"/>
          <w:kern w:val="2"/>
        </w:rPr>
        <w:t>万元，下降</w:t>
      </w:r>
      <w:r>
        <w:rPr>
          <w:rFonts w:hint="eastAsia" w:ascii="仿宋" w:hAnsi="仿宋" w:eastAsia="仿宋" w:cs="Courier New"/>
          <w:kern w:val="2"/>
          <w:lang w:val="en-US" w:eastAsia="zh-CN"/>
        </w:rPr>
        <w:t>7</w:t>
      </w:r>
      <w:r>
        <w:rPr>
          <w:rFonts w:hint="eastAsia" w:ascii="仿宋" w:hAnsi="仿宋" w:eastAsia="仿宋" w:cs="Courier New"/>
          <w:kern w:val="2"/>
        </w:rPr>
        <w:t>%。</w:t>
      </w:r>
    </w:p>
    <w:p>
      <w:pPr>
        <w:pStyle w:val="12"/>
        <w:kinsoku w:val="0"/>
        <w:overflowPunct w:val="0"/>
        <w:snapToGrid w:val="0"/>
        <w:spacing w:line="360" w:lineRule="auto"/>
        <w:ind w:left="0" w:firstLine="636" w:firstLineChars="200"/>
        <w:jc w:val="both"/>
        <w:rPr>
          <w:rFonts w:ascii="仿宋" w:hAnsi="仿宋" w:eastAsia="仿宋" w:cs="Courier New"/>
          <w:kern w:val="2"/>
        </w:rPr>
      </w:pPr>
      <w:r>
        <w:rPr>
          <w:rFonts w:hint="eastAsia" w:ascii="仿宋" w:hAnsi="仿宋" w:eastAsia="仿宋" w:cs="黑体"/>
          <w:spacing w:val="-1"/>
          <w:lang w:eastAsia="zh-CN"/>
        </w:rPr>
        <w:t>八</w:t>
      </w:r>
      <w:r>
        <w:rPr>
          <w:rFonts w:hint="eastAsia" w:ascii="仿宋" w:hAnsi="仿宋" w:eastAsia="仿宋" w:cs="黑体"/>
          <w:spacing w:val="-1"/>
        </w:rPr>
        <w:t>、其他重要事项的情况说明</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w:t>
      </w:r>
      <w:r>
        <w:rPr>
          <w:rFonts w:hint="eastAsia" w:ascii="仿宋" w:hAnsi="仿宋" w:eastAsia="仿宋"/>
          <w:b/>
          <w:lang w:eastAsia="zh-CN"/>
        </w:rPr>
        <w:t>一</w:t>
      </w:r>
      <w:r>
        <w:rPr>
          <w:rFonts w:hint="eastAsia" w:ascii="仿宋" w:hAnsi="仿宋" w:eastAsia="仿宋"/>
          <w:b/>
        </w:rPr>
        <w:t>）政府采购支出情况。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检察室</w:t>
      </w:r>
      <w:r>
        <w:rPr>
          <w:rFonts w:ascii="仿宋" w:hAnsi="仿宋" w:eastAsia="仿宋" w:cs="Courier New"/>
          <w:kern w:val="2"/>
        </w:rPr>
        <w:t>2015</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0</w:t>
      </w:r>
      <w:r>
        <w:rPr>
          <w:rFonts w:hint="eastAsia" w:ascii="仿宋" w:hAnsi="仿宋" w:eastAsia="仿宋" w:cs="Courier New"/>
          <w:kern w:val="2"/>
        </w:rPr>
        <w:t>万元</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w:t>
      </w:r>
      <w:r>
        <w:rPr>
          <w:rFonts w:hint="eastAsia" w:ascii="仿宋" w:hAnsi="仿宋" w:eastAsia="仿宋"/>
          <w:b/>
          <w:lang w:eastAsia="zh-CN"/>
        </w:rPr>
        <w:t>二</w:t>
      </w:r>
      <w:r>
        <w:rPr>
          <w:rFonts w:hint="eastAsia" w:ascii="仿宋" w:hAnsi="仿宋" w:eastAsia="仿宋"/>
          <w:b/>
        </w:rPr>
        <w:t>）国有资产占用情况。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eastAsia="zh-CN"/>
        </w:rPr>
        <w:t>检察室</w:t>
      </w:r>
      <w:r>
        <w:rPr>
          <w:rFonts w:hint="eastAsia" w:ascii="仿宋" w:hAnsi="仿宋" w:eastAsia="仿宋" w:cs="Courier New"/>
          <w:kern w:val="2"/>
        </w:rPr>
        <w:t>局共有车辆</w:t>
      </w:r>
      <w:r>
        <w:rPr>
          <w:rFonts w:hint="eastAsia" w:ascii="仿宋" w:hAnsi="仿宋" w:eastAsia="仿宋" w:cs="Courier New"/>
          <w:kern w:val="2"/>
          <w:lang w:val="en-US" w:eastAsia="zh-CN"/>
        </w:rPr>
        <w:t>8</w:t>
      </w:r>
      <w:r>
        <w:rPr>
          <w:rFonts w:hint="eastAsia" w:ascii="仿宋" w:hAnsi="仿宋" w:eastAsia="仿宋" w:cs="Courier New"/>
          <w:kern w:val="2"/>
        </w:rPr>
        <w:t>辆，其中，一般公务用车</w:t>
      </w:r>
      <w:r>
        <w:rPr>
          <w:rFonts w:hint="eastAsia" w:ascii="仿宋" w:hAnsi="仿宋" w:eastAsia="仿宋" w:cs="Courier New"/>
          <w:kern w:val="2"/>
          <w:lang w:val="en-US" w:eastAsia="zh-CN"/>
        </w:rPr>
        <w:t>4</w:t>
      </w:r>
      <w:r>
        <w:rPr>
          <w:rFonts w:hint="eastAsia" w:ascii="仿宋" w:hAnsi="仿宋" w:eastAsia="仿宋" w:cs="Courier New"/>
          <w:kern w:val="2"/>
        </w:rPr>
        <w:t>辆，一般执法执勤用车</w:t>
      </w:r>
      <w:r>
        <w:rPr>
          <w:rFonts w:hint="eastAsia" w:ascii="仿宋" w:hAnsi="仿宋" w:eastAsia="仿宋" w:cs="Courier New"/>
          <w:kern w:val="2"/>
          <w:lang w:val="en-US" w:eastAsia="zh-CN"/>
        </w:rPr>
        <w:t>4</w:t>
      </w:r>
      <w:r>
        <w:rPr>
          <w:rFonts w:hint="eastAsia" w:ascii="仿宋" w:hAnsi="仿宋" w:eastAsia="仿宋" w:cs="Courier New"/>
          <w:kern w:val="2"/>
        </w:rPr>
        <w:t>辆</w:t>
      </w:r>
      <w:r>
        <w:rPr>
          <w:rFonts w:hint="eastAsia" w:ascii="仿宋" w:hAnsi="仿宋" w:eastAsia="仿宋" w:cs="Courier New"/>
          <w:kern w:val="2"/>
          <w:lang w:eastAsia="zh-CN"/>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w:t>
      </w:r>
      <w:r>
        <w:rPr>
          <w:rFonts w:hint="eastAsia" w:ascii="仿宋" w:hAnsi="仿宋" w:eastAsia="仿宋"/>
          <w:b/>
          <w:lang w:eastAsia="zh-CN"/>
        </w:rPr>
        <w:t>三</w:t>
      </w:r>
      <w:r>
        <w:rPr>
          <w:rFonts w:hint="eastAsia" w:ascii="仿宋" w:hAnsi="仿宋" w:eastAsia="仿宋"/>
          <w:b/>
        </w:rPr>
        <w:t>）关于预算绩效管理工作开展情况说明。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ascii="仿宋" w:hAnsi="仿宋" w:eastAsia="仿宋" w:cs="Courier New"/>
          <w:kern w:val="2"/>
        </w:rPr>
        <w:t xml:space="preserve">2015 </w:t>
      </w:r>
      <w:r>
        <w:rPr>
          <w:rFonts w:hint="eastAsia" w:ascii="仿宋" w:hAnsi="仿宋" w:eastAsia="仿宋" w:cs="Courier New"/>
          <w:kern w:val="2"/>
        </w:rPr>
        <w:t>年，</w:t>
      </w:r>
      <w:r>
        <w:rPr>
          <w:rFonts w:hint="eastAsia" w:ascii="仿宋" w:hAnsi="仿宋" w:eastAsia="仿宋" w:cs="Courier New"/>
          <w:kern w:val="2"/>
          <w:lang w:eastAsia="zh-CN"/>
        </w:rPr>
        <w:t>检察室</w:t>
      </w:r>
      <w:r>
        <w:rPr>
          <w:rFonts w:hint="eastAsia" w:ascii="仿宋" w:hAnsi="仿宋" w:eastAsia="仿宋" w:cs="Courier New"/>
          <w:kern w:val="2"/>
        </w:rPr>
        <w:t>共组织对</w:t>
      </w:r>
      <w:r>
        <w:rPr>
          <w:rFonts w:hint="eastAsia" w:ascii="仿宋" w:hAnsi="仿宋" w:eastAsia="仿宋" w:cs="Courier New"/>
          <w:kern w:val="2"/>
          <w:lang w:val="en-US" w:eastAsia="zh-CN"/>
        </w:rPr>
        <w:t>1</w:t>
      </w:r>
      <w:r>
        <w:rPr>
          <w:rFonts w:hint="eastAsia" w:ascii="仿宋" w:hAnsi="仿宋" w:eastAsia="仿宋" w:cs="Courier New"/>
          <w:kern w:val="2"/>
        </w:rPr>
        <w:t>个项目进行了预算绩效评价，涉及一般公共预算当年财政拨款</w:t>
      </w:r>
      <w:r>
        <w:rPr>
          <w:rFonts w:hint="eastAsia" w:ascii="仿宋" w:hAnsi="仿宋" w:eastAsia="仿宋" w:cs="Courier New"/>
          <w:kern w:val="2"/>
          <w:lang w:val="en-US" w:eastAsia="zh-CN"/>
        </w:rPr>
        <w:t>223</w:t>
      </w:r>
      <w:r>
        <w:rPr>
          <w:rFonts w:hint="eastAsia" w:ascii="仿宋" w:hAnsi="仿宋" w:eastAsia="仿宋" w:cs="Courier New"/>
          <w:kern w:val="2"/>
        </w:rPr>
        <w:t>万元</w:t>
      </w:r>
      <w:r>
        <w:rPr>
          <w:rFonts w:hint="eastAsia" w:ascii="仿宋" w:hAnsi="仿宋" w:eastAsia="仿宋" w:cs="Courier New"/>
          <w:kern w:val="2"/>
          <w:lang w:eastAsia="zh-CN"/>
        </w:rPr>
        <w:t>，</w:t>
      </w:r>
      <w:r>
        <w:rPr>
          <w:rFonts w:hint="eastAsia" w:ascii="仿宋" w:hAnsi="仿宋" w:eastAsia="仿宋" w:cs="Courier New"/>
          <w:kern w:val="2"/>
        </w:rPr>
        <w:t>绩效评价</w:t>
      </w:r>
      <w:r>
        <w:rPr>
          <w:rFonts w:hint="eastAsia" w:ascii="仿宋" w:hAnsi="仿宋" w:eastAsia="仿宋" w:cs="Courier New"/>
          <w:kern w:val="2"/>
          <w:lang w:eastAsia="zh-CN"/>
        </w:rPr>
        <w:t>为良。</w:t>
      </w:r>
    </w:p>
    <w:p>
      <w:pPr>
        <w:pStyle w:val="12"/>
        <w:kinsoku w:val="0"/>
        <w:overflowPunct w:val="0"/>
        <w:snapToGrid w:val="0"/>
        <w:spacing w:line="360" w:lineRule="auto"/>
        <w:ind w:left="0" w:firstLine="640" w:firstLineChars="200"/>
        <w:jc w:val="both"/>
        <w:rPr>
          <w:rFonts w:ascii="仿宋" w:hAnsi="仿宋" w:eastAsia="仿宋" w:cs="Courier New"/>
          <w:kern w:val="2"/>
        </w:rPr>
        <w:sectPr>
          <w:headerReference r:id="rId5" w:type="first"/>
          <w:footerReference r:id="rId8" w:type="first"/>
          <w:headerReference r:id="rId3" w:type="default"/>
          <w:footerReference r:id="rId6" w:type="default"/>
          <w:headerReference r:id="rId4" w:type="even"/>
          <w:footerReference r:id="rId7" w:type="even"/>
          <w:pgSz w:w="11905" w:h="16840"/>
          <w:pgMar w:top="1580" w:right="1240" w:bottom="1180" w:left="1400" w:header="0" w:footer="982" w:gutter="0"/>
          <w:cols w:space="720" w:num="1"/>
        </w:sectPr>
      </w:pPr>
    </w:p>
    <w:p>
      <w:pPr>
        <w:kinsoku w:val="0"/>
        <w:overflowPunct w:val="0"/>
        <w:adjustRightInd w:val="0"/>
        <w:snapToGrid w:val="0"/>
        <w:spacing w:line="360" w:lineRule="auto"/>
        <w:ind w:right="521"/>
        <w:jc w:val="center"/>
        <w:rPr>
          <w:rFonts w:ascii="仿宋" w:hAnsi="仿宋" w:eastAsia="仿宋" w:cs="黑体"/>
          <w:sz w:val="32"/>
          <w:szCs w:val="32"/>
        </w:rPr>
      </w:pPr>
      <w:r>
        <w:rPr>
          <w:rFonts w:hint="eastAsia" w:ascii="仿宋" w:hAnsi="仿宋" w:eastAsia="仿宋" w:cs="黑体"/>
          <w:b/>
          <w:bCs/>
          <w:sz w:val="32"/>
          <w:szCs w:val="32"/>
        </w:rPr>
        <w:t>第四部分</w:t>
      </w:r>
      <w:r>
        <w:rPr>
          <w:rFonts w:hint="eastAsia" w:ascii="仿宋" w:hAnsi="仿宋" w:eastAsia="仿宋" w:cs="黑体"/>
          <w:b/>
          <w:bCs/>
          <w:spacing w:val="-32"/>
          <w:sz w:val="32"/>
          <w:szCs w:val="32"/>
        </w:rPr>
        <w:t xml:space="preserve">  </w:t>
      </w:r>
      <w:r>
        <w:rPr>
          <w:rFonts w:hint="eastAsia" w:ascii="仿宋" w:hAnsi="仿宋" w:eastAsia="仿宋" w:cs="黑体"/>
          <w:b/>
          <w:bCs/>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pgSz w:w="11906" w:h="16838"/>
          <w:pgMar w:top="1134" w:right="1134" w:bottom="1134" w:left="1134" w:header="510" w:footer="992" w:gutter="0"/>
          <w:cols w:space="425"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Layout w:type="fixed"/>
        <w:tblCellMar>
          <w:top w:w="0" w:type="dxa"/>
          <w:left w:w="108" w:type="dxa"/>
          <w:bottom w:w="0" w:type="dxa"/>
          <w:right w:w="108" w:type="dxa"/>
        </w:tblCellMar>
      </w:tblPr>
      <w:tblGrid>
        <w:gridCol w:w="4929"/>
        <w:gridCol w:w="616"/>
        <w:gridCol w:w="1075"/>
        <w:gridCol w:w="4607"/>
        <w:gridCol w:w="595"/>
        <w:gridCol w:w="1038"/>
      </w:tblGrid>
      <w:tr>
        <w:tblPrEx>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eastAsia="宋体"/>
                <w:kern w:val="0"/>
                <w:sz w:val="22"/>
              </w:rPr>
            </w:pPr>
            <w:r>
              <w:rPr>
                <w:rFonts w:hAnsi="宋体" w:eastAsia="宋体"/>
                <w:kern w:val="0"/>
                <w:sz w:val="22"/>
              </w:rPr>
              <w:t>　</w:t>
            </w:r>
          </w:p>
        </w:tc>
      </w:tr>
      <w:tr>
        <w:tblPrEx>
          <w:tblLayout w:type="fixed"/>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Layout w:type="fixed"/>
          <w:tblCellMar>
            <w:top w:w="0" w:type="dxa"/>
            <w:left w:w="108" w:type="dxa"/>
            <w:bottom w:w="0"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　</w:t>
            </w:r>
          </w:p>
        </w:tc>
      </w:tr>
      <w:tr>
        <w:tblPrEx>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418"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85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2"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r>
      <w:tr>
        <w:tblPrEx>
          <w:tblLayout w:type="fixed"/>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Style w:val="22"/>
        <w:tblW w:w="8532" w:type="dxa"/>
        <w:tblInd w:w="0" w:type="dxa"/>
        <w:tblLayout w:type="fixed"/>
        <w:tblCellMar>
          <w:top w:w="0" w:type="dxa"/>
          <w:left w:w="108" w:type="dxa"/>
          <w:bottom w:w="0" w:type="dxa"/>
          <w:right w:w="108" w:type="dxa"/>
        </w:tblCellMar>
      </w:tblPr>
      <w:tblGrid>
        <w:gridCol w:w="2548"/>
        <w:gridCol w:w="2771"/>
        <w:gridCol w:w="3213"/>
      </w:tblGrid>
      <w:tr>
        <w:tblPrEx>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shd w:val="clear" w:color="auto" w:fill="auto"/>
            <w:vAlign w:val="center"/>
          </w:tcPr>
          <w:p>
            <w:pPr>
              <w:ind w:firstLine="640"/>
              <w:jc w:val="center"/>
              <w:rPr>
                <w:b/>
                <w:bCs/>
                <w:kern w:val="0"/>
                <w:szCs w:val="32"/>
              </w:rPr>
            </w:pPr>
            <w:r>
              <w:rPr>
                <w:rFonts w:hAnsi="宋体"/>
                <w:b/>
                <w:bCs/>
                <w:kern w:val="0"/>
                <w:szCs w:val="32"/>
              </w:rPr>
              <w:t>公开网址</w:t>
            </w:r>
          </w:p>
        </w:tc>
      </w:tr>
      <w:tr>
        <w:tblPrEx>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ind w:firstLine="480"/>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ind w:firstLine="480"/>
              <w:jc w:val="center"/>
              <w:rPr>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PrEx>
        <w:trPr>
          <w:trHeight w:val="108" w:hRule="atLeast"/>
        </w:trPr>
        <w:tc>
          <w:tcPr>
            <w:tcW w:w="8532" w:type="dxa"/>
            <w:gridSpan w:val="3"/>
            <w:tcBorders>
              <w:top w:val="nil"/>
              <w:left w:val="single" w:color="auto" w:sz="4" w:space="0"/>
              <w:bottom w:val="single" w:color="000000" w:sz="4" w:space="0"/>
              <w:right w:val="single" w:color="auto" w:sz="4" w:space="0"/>
            </w:tcBorders>
            <w:shd w:val="clear" w:color="auto" w:fill="auto"/>
            <w:vAlign w:val="center"/>
          </w:tcPr>
          <w:p>
            <w:pPr>
              <w:ind w:firstLine="480"/>
              <w:rPr>
                <w:kern w:val="0"/>
                <w:sz w:val="24"/>
              </w:rPr>
            </w:pPr>
            <w:r>
              <w:rPr>
                <w:rFonts w:hAnsi="宋体"/>
                <w:kern w:val="0"/>
                <w:sz w:val="24"/>
              </w:rPr>
              <w:t>备注：网址应细化至底层地址，错误格式如：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w:t>
            </w:r>
            <w:r>
              <w:rPr>
                <w:rFonts w:hAnsi="宋体"/>
                <w:kern w:val="0"/>
                <w:sz w:val="24"/>
              </w:rPr>
              <w:t>正确格式如：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/index,php?m=content&amp;c=index&amp;id=5831</w:t>
            </w:r>
          </w:p>
        </w:tc>
      </w:tr>
    </w:tbl>
    <w:p/>
    <w:sectPr>
      <w:footerReference r:id="rId9"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05"/>
    </w:sdtPr>
    <w:sdtContent>
      <w:sdt>
        <w:sdtPr>
          <w:id w:val="171357283"/>
        </w:sdtPr>
        <w:sdtContent>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8CF"/>
    <w:rsid w:val="000B241B"/>
    <w:rsid w:val="000B27FA"/>
    <w:rsid w:val="00172B52"/>
    <w:rsid w:val="002D474F"/>
    <w:rsid w:val="0030230A"/>
    <w:rsid w:val="003336D7"/>
    <w:rsid w:val="003855BD"/>
    <w:rsid w:val="00542A62"/>
    <w:rsid w:val="005C6C0C"/>
    <w:rsid w:val="00645749"/>
    <w:rsid w:val="00675C79"/>
    <w:rsid w:val="006D6BEC"/>
    <w:rsid w:val="007908FA"/>
    <w:rsid w:val="008218CF"/>
    <w:rsid w:val="00824BE6"/>
    <w:rsid w:val="00896BAC"/>
    <w:rsid w:val="00A3698A"/>
    <w:rsid w:val="00AD4D8B"/>
    <w:rsid w:val="00B24031"/>
    <w:rsid w:val="00B81445"/>
    <w:rsid w:val="00BC2A98"/>
    <w:rsid w:val="00BC4CAF"/>
    <w:rsid w:val="00C41AFB"/>
    <w:rsid w:val="00C50702"/>
    <w:rsid w:val="00C80C44"/>
    <w:rsid w:val="00CB7CB0"/>
    <w:rsid w:val="00D22918"/>
    <w:rsid w:val="00D42248"/>
    <w:rsid w:val="00D42281"/>
    <w:rsid w:val="00EB7E2B"/>
    <w:rsid w:val="00F40CD7"/>
    <w:rsid w:val="00FD2985"/>
    <w:rsid w:val="3FE335B0"/>
    <w:rsid w:val="43D12D6D"/>
    <w:rsid w:val="5E95315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28"/>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29"/>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0"/>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1"/>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2"/>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3"/>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4"/>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5"/>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1"/>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6"/>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5"/>
    <w:unhideWhenUsed/>
    <w:uiPriority w:val="0"/>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8"/>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7"/>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table" w:styleId="23">
    <w:name w:val="Table Grid"/>
    <w:basedOn w:val="22"/>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4">
    <w:name w:val="页眉 Char"/>
    <w:basedOn w:val="18"/>
    <w:link w:val="15"/>
    <w:qFormat/>
    <w:uiPriority w:val="0"/>
    <w:rPr>
      <w:sz w:val="18"/>
      <w:szCs w:val="18"/>
    </w:rPr>
  </w:style>
  <w:style w:type="character" w:customStyle="1" w:styleId="25">
    <w:name w:val="页脚 Char"/>
    <w:basedOn w:val="18"/>
    <w:link w:val="14"/>
    <w:uiPriority w:val="0"/>
    <w:rPr>
      <w:sz w:val="18"/>
      <w:szCs w:val="18"/>
    </w:rPr>
  </w:style>
  <w:style w:type="paragraph" w:customStyle="1" w:styleId="26">
    <w:name w:val="List Paragraph"/>
    <w:basedOn w:val="1"/>
    <w:qFormat/>
    <w:uiPriority w:val="34"/>
    <w:pPr>
      <w:ind w:firstLine="420" w:firstLineChars="200"/>
    </w:pPr>
  </w:style>
  <w:style w:type="character" w:customStyle="1" w:styleId="27">
    <w:name w:val="标题 1 Char"/>
    <w:basedOn w:val="18"/>
    <w:link w:val="2"/>
    <w:uiPriority w:val="9"/>
    <w:rPr>
      <w:rFonts w:ascii="Times New Roman" w:hAnsi="Times New Roman" w:eastAsia="黑体" w:cs="Times New Roman"/>
      <w:bCs/>
      <w:kern w:val="44"/>
      <w:sz w:val="32"/>
      <w:szCs w:val="44"/>
    </w:rPr>
  </w:style>
  <w:style w:type="character" w:customStyle="1" w:styleId="28">
    <w:name w:val="标题 2 Char"/>
    <w:basedOn w:val="18"/>
    <w:link w:val="3"/>
    <w:uiPriority w:val="9"/>
    <w:rPr>
      <w:rFonts w:ascii="Times New Roman" w:hAnsi="Times New Roman" w:eastAsia="仿宋_GB2312" w:cs="Times New Roman"/>
      <w:b/>
      <w:bCs/>
      <w:kern w:val="0"/>
      <w:sz w:val="32"/>
      <w:szCs w:val="32"/>
    </w:rPr>
  </w:style>
  <w:style w:type="character" w:customStyle="1" w:styleId="29">
    <w:name w:val="标题 3 Char"/>
    <w:basedOn w:val="18"/>
    <w:link w:val="4"/>
    <w:uiPriority w:val="9"/>
    <w:rPr>
      <w:rFonts w:ascii="Times New Roman" w:hAnsi="Times New Roman" w:eastAsia="仿宋_GB2312" w:cs="Times New Roman"/>
      <w:b/>
      <w:bCs/>
      <w:kern w:val="0"/>
      <w:sz w:val="32"/>
      <w:szCs w:val="32"/>
    </w:rPr>
  </w:style>
  <w:style w:type="character" w:customStyle="1" w:styleId="30">
    <w:name w:val="标题 4 Char"/>
    <w:basedOn w:val="18"/>
    <w:link w:val="5"/>
    <w:uiPriority w:val="9"/>
    <w:rPr>
      <w:rFonts w:ascii="Cambria" w:hAnsi="Cambria" w:eastAsia="宋体" w:cs="Times New Roman"/>
      <w:b/>
      <w:bCs/>
      <w:kern w:val="0"/>
      <w:sz w:val="28"/>
      <w:szCs w:val="28"/>
    </w:rPr>
  </w:style>
  <w:style w:type="character" w:customStyle="1" w:styleId="31">
    <w:name w:val="标题 5 Char"/>
    <w:basedOn w:val="18"/>
    <w:link w:val="6"/>
    <w:uiPriority w:val="9"/>
    <w:rPr>
      <w:rFonts w:ascii="Times New Roman" w:hAnsi="Times New Roman" w:eastAsia="仿宋_GB2312" w:cs="Times New Roman"/>
      <w:b/>
      <w:bCs/>
      <w:kern w:val="0"/>
      <w:sz w:val="28"/>
      <w:szCs w:val="28"/>
    </w:rPr>
  </w:style>
  <w:style w:type="character" w:customStyle="1" w:styleId="32">
    <w:name w:val="标题 6 Char"/>
    <w:basedOn w:val="18"/>
    <w:link w:val="7"/>
    <w:uiPriority w:val="9"/>
    <w:rPr>
      <w:rFonts w:ascii="Cambria" w:hAnsi="Cambria" w:eastAsia="宋体" w:cs="Times New Roman"/>
      <w:b/>
      <w:bCs/>
      <w:kern w:val="0"/>
      <w:sz w:val="24"/>
      <w:szCs w:val="24"/>
    </w:rPr>
  </w:style>
  <w:style w:type="character" w:customStyle="1" w:styleId="33">
    <w:name w:val="标题 7 Char"/>
    <w:basedOn w:val="18"/>
    <w:link w:val="8"/>
    <w:uiPriority w:val="9"/>
    <w:rPr>
      <w:rFonts w:ascii="Times New Roman" w:hAnsi="Times New Roman" w:eastAsia="仿宋_GB2312" w:cs="Times New Roman"/>
      <w:b/>
      <w:bCs/>
      <w:kern w:val="0"/>
      <w:sz w:val="24"/>
      <w:szCs w:val="24"/>
    </w:rPr>
  </w:style>
  <w:style w:type="character" w:customStyle="1" w:styleId="34">
    <w:name w:val="标题 8 Char"/>
    <w:basedOn w:val="18"/>
    <w:link w:val="9"/>
    <w:uiPriority w:val="9"/>
    <w:rPr>
      <w:rFonts w:ascii="Cambria" w:hAnsi="Cambria" w:eastAsia="宋体" w:cs="Times New Roman"/>
      <w:kern w:val="0"/>
      <w:sz w:val="24"/>
      <w:szCs w:val="24"/>
    </w:rPr>
  </w:style>
  <w:style w:type="character" w:customStyle="1" w:styleId="35">
    <w:name w:val="标题 9 Char"/>
    <w:basedOn w:val="18"/>
    <w:link w:val="10"/>
    <w:qFormat/>
    <w:uiPriority w:val="9"/>
    <w:rPr>
      <w:rFonts w:ascii="Cambria" w:hAnsi="Cambria" w:eastAsia="宋体" w:cs="Times New Roman"/>
      <w:kern w:val="0"/>
      <w:sz w:val="20"/>
      <w:szCs w:val="21"/>
    </w:rPr>
  </w:style>
  <w:style w:type="character" w:customStyle="1" w:styleId="36">
    <w:name w:val="批注框文本 Char"/>
    <w:basedOn w:val="18"/>
    <w:link w:val="13"/>
    <w:semiHidden/>
    <w:uiPriority w:val="99"/>
    <w:rPr>
      <w:rFonts w:ascii="Calibri" w:hAnsi="Calibri" w:eastAsia="宋体" w:cs="Times New Roman"/>
      <w:sz w:val="18"/>
      <w:szCs w:val="18"/>
    </w:rPr>
  </w:style>
  <w:style w:type="character" w:customStyle="1" w:styleId="37">
    <w:name w:val="标题 Char"/>
    <w:basedOn w:val="18"/>
    <w:link w:val="17"/>
    <w:uiPriority w:val="10"/>
    <w:rPr>
      <w:rFonts w:ascii="Times New Roman" w:hAnsi="Times New Roman" w:eastAsia="黑体" w:cs="Times New Roman"/>
      <w:b/>
      <w:bCs/>
      <w:kern w:val="0"/>
      <w:sz w:val="36"/>
      <w:szCs w:val="32"/>
    </w:rPr>
  </w:style>
  <w:style w:type="character" w:customStyle="1" w:styleId="38">
    <w:name w:val="副标题 Char"/>
    <w:basedOn w:val="18"/>
    <w:link w:val="16"/>
    <w:uiPriority w:val="11"/>
    <w:rPr>
      <w:rFonts w:ascii="Cambria" w:hAnsi="Cambria" w:eastAsia="宋体" w:cs="Times New Roman"/>
      <w:b/>
      <w:bCs/>
      <w:kern w:val="28"/>
      <w:sz w:val="32"/>
      <w:szCs w:val="32"/>
    </w:rPr>
  </w:style>
  <w:style w:type="paragraph" w:customStyle="1" w:styleId="39">
    <w:name w:val="No Spacing"/>
    <w:link w:val="40"/>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character" w:customStyle="1" w:styleId="40">
    <w:name w:val="无间隔 Char"/>
    <w:link w:val="39"/>
    <w:qFormat/>
    <w:uiPriority w:val="1"/>
    <w:rPr>
      <w:rFonts w:ascii="Times New Roman" w:hAnsi="Times New Roman" w:eastAsia="仿宋_GB2312" w:cs="Times New Roman"/>
      <w:kern w:val="0"/>
      <w:sz w:val="32"/>
      <w:szCs w:val="20"/>
    </w:rPr>
  </w:style>
  <w:style w:type="paragraph" w:customStyle="1" w:styleId="41">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character" w:customStyle="1" w:styleId="42">
    <w:name w:val="引用 Char"/>
    <w:basedOn w:val="18"/>
    <w:link w:val="41"/>
    <w:uiPriority w:val="29"/>
    <w:rPr>
      <w:rFonts w:ascii="Times New Roman" w:hAnsi="Times New Roman" w:eastAsia="仿宋_GB2312" w:cs="Times New Roman"/>
      <w:i/>
      <w:iCs/>
      <w:color w:val="000000"/>
      <w:kern w:val="0"/>
      <w:sz w:val="32"/>
      <w:szCs w:val="20"/>
    </w:rPr>
  </w:style>
  <w:style w:type="paragraph" w:customStyle="1" w:styleId="43">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character" w:customStyle="1" w:styleId="44">
    <w:name w:val="明显引用 Char"/>
    <w:basedOn w:val="18"/>
    <w:link w:val="43"/>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paragraph" w:customStyle="1" w:styleId="50">
    <w:name w:val="TOC Heading"/>
    <w:basedOn w:val="2"/>
    <w:next w:val="1"/>
    <w:qFormat/>
    <w:uiPriority w:val="39"/>
    <w:pPr>
      <w:spacing w:before="340" w:after="330" w:line="578" w:lineRule="atLeast"/>
      <w:outlineLvl w:val="9"/>
    </w:pPr>
    <w:rPr>
      <w:rFonts w:eastAsia="仿宋_GB2312"/>
      <w:sz w:val="44"/>
    </w:rPr>
  </w:style>
  <w:style w:type="character" w:customStyle="1" w:styleId="51">
    <w:name w:val="正文文本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5E0B-35C8-4365-B1C1-DE74BEE7A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1091</Words>
  <Characters>6220</Characters>
  <Lines>51</Lines>
  <Paragraphs>14</Paragraphs>
  <ScaleCrop>false</ScaleCrop>
  <LinksUpToDate>false</LinksUpToDate>
  <CharactersWithSpaces>7297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2016-12-23T07:03:00Z</dcterms:created>
  <dc:creator>lenovo</dc:creator>
  <cp:lastModifiedBy>Administrator</cp:lastModifiedBy>
  <cp:lastPrinted>2016-12-21T07:24:00Z</cp:lastPrinted>
  <dcterms:modified xsi:type="dcterms:W3CDTF">2016-12-26T03:06:13Z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