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0"/>
        <w:rPr>
          <w:rFonts w:ascii="黑体" w:eastAsia="黑体"/>
          <w:szCs w:val="32"/>
        </w:rPr>
      </w:pPr>
      <w:r>
        <w:rPr>
          <w:rFonts w:hint="eastAsia" w:ascii="黑体" w:eastAsia="黑体"/>
          <w:szCs w:val="32"/>
        </w:rPr>
        <w:t>公开参考格式：不随文下发</w:t>
      </w:r>
    </w:p>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2015年度市级部门决算公开参考格式</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w:t>
      </w:r>
      <w:r>
        <w:rPr>
          <w:rFonts w:hint="eastAsia" w:ascii="仿宋" w:hAnsi="仿宋" w:eastAsia="仿宋" w:cs="黑体"/>
          <w:sz w:val="32"/>
          <w:szCs w:val="32"/>
          <w:lang w:eastAsia="zh-CN"/>
        </w:rPr>
        <w:t>分</w:t>
      </w:r>
      <w:r>
        <w:rPr>
          <w:rFonts w:hint="eastAsia" w:ascii="仿宋" w:hAnsi="仿宋" w:eastAsia="仿宋" w:cs="黑体"/>
          <w:sz w:val="32"/>
          <w:szCs w:val="32"/>
          <w:lang w:val="en-US" w:eastAsia="zh-CN"/>
        </w:rPr>
        <w:t xml:space="preserve">  团委</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二、部门决算单位构成</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cs="黑体"/>
          <w:spacing w:val="-32"/>
          <w:sz w:val="32"/>
          <w:szCs w:val="32"/>
          <w:lang w:val="en-US" w:eastAsia="zh-CN"/>
        </w:rPr>
        <w:t xml:space="preserve"> </w:t>
      </w:r>
      <w:r>
        <w:rPr>
          <w:rFonts w:hint="eastAsia" w:ascii="仿宋" w:hAnsi="仿宋" w:eastAsia="仿宋" w:cs="黑体"/>
          <w:spacing w:val="-32"/>
          <w:sz w:val="32"/>
          <w:szCs w:val="32"/>
          <w:lang w:eastAsia="zh-CN"/>
        </w:rPr>
        <w:t>团委</w:t>
      </w:r>
      <w:r>
        <w:rPr>
          <w:rFonts w:hint="eastAsia" w:ascii="仿宋" w:hAnsi="仿宋" w:eastAsia="仿宋"/>
          <w:sz w:val="32"/>
          <w:szCs w:val="32"/>
        </w:rPr>
        <w:t>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cs="黑体"/>
          <w:spacing w:val="-38"/>
          <w:sz w:val="32"/>
          <w:szCs w:val="32"/>
          <w:lang w:eastAsia="zh-CN"/>
        </w:rPr>
        <w:t>团委</w:t>
      </w:r>
      <w:r>
        <w:rPr>
          <w:rFonts w:hint="eastAsia" w:ascii="仿宋" w:hAnsi="仿宋" w:eastAsia="仿宋" w:cs="黑体"/>
          <w:spacing w:val="-38"/>
          <w:sz w:val="32"/>
          <w:szCs w:val="32"/>
          <w:lang w:val="en-US" w:eastAsia="zh-CN"/>
        </w:rPr>
        <w:t xml:space="preserve"> </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团委</w:t>
      </w:r>
      <w:r>
        <w:rPr>
          <w:rFonts w:hint="eastAsia" w:ascii="仿宋" w:hAnsi="仿宋" w:eastAsia="仿宋"/>
          <w:sz w:val="32"/>
          <w:szCs w:val="32"/>
        </w:rPr>
        <w:t>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团委</w:t>
      </w:r>
      <w:r>
        <w:rPr>
          <w:rFonts w:hint="eastAsia" w:ascii="仿宋" w:hAnsi="仿宋" w:eastAsia="仿宋"/>
          <w:sz w:val="32"/>
          <w:szCs w:val="32"/>
        </w:rPr>
        <w:t>主要职责</w:t>
      </w:r>
    </w:p>
    <w:p>
      <w:pPr>
        <w:adjustRightInd w:val="0"/>
        <w:snapToGrid w:val="0"/>
        <w:spacing w:line="360" w:lineRule="auto"/>
        <w:ind w:firstLine="640"/>
        <w:rPr>
          <w:rFonts w:ascii="仿宋" w:hAnsi="仿宋" w:eastAsia="仿宋" w:cs="Courier New"/>
          <w:kern w:val="0"/>
          <w:sz w:val="32"/>
          <w:szCs w:val="32"/>
        </w:rPr>
      </w:pPr>
      <w:r>
        <w:rPr>
          <w:rFonts w:hint="eastAsia" w:ascii="仿宋" w:hAnsi="仿宋" w:eastAsia="仿宋" w:cs="Courier New"/>
          <w:kern w:val="0"/>
          <w:sz w:val="32"/>
          <w:szCs w:val="32"/>
        </w:rPr>
        <w:t>（一）</w:t>
      </w:r>
      <w:r>
        <w:rPr>
          <w:rFonts w:hint="eastAsia" w:ascii="仿宋" w:hAnsi="仿宋" w:eastAsia="仿宋" w:cs="Courier New"/>
          <w:kern w:val="0"/>
          <w:sz w:val="32"/>
          <w:szCs w:val="32"/>
          <w:lang w:eastAsia="zh-CN"/>
        </w:rPr>
        <w:t>完成党委和上级团委的工作部署和要求</w:t>
      </w:r>
    </w:p>
    <w:p>
      <w:pPr>
        <w:adjustRightInd w:val="0"/>
        <w:snapToGrid w:val="0"/>
        <w:spacing w:line="360" w:lineRule="auto"/>
        <w:ind w:firstLine="640"/>
        <w:rPr>
          <w:rFonts w:hint="eastAsia" w:ascii="仿宋" w:hAnsi="仿宋" w:eastAsia="仿宋" w:cs="Courier New"/>
          <w:kern w:val="0"/>
          <w:sz w:val="32"/>
          <w:szCs w:val="32"/>
          <w:lang w:eastAsia="zh-CN"/>
        </w:rPr>
      </w:pPr>
      <w:r>
        <w:rPr>
          <w:rFonts w:hint="eastAsia" w:ascii="仿宋" w:hAnsi="仿宋" w:eastAsia="仿宋" w:cs="Courier New"/>
          <w:kern w:val="0"/>
          <w:sz w:val="32"/>
          <w:szCs w:val="32"/>
        </w:rPr>
        <w:t>（二）</w:t>
      </w:r>
      <w:r>
        <w:rPr>
          <w:rFonts w:hint="eastAsia" w:ascii="仿宋" w:hAnsi="仿宋" w:eastAsia="仿宋" w:cs="Courier New"/>
          <w:kern w:val="0"/>
          <w:sz w:val="32"/>
          <w:szCs w:val="32"/>
          <w:lang w:eastAsia="zh-CN"/>
        </w:rPr>
        <w:t>开展共青团的思想教育。</w:t>
      </w:r>
    </w:p>
    <w:p>
      <w:pPr>
        <w:adjustRightInd w:val="0"/>
        <w:snapToGrid w:val="0"/>
        <w:spacing w:line="360" w:lineRule="auto"/>
        <w:ind w:firstLine="640"/>
        <w:rPr>
          <w:rFonts w:hint="eastAsia" w:ascii="仿宋" w:hAnsi="仿宋" w:eastAsia="仿宋" w:cs="Courier New"/>
          <w:kern w:val="0"/>
          <w:sz w:val="32"/>
          <w:szCs w:val="32"/>
          <w:lang w:val="en-US" w:eastAsia="zh-CN"/>
        </w:rPr>
      </w:pPr>
      <w:r>
        <w:rPr>
          <w:rFonts w:hint="eastAsia" w:ascii="仿宋" w:hAnsi="仿宋" w:eastAsia="仿宋" w:cs="Courier New"/>
          <w:kern w:val="0"/>
          <w:sz w:val="32"/>
          <w:szCs w:val="32"/>
          <w:lang w:val="en-US" w:eastAsia="zh-CN"/>
        </w:rPr>
        <w:t>（三）抓好团的基础工作和团的组织建设，做好分工。</w:t>
      </w:r>
    </w:p>
    <w:p>
      <w:pPr>
        <w:adjustRightInd w:val="0"/>
        <w:snapToGrid w:val="0"/>
        <w:spacing w:line="360" w:lineRule="auto"/>
        <w:ind w:firstLine="640"/>
        <w:rPr>
          <w:rFonts w:hint="eastAsia" w:ascii="仿宋" w:hAnsi="仿宋" w:eastAsia="仿宋" w:cs="Courier New"/>
          <w:kern w:val="0"/>
          <w:sz w:val="32"/>
          <w:szCs w:val="32"/>
          <w:lang w:val="en-US" w:eastAsia="zh-CN"/>
        </w:rPr>
      </w:pPr>
      <w:r>
        <w:rPr>
          <w:rFonts w:hint="eastAsia" w:ascii="仿宋" w:hAnsi="仿宋" w:eastAsia="仿宋" w:cs="Courier New"/>
          <w:kern w:val="0"/>
          <w:sz w:val="32"/>
          <w:szCs w:val="32"/>
          <w:lang w:val="en-US" w:eastAsia="zh-CN"/>
        </w:rPr>
        <w:t>（四）维护青年的正当权益和利益</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团委</w:t>
      </w:r>
      <w:r>
        <w:rPr>
          <w:rFonts w:hint="eastAsia" w:ascii="仿宋" w:hAnsi="仿宋" w:eastAsia="仿宋"/>
          <w:sz w:val="32"/>
          <w:szCs w:val="32"/>
        </w:rPr>
        <w:t>决算单位构成</w:t>
      </w:r>
    </w:p>
    <w:p>
      <w:pPr>
        <w:pStyle w:val="12"/>
        <w:kinsoku w:val="0"/>
        <w:overflowPunct w:val="0"/>
        <w:snapToGrid w:val="0"/>
        <w:spacing w:line="360" w:lineRule="auto"/>
        <w:ind w:left="121" w:right="118" w:firstLine="360"/>
        <w:rPr>
          <w:rFonts w:ascii="仿宋" w:hAnsi="仿宋" w:eastAsia="仿宋"/>
          <w:spacing w:val="-1"/>
        </w:rPr>
      </w:pPr>
      <w:r>
        <w:rPr>
          <w:rFonts w:hint="eastAsia" w:ascii="仿宋" w:hAnsi="仿宋" w:eastAsia="仿宋"/>
          <w:spacing w:val="2"/>
          <w:lang w:eastAsia="zh-CN"/>
        </w:rPr>
        <w:t>团委</w:t>
      </w:r>
      <w:r>
        <w:rPr>
          <w:rFonts w:hint="eastAsia" w:ascii="仿宋" w:hAnsi="仿宋" w:eastAsia="仿宋"/>
          <w:spacing w:val="2"/>
        </w:rPr>
        <w:t>部门</w:t>
      </w:r>
      <w:r>
        <w:rPr>
          <w:rFonts w:hint="eastAsia" w:ascii="仿宋" w:hAnsi="仿宋" w:eastAsia="仿宋"/>
        </w:rPr>
        <w:t>决</w:t>
      </w:r>
      <w:r>
        <w:rPr>
          <w:rFonts w:hint="eastAsia" w:ascii="仿宋" w:hAnsi="仿宋" w:eastAsia="仿宋"/>
          <w:spacing w:val="2"/>
        </w:rPr>
        <w:t>算包括</w:t>
      </w:r>
      <w:r>
        <w:rPr>
          <w:rFonts w:hint="eastAsia" w:ascii="仿宋" w:hAnsi="仿宋" w:eastAsia="仿宋"/>
        </w:rPr>
        <w:t>局</w:t>
      </w:r>
      <w:r>
        <w:rPr>
          <w:rFonts w:hint="eastAsia" w:ascii="仿宋" w:hAnsi="仿宋" w:eastAsia="仿宋"/>
          <w:spacing w:val="2"/>
        </w:rPr>
        <w:t>机关本级</w:t>
      </w:r>
      <w:r>
        <w:rPr>
          <w:rFonts w:hint="eastAsia" w:ascii="仿宋" w:hAnsi="仿宋" w:eastAsia="仿宋"/>
          <w:spacing w:val="-1"/>
        </w:rPr>
        <w:t>决算</w:t>
      </w:r>
      <w:r>
        <w:rPr>
          <w:rFonts w:hint="eastAsia" w:ascii="仿宋" w:hAnsi="仿宋" w:eastAsia="仿宋"/>
          <w:spacing w:val="2"/>
        </w:rPr>
        <w:t>和</w:t>
      </w:r>
      <w:r>
        <w:rPr>
          <w:rFonts w:hint="eastAsia" w:ascii="仿宋" w:hAnsi="仿宋" w:eastAsia="仿宋"/>
          <w:spacing w:val="2"/>
          <w:lang w:eastAsia="zh-CN"/>
        </w:rPr>
        <w:t>区</w:t>
      </w:r>
      <w:r>
        <w:rPr>
          <w:rFonts w:hint="eastAsia" w:ascii="仿宋" w:hAnsi="仿宋" w:eastAsia="仿宋"/>
          <w:spacing w:val="2"/>
        </w:rPr>
        <w:t>属</w:t>
      </w:r>
      <w:r>
        <w:rPr>
          <w:rFonts w:hint="eastAsia" w:ascii="仿宋" w:hAnsi="仿宋" w:eastAsia="仿宋"/>
          <w:spacing w:val="-1"/>
        </w:rPr>
        <w:t>事业单位决算。</w:t>
      </w:r>
    </w:p>
    <w:p>
      <w:pPr>
        <w:adjustRightInd w:val="0"/>
        <w:snapToGrid w:val="0"/>
        <w:spacing w:line="360" w:lineRule="auto"/>
        <w:rPr>
          <w:rFonts w:hint="eastAsia" w:ascii="仿宋" w:hAnsi="仿宋" w:eastAsia="仿宋"/>
          <w:sz w:val="32"/>
          <w:szCs w:val="32"/>
        </w:rPr>
      </w:pPr>
      <w:bookmarkStart w:id="0" w:name="_GoBack"/>
      <w:bookmarkEnd w:id="0"/>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团委</w:t>
      </w:r>
      <w:r>
        <w:rPr>
          <w:rFonts w:hint="eastAsia" w:ascii="仿宋" w:hAnsi="仿宋" w:eastAsia="仿宋"/>
          <w:sz w:val="32"/>
          <w:szCs w:val="32"/>
        </w:rPr>
        <w:t>2015年度部门决算表</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cs="黑体"/>
          <w:sz w:val="32"/>
          <w:szCs w:val="32"/>
          <w:lang w:eastAsia="zh-CN"/>
        </w:rPr>
        <w:t>团委</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团委</w:t>
      </w:r>
      <w:r>
        <w:rPr>
          <w:rFonts w:hint="eastAsia" w:ascii="仿宋" w:hAnsi="仿宋" w:eastAsia="仿宋" w:cs="Courier New"/>
          <w:sz w:val="32"/>
          <w:szCs w:val="32"/>
        </w:rPr>
        <w:t xml:space="preserve">2015年收入总计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万元，支出总计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万元，与2014年相比，收、支总计各增加</w:t>
      </w:r>
      <w:r>
        <w:rPr>
          <w:rFonts w:hint="eastAsia" w:ascii="仿宋" w:hAnsi="仿宋" w:eastAsia="仿宋" w:cs="Courier New"/>
          <w:sz w:val="32"/>
          <w:szCs w:val="32"/>
          <w:lang w:val="en-US" w:eastAsia="zh-CN"/>
        </w:rPr>
        <w:t>1.2</w:t>
      </w:r>
      <w:r>
        <w:rPr>
          <w:rFonts w:hint="eastAsia" w:ascii="仿宋" w:hAnsi="仿宋" w:eastAsia="仿宋" w:cs="Courier New"/>
          <w:sz w:val="32"/>
          <w:szCs w:val="32"/>
        </w:rPr>
        <w:t xml:space="preserve">   万元，增长</w:t>
      </w:r>
      <w:r>
        <w:rPr>
          <w:rFonts w:hint="eastAsia" w:ascii="仿宋" w:hAnsi="仿宋" w:eastAsia="仿宋" w:cs="Courier New"/>
          <w:sz w:val="32"/>
          <w:szCs w:val="32"/>
          <w:lang w:val="en-US" w:eastAsia="zh-CN"/>
        </w:rPr>
        <w:t>4.4</w:t>
      </w:r>
      <w:r>
        <w:rPr>
          <w:rFonts w:hint="eastAsia" w:ascii="仿宋" w:hAnsi="仿宋" w:eastAsia="仿宋" w:cs="Courier New"/>
          <w:sz w:val="32"/>
          <w:szCs w:val="32"/>
        </w:rPr>
        <w:t xml:space="preserve">  %。主要原因</w:t>
      </w:r>
      <w:r>
        <w:rPr>
          <w:rFonts w:hint="eastAsia" w:ascii="仿宋" w:hAnsi="仿宋" w:eastAsia="仿宋" w:cs="Courier New"/>
          <w:sz w:val="32"/>
          <w:szCs w:val="32"/>
          <w:lang w:eastAsia="zh-CN"/>
        </w:rPr>
        <w:t>：人员工资增长</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sz w:val="32"/>
          <w:szCs w:val="32"/>
          <w:lang w:eastAsia="zh-CN"/>
        </w:rPr>
        <w:t>团委</w:t>
      </w:r>
      <w:r>
        <w:rPr>
          <w:rFonts w:hint="eastAsia" w:ascii="仿宋" w:hAnsi="仿宋" w:eastAsia="仿宋"/>
          <w:sz w:val="32"/>
          <w:szCs w:val="32"/>
        </w:rPr>
        <w:t xml:space="preserve">本年收入合计  </w:t>
      </w:r>
      <w:r>
        <w:rPr>
          <w:rFonts w:hint="eastAsia" w:ascii="仿宋" w:hAnsi="仿宋" w:eastAsia="仿宋"/>
          <w:sz w:val="32"/>
          <w:szCs w:val="32"/>
          <w:lang w:val="en-US" w:eastAsia="zh-CN"/>
        </w:rPr>
        <w:t>28.28</w:t>
      </w:r>
      <w:r>
        <w:rPr>
          <w:rFonts w:hint="eastAsia" w:ascii="仿宋" w:hAnsi="仿宋" w:eastAsia="仿宋"/>
          <w:sz w:val="32"/>
          <w:szCs w:val="32"/>
        </w:rPr>
        <w:t xml:space="preserve">万元，其中：财政拨款收入 </w:t>
      </w:r>
      <w:r>
        <w:rPr>
          <w:rFonts w:hint="eastAsia" w:ascii="仿宋" w:hAnsi="仿宋" w:eastAsia="仿宋"/>
          <w:sz w:val="32"/>
          <w:szCs w:val="32"/>
          <w:lang w:val="en-US" w:eastAsia="zh-CN"/>
        </w:rPr>
        <w:t>28.28</w:t>
      </w:r>
      <w:r>
        <w:rPr>
          <w:rFonts w:hint="eastAsia" w:ascii="仿宋" w:hAnsi="仿宋" w:eastAsia="仿宋"/>
          <w:sz w:val="32"/>
          <w:szCs w:val="32"/>
        </w:rPr>
        <w:t xml:space="preserve"> 万元，占 </w:t>
      </w:r>
      <w:r>
        <w:rPr>
          <w:rFonts w:hint="eastAsia" w:ascii="仿宋" w:hAnsi="仿宋" w:eastAsia="仿宋"/>
          <w:sz w:val="32"/>
          <w:szCs w:val="32"/>
          <w:lang w:val="en-US" w:eastAsia="zh-CN"/>
        </w:rPr>
        <w:t>100</w:t>
      </w:r>
      <w:r>
        <w:rPr>
          <w:rFonts w:hint="eastAsia" w:ascii="仿宋" w:hAnsi="仿宋" w:eastAsia="仿宋"/>
          <w:sz w:val="32"/>
          <w:szCs w:val="32"/>
        </w:rPr>
        <w:t xml:space="preserve"> %；事业收入  万元， 占  %；经营收入万元，占  %；其他收入  万元，占  %。</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团委</w:t>
      </w:r>
      <w:r>
        <w:rPr>
          <w:rFonts w:hint="eastAsia" w:ascii="仿宋" w:hAnsi="仿宋" w:eastAsia="仿宋" w:cs="Courier New"/>
          <w:sz w:val="32"/>
          <w:szCs w:val="32"/>
        </w:rPr>
        <w:t xml:space="preserve">本年支出合计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万元，其中：基本支出</w:t>
      </w:r>
      <w:r>
        <w:rPr>
          <w:rFonts w:ascii="仿宋" w:hAnsi="仿宋" w:eastAsia="仿宋" w:cs="Courier New"/>
          <w:sz w:val="32"/>
          <w:szCs w:val="32"/>
        </w:rPr>
        <w:t xml:space="preserve"> </w:t>
      </w:r>
      <w:r>
        <w:rPr>
          <w:rFonts w:hint="eastAsia" w:ascii="仿宋" w:hAnsi="仿宋" w:eastAsia="仿宋" w:cs="Courier New"/>
          <w:sz w:val="32"/>
          <w:szCs w:val="32"/>
        </w:rPr>
        <w:t xml:space="preserve">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万元，占 </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；项目支出  万元，</w:t>
      </w:r>
      <w:r>
        <w:rPr>
          <w:rFonts w:ascii="仿宋" w:hAnsi="仿宋" w:eastAsia="仿宋" w:cs="Courier New"/>
          <w:sz w:val="32"/>
          <w:szCs w:val="32"/>
        </w:rPr>
        <w:t xml:space="preserve"> </w:t>
      </w:r>
      <w:r>
        <w:rPr>
          <w:rFonts w:hint="eastAsia" w:ascii="仿宋" w:hAnsi="仿宋" w:eastAsia="仿宋" w:cs="Courier New"/>
          <w:sz w:val="32"/>
          <w:szCs w:val="32"/>
        </w:rPr>
        <w:t>占</w:t>
      </w:r>
      <w:r>
        <w:rPr>
          <w:rFonts w:ascii="仿宋" w:hAnsi="仿宋" w:eastAsia="仿宋" w:cs="Courier New"/>
          <w:sz w:val="32"/>
          <w:szCs w:val="32"/>
        </w:rPr>
        <w:t xml:space="preserve"> </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 xml:space="preserve">；经营支出  万元，占 </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团委</w:t>
      </w:r>
      <w:r>
        <w:rPr>
          <w:rFonts w:ascii="仿宋" w:hAnsi="仿宋" w:eastAsia="仿宋" w:cs="Courier New"/>
          <w:sz w:val="32"/>
          <w:szCs w:val="32"/>
        </w:rPr>
        <w:t>2015</w:t>
      </w:r>
      <w:r>
        <w:rPr>
          <w:rFonts w:hint="eastAsia" w:ascii="仿宋" w:hAnsi="仿宋" w:eastAsia="仿宋" w:cs="Courier New"/>
          <w:sz w:val="32"/>
          <w:szCs w:val="32"/>
        </w:rPr>
        <w:t>年财政拨款收支总决算</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万元。与</w:t>
      </w:r>
      <w:r>
        <w:rPr>
          <w:rFonts w:ascii="仿宋" w:hAnsi="仿宋" w:eastAsia="仿宋" w:cs="Courier New"/>
          <w:sz w:val="32"/>
          <w:szCs w:val="32"/>
        </w:rPr>
        <w:t xml:space="preserve"> 2014 </w:t>
      </w:r>
      <w:r>
        <w:rPr>
          <w:rFonts w:hint="eastAsia" w:ascii="仿宋" w:hAnsi="仿宋" w:eastAsia="仿宋" w:cs="Courier New"/>
          <w:sz w:val="32"/>
          <w:szCs w:val="32"/>
        </w:rPr>
        <w:t>年相比，财政拨款收、支总计各增加</w:t>
      </w:r>
      <w:r>
        <w:rPr>
          <w:rFonts w:hint="eastAsia" w:ascii="仿宋" w:hAnsi="仿宋" w:eastAsia="仿宋" w:cs="Courier New"/>
          <w:sz w:val="32"/>
          <w:szCs w:val="32"/>
          <w:lang w:val="en-US" w:eastAsia="zh-CN"/>
        </w:rPr>
        <w:t>1.2</w:t>
      </w:r>
      <w:r>
        <w:rPr>
          <w:rFonts w:hint="eastAsia" w:ascii="仿宋" w:hAnsi="仿宋" w:eastAsia="仿宋" w:cs="Courier New"/>
          <w:sz w:val="32"/>
          <w:szCs w:val="32"/>
        </w:rPr>
        <w:t xml:space="preserve">  万元，增长</w:t>
      </w:r>
      <w:r>
        <w:rPr>
          <w:rFonts w:hint="eastAsia" w:ascii="仿宋" w:hAnsi="仿宋" w:eastAsia="仿宋" w:cs="Courier New"/>
          <w:sz w:val="32"/>
          <w:szCs w:val="32"/>
          <w:lang w:val="en-US" w:eastAsia="zh-CN"/>
        </w:rPr>
        <w:t>4.4</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eastAsia="zh-CN"/>
        </w:rPr>
        <w:t>：人员工资增长</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团委</w:t>
      </w:r>
      <w:r>
        <w:rPr>
          <w:rFonts w:ascii="仿宋" w:hAnsi="仿宋" w:eastAsia="仿宋" w:cs="Courier New"/>
          <w:sz w:val="32"/>
          <w:szCs w:val="32"/>
        </w:rPr>
        <w:t xml:space="preserve">2015 </w:t>
      </w:r>
      <w:r>
        <w:rPr>
          <w:rFonts w:hint="eastAsia" w:ascii="仿宋" w:hAnsi="仿宋" w:eastAsia="仿宋" w:cs="Courier New"/>
          <w:sz w:val="32"/>
          <w:szCs w:val="32"/>
        </w:rPr>
        <w:t xml:space="preserve">年一般公共预算财政拨款支出年初预算为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万元，支出决算为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万元，完成年初预算的 </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 xml:space="preserve">。主要用于以下方面：一般公共服务（类）支出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万元，占</w:t>
      </w:r>
      <w:r>
        <w:rPr>
          <w:rFonts w:ascii="仿宋" w:hAnsi="仿宋" w:eastAsia="仿宋" w:cs="Courier New"/>
          <w:sz w:val="32"/>
          <w:szCs w:val="32"/>
        </w:rPr>
        <w:t xml:space="preserve"> </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 xml:space="preserve">；……住房保障（类）支出  万元，占  </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rPr>
        <w:t>（一）一般公共服务（类）</w:t>
      </w:r>
      <w:r>
        <w:rPr>
          <w:rFonts w:hint="eastAsia" w:ascii="仿宋" w:hAnsi="仿宋" w:eastAsia="仿宋" w:cs="Courier New"/>
          <w:sz w:val="32"/>
          <w:szCs w:val="32"/>
        </w:rPr>
        <w:t xml:space="preserve">财政事务（款）。年初预算为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万元，支出决算为 </w:t>
      </w:r>
      <w:r>
        <w:rPr>
          <w:rFonts w:hint="eastAsia" w:ascii="仿宋" w:hAnsi="仿宋" w:eastAsia="仿宋" w:cs="Courier New"/>
          <w:sz w:val="32"/>
          <w:szCs w:val="32"/>
          <w:lang w:val="en-US" w:eastAsia="zh-CN"/>
        </w:rPr>
        <w:t>28.28</w:t>
      </w:r>
      <w:r>
        <w:rPr>
          <w:rFonts w:hint="eastAsia" w:ascii="仿宋" w:hAnsi="仿宋" w:eastAsia="仿宋" w:cs="Courier New"/>
          <w:sz w:val="32"/>
          <w:szCs w:val="32"/>
        </w:rPr>
        <w:t xml:space="preserve"> 万元，完成年初预算的 </w:t>
      </w:r>
      <w:r>
        <w:rPr>
          <w:rFonts w:hint="eastAsia" w:ascii="仿宋" w:hAnsi="仿宋" w:eastAsia="仿宋" w:cs="Courier New"/>
          <w:sz w:val="32"/>
          <w:szCs w:val="32"/>
          <w:lang w:val="en-US" w:eastAsia="zh-CN"/>
        </w:rPr>
        <w:t>100</w:t>
      </w:r>
      <w:r>
        <w:rPr>
          <w:rFonts w:hint="eastAsia" w:ascii="仿宋" w:hAnsi="仿宋" w:eastAsia="仿宋" w:cs="Courier New"/>
          <w:sz w:val="32"/>
          <w:szCs w:val="32"/>
        </w:rPr>
        <w:t xml:space="preserve"> %。决算数大于（小于）预算数的主要原因：……。</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b/>
          <w:sz w:val="32"/>
          <w:szCs w:val="32"/>
        </w:rPr>
        <w:t>（二）住房保障支出（类）</w:t>
      </w:r>
      <w:r>
        <w:rPr>
          <w:rFonts w:hint="eastAsia" w:ascii="仿宋" w:hAnsi="仿宋" w:eastAsia="仿宋" w:cs="Courier New"/>
          <w:sz w:val="32"/>
          <w:szCs w:val="32"/>
        </w:rPr>
        <w:t>住房改革支出（款）。年初预算为  万元，支出决算为  万元，完成年初预算的  %。决算数大于（小于）预算数的主要原因：……。</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rPr>
        <w:t>……</w:t>
      </w:r>
    </w:p>
    <w:p>
      <w:pPr>
        <w:pStyle w:val="1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ascii="仿宋" w:hAnsi="仿宋" w:eastAsia="仿宋" w:cs="Courier New"/>
          <w:kern w:val="2"/>
        </w:rPr>
      </w:pPr>
      <w:r>
        <w:rPr>
          <w:rFonts w:hint="eastAsia" w:ascii="仿宋" w:hAnsi="仿宋" w:eastAsia="仿宋" w:cs="Courier New"/>
          <w:kern w:val="2"/>
          <w:lang w:eastAsia="zh-CN"/>
        </w:rPr>
        <w:t>团委</w:t>
      </w:r>
      <w:r>
        <w:rPr>
          <w:rFonts w:ascii="仿宋" w:hAnsi="仿宋" w:eastAsia="仿宋" w:cs="Courier New"/>
          <w:kern w:val="2"/>
        </w:rPr>
        <w:t>2015</w:t>
      </w:r>
      <w:r>
        <w:rPr>
          <w:rFonts w:hint="eastAsia" w:ascii="仿宋" w:hAnsi="仿宋" w:eastAsia="仿宋" w:cs="Courier New"/>
          <w:kern w:val="2"/>
        </w:rPr>
        <w:t xml:space="preserve">年一般公共预算财政拨款基本支出 </w:t>
      </w:r>
      <w:r>
        <w:rPr>
          <w:rFonts w:hint="eastAsia" w:ascii="仿宋" w:hAnsi="仿宋" w:eastAsia="仿宋" w:cs="Courier New"/>
          <w:kern w:val="2"/>
          <w:lang w:val="en-US" w:eastAsia="zh-CN"/>
        </w:rPr>
        <w:t>28.28</w:t>
      </w:r>
      <w:r>
        <w:rPr>
          <w:rFonts w:hint="eastAsia" w:ascii="仿宋" w:hAnsi="仿宋" w:eastAsia="仿宋" w:cs="Courier New"/>
          <w:kern w:val="2"/>
        </w:rPr>
        <w:t xml:space="preserve"> 万元，其中：</w:t>
      </w:r>
      <w:r>
        <w:rPr>
          <w:rFonts w:hint="eastAsia" w:ascii="仿宋" w:hAnsi="仿宋" w:eastAsia="仿宋"/>
          <w:b/>
          <w:spacing w:val="-1"/>
        </w:rPr>
        <w:t>人员经费</w:t>
      </w:r>
      <w:r>
        <w:rPr>
          <w:rFonts w:hint="eastAsia" w:ascii="仿宋" w:hAnsi="仿宋" w:eastAsia="仿宋"/>
          <w:spacing w:val="-1"/>
        </w:rPr>
        <w:t xml:space="preserve">  </w:t>
      </w:r>
      <w:r>
        <w:rPr>
          <w:rFonts w:hint="eastAsia" w:ascii="仿宋" w:hAnsi="仿宋" w:eastAsia="仿宋"/>
          <w:spacing w:val="-1"/>
          <w:lang w:val="en-US" w:eastAsia="zh-CN"/>
        </w:rPr>
        <w:t>25.28</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奖金、社会保障缴费、伙食补助费、绩效工资、其他工资福利</w:t>
      </w:r>
      <w:r>
        <w:rPr>
          <w:rFonts w:ascii="仿宋" w:hAnsi="仿宋" w:eastAsia="仿宋" w:cs="Courier New"/>
          <w:kern w:val="2"/>
        </w:rPr>
        <w:t xml:space="preserve"> </w:t>
      </w:r>
      <w:r>
        <w:rPr>
          <w:rFonts w:hint="eastAsia" w:ascii="仿宋" w:hAnsi="仿宋" w:eastAsia="仿宋" w:cs="Courier New"/>
          <w:kern w:val="2"/>
        </w:rPr>
        <w:t>支出、离休费、退休费、退职（役）费、抚恤金、生活补助、</w:t>
      </w:r>
      <w:r>
        <w:rPr>
          <w:rFonts w:ascii="仿宋" w:hAnsi="仿宋" w:eastAsia="仿宋" w:cs="Courier New"/>
          <w:kern w:val="2"/>
        </w:rPr>
        <w:t xml:space="preserve"> </w:t>
      </w:r>
      <w:r>
        <w:rPr>
          <w:rFonts w:hint="eastAsia" w:ascii="仿宋" w:hAnsi="仿宋" w:eastAsia="仿宋" w:cs="Courier New"/>
          <w:kern w:val="2"/>
        </w:rPr>
        <w:t>医疗费、助学金、奖励金、住房公积金、提租补贴、购房补贴、</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rPr>
        <w:t xml:space="preserve">  </w:t>
      </w:r>
      <w:r>
        <w:rPr>
          <w:rFonts w:hint="eastAsia" w:ascii="仿宋" w:hAnsi="仿宋" w:eastAsia="仿宋"/>
          <w:spacing w:val="-2"/>
          <w:lang w:val="en-US" w:eastAsia="zh-CN"/>
        </w:rPr>
        <w:t>3</w:t>
      </w:r>
      <w:r>
        <w:rPr>
          <w:rFonts w:hint="eastAsia" w:ascii="仿宋" w:hAnsi="仿宋" w:eastAsia="仿宋" w:cs="Courier New"/>
          <w:kern w:val="2"/>
        </w:rPr>
        <w:t>万元，主要包括：办公费、印刷费、咨询费、手续费、水费、电费、邮电费、取暖费、物业管理费、差旅费、因公出国（境）费、维</w:t>
      </w:r>
      <w:r>
        <w:rPr>
          <w:rFonts w:ascii="仿宋" w:hAnsi="仿宋" w:eastAsia="仿宋" w:cs="Courier New"/>
          <w:kern w:val="2"/>
        </w:rPr>
        <w:t xml:space="preserve"> </w:t>
      </w:r>
      <w:r>
        <w:rPr>
          <w:rFonts w:hint="eastAsia" w:ascii="仿宋" w:hAnsi="仿宋" w:eastAsia="仿宋" w:cs="Courier New"/>
          <w:kern w:val="2"/>
        </w:rPr>
        <w:t>修（护）费、租赁费、会议费、培训费、公务接待费、专用材料费、劳务费、委托业务费、工会经费、福利费、公务用车运</w:t>
      </w:r>
      <w:r>
        <w:rPr>
          <w:rFonts w:ascii="仿宋" w:hAnsi="仿宋" w:eastAsia="仿宋" w:cs="Courier New"/>
          <w:kern w:val="2"/>
        </w:rPr>
        <w:t xml:space="preserve"> </w:t>
      </w:r>
      <w:r>
        <w:rPr>
          <w:rFonts w:hint="eastAsia" w:ascii="仿宋" w:hAnsi="仿宋" w:eastAsia="仿宋" w:cs="Courier New"/>
          <w:kern w:val="2"/>
        </w:rPr>
        <w:t>行维护费、其他交通费用、税金及附加费用、其他商品和服务</w:t>
      </w:r>
      <w:r>
        <w:rPr>
          <w:rFonts w:ascii="仿宋" w:hAnsi="仿宋" w:eastAsia="仿宋" w:cs="Courier New"/>
          <w:kern w:val="2"/>
        </w:rPr>
        <w:t xml:space="preserve"> </w:t>
      </w:r>
      <w:r>
        <w:rPr>
          <w:rFonts w:hint="eastAsia" w:ascii="仿宋" w:hAnsi="仿宋" w:eastAsia="仿宋" w:cs="Courier New"/>
          <w:kern w:val="2"/>
        </w:rPr>
        <w:t>支出、办公设备购置、专用设备购置、大型修缮、信息网络及软件购置更新、其他资本性支出。</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团委</w:t>
      </w:r>
      <w:r>
        <w:rPr>
          <w:rFonts w:hint="eastAsia" w:ascii="仿宋" w:hAnsi="仿宋" w:eastAsia="仿宋" w:cs="Courier New"/>
          <w:kern w:val="2"/>
        </w:rPr>
        <w:t xml:space="preserve">2015 年“三公”经费财政拨款支出预算为  </w:t>
      </w:r>
      <w:r>
        <w:rPr>
          <w:rFonts w:hint="eastAsia" w:ascii="仿宋" w:hAnsi="仿宋" w:eastAsia="仿宋" w:cs="Courier New"/>
          <w:kern w:val="2"/>
          <w:lang w:val="en-US" w:eastAsia="zh-CN"/>
        </w:rPr>
        <w:t>0</w:t>
      </w:r>
      <w:r>
        <w:rPr>
          <w:rFonts w:hint="eastAsia" w:ascii="仿宋" w:hAnsi="仿宋" w:eastAsia="仿宋" w:cs="Courier New"/>
          <w:kern w:val="2"/>
        </w:rPr>
        <w:t>万元，支出决算为  万元，完成预算的  %，，主要原因：……。2015年“三公”经费财政拨款支出决算数比 2014 年增加（减少）  万元，增长（下降）  %，主要原因：……。具体支出情况如下：</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（一）因公出国（境）费</w:t>
      </w:r>
      <w:r>
        <w:rPr>
          <w:rFonts w:hint="eastAsia" w:ascii="仿宋" w:hAnsi="仿宋" w:eastAsia="仿宋"/>
          <w:spacing w:val="-1"/>
        </w:rPr>
        <w:t xml:space="preserve">  </w:t>
      </w:r>
      <w:r>
        <w:rPr>
          <w:rFonts w:hint="eastAsia" w:ascii="仿宋" w:hAnsi="仿宋" w:eastAsia="仿宋"/>
          <w:spacing w:val="-1"/>
          <w:lang w:val="en-US" w:eastAsia="zh-CN"/>
        </w:rPr>
        <w:t>0</w:t>
      </w:r>
      <w:r>
        <w:rPr>
          <w:rFonts w:hint="eastAsia" w:ascii="仿宋" w:hAnsi="仿宋" w:eastAsia="仿宋"/>
          <w:spacing w:val="-1"/>
        </w:rPr>
        <w:t>万元，</w:t>
      </w:r>
      <w:r>
        <w:rPr>
          <w:rFonts w:hint="eastAsia" w:ascii="仿宋" w:hAnsi="仿宋" w:eastAsia="仿宋" w:cs="Courier New"/>
          <w:kern w:val="2"/>
        </w:rPr>
        <w:t>完成预算的   %，主要用于单位工作人员公务出国（境）的住宿费、旅费、伙食补助费、杂费、培训费等支出。全年安排因公出国（境）团组   个，全年因公出国（境）累计  人次。</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  万元，增长（下降）  %，主要原因：……。</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rPr>
        <w:t xml:space="preserve">  </w:t>
      </w:r>
      <w:r>
        <w:rPr>
          <w:rFonts w:hint="eastAsia" w:ascii="仿宋" w:hAnsi="仿宋" w:eastAsia="仿宋"/>
          <w:lang w:val="en-US" w:eastAsia="zh-CN"/>
        </w:rPr>
        <w:t>0</w:t>
      </w:r>
      <w:r>
        <w:rPr>
          <w:rFonts w:hint="eastAsia" w:ascii="仿宋" w:hAnsi="仿宋" w:eastAsia="仿宋"/>
        </w:rPr>
        <w:t>万</w:t>
      </w:r>
      <w:r>
        <w:rPr>
          <w:rFonts w:hint="eastAsia" w:ascii="仿宋" w:hAnsi="仿宋" w:eastAsia="仿宋" w:cs="Courier New"/>
          <w:kern w:val="2"/>
        </w:rPr>
        <w:t>元，完成预算的   %，其中，公务用车购置费  万元，购置  辆车；公务用车运行维护费  万元，主要用于开展工作所需公务用车的燃料费、维修费、过路过桥费、保险费、安全奖励费用等支出。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  万元，增长（下降）  %，主要原因：……。</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rPr>
        <w:t xml:space="preserve">  </w:t>
      </w:r>
      <w:r>
        <w:rPr>
          <w:rFonts w:hint="eastAsia" w:ascii="仿宋" w:hAnsi="仿宋" w:eastAsia="仿宋"/>
          <w:lang w:val="en-US" w:eastAsia="zh-CN"/>
        </w:rPr>
        <w:t>0</w:t>
      </w:r>
      <w:r>
        <w:rPr>
          <w:rFonts w:hint="eastAsia" w:ascii="仿宋" w:hAnsi="仿宋" w:eastAsia="仿宋" w:cs="Courier New"/>
          <w:kern w:val="2"/>
        </w:rPr>
        <w:t>万元，完成预算的   %，主要用于按规定开支的各类公务接待（含外宾接待）支出。2015 年共接待  批次、  人次。</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决算数大于（小于）年初预算数的主要原因：……。</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决算数比 2014 年增加（减少）  万元，增长（下降）  %，主要原因：……。</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八、政府性基金预算财政拨款支出决算情况说明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××局2015年府性基金预算财政拨款支出年初预算为  </w:t>
      </w:r>
      <w:r>
        <w:rPr>
          <w:rFonts w:hint="eastAsia" w:ascii="仿宋" w:hAnsi="仿宋" w:eastAsia="仿宋" w:cs="Courier New"/>
          <w:kern w:val="2"/>
          <w:lang w:val="en-US" w:eastAsia="zh-CN"/>
        </w:rPr>
        <w:t>0</w:t>
      </w:r>
      <w:r>
        <w:rPr>
          <w:rFonts w:hint="eastAsia" w:ascii="仿宋" w:hAnsi="仿宋" w:eastAsia="仿宋" w:cs="Courier New"/>
          <w:kern w:val="2"/>
        </w:rPr>
        <w:t xml:space="preserve">万元，支出决算为  万元，完成年初预算的  </w:t>
      </w:r>
      <w:r>
        <w:rPr>
          <w:rFonts w:ascii="仿宋" w:hAnsi="仿宋" w:eastAsia="仿宋" w:cs="Courier New"/>
          <w:kern w:val="2"/>
        </w:rPr>
        <w:t>%</w:t>
      </w:r>
      <w:r>
        <w:rPr>
          <w:rFonts w:hint="eastAsia" w:ascii="仿宋" w:hAnsi="仿宋" w:eastAsia="仿宋" w:cs="Courier New"/>
          <w:kern w:val="2"/>
        </w:rPr>
        <w:t>。支出具体情况如下：……。</w:t>
      </w:r>
    </w:p>
    <w:p>
      <w:pPr>
        <w:pStyle w:val="12"/>
        <w:kinsoku w:val="0"/>
        <w:overflowPunct w:val="0"/>
        <w:snapToGrid w:val="0"/>
        <w:spacing w:line="360" w:lineRule="auto"/>
        <w:ind w:left="0" w:firstLine="636" w:firstLineChars="200"/>
        <w:jc w:val="both"/>
        <w:rPr>
          <w:rFonts w:ascii="仿宋" w:hAnsi="仿宋" w:eastAsia="仿宋" w:cs="黑体"/>
          <w:spacing w:val="-1"/>
        </w:rPr>
      </w:pPr>
      <w:r>
        <w:rPr>
          <w:rFonts w:hint="eastAsia" w:ascii="仿宋" w:hAnsi="仿宋" w:eastAsia="仿宋" w:cs="黑体"/>
          <w:spacing w:val="-1"/>
        </w:rPr>
        <w:t>九、其他重要事项的情况说明</w:t>
      </w:r>
    </w:p>
    <w:p>
      <w:pPr>
        <w:pStyle w:val="12"/>
        <w:kinsoku w:val="0"/>
        <w:overflowPunct w:val="0"/>
        <w:snapToGrid w:val="0"/>
        <w:spacing w:line="360" w:lineRule="auto"/>
        <w:ind w:left="0" w:firstLine="643" w:firstLineChars="200"/>
        <w:jc w:val="both"/>
        <w:rPr>
          <w:rFonts w:ascii="仿宋" w:hAnsi="仿宋" w:eastAsia="仿宋" w:cs="黑体"/>
          <w:b/>
        </w:rPr>
      </w:pPr>
      <w:r>
        <w:rPr>
          <w:rFonts w:hint="eastAsia" w:ascii="仿宋" w:hAnsi="仿宋" w:eastAsia="仿宋"/>
          <w:b/>
        </w:rPr>
        <w:t>（一）机关运行经费支出情况。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团委</w:t>
      </w:r>
      <w:r>
        <w:rPr>
          <w:rFonts w:ascii="仿宋" w:hAnsi="仿宋" w:eastAsia="仿宋" w:cs="Courier New"/>
          <w:kern w:val="2"/>
        </w:rPr>
        <w:t xml:space="preserve">2015 </w:t>
      </w:r>
      <w:r>
        <w:rPr>
          <w:rFonts w:hint="eastAsia" w:ascii="仿宋" w:hAnsi="仿宋" w:eastAsia="仿宋" w:cs="Courier New"/>
          <w:kern w:val="2"/>
        </w:rPr>
        <w:t xml:space="preserve">年机关运行经费支出 </w:t>
      </w:r>
      <w:r>
        <w:rPr>
          <w:rFonts w:hint="eastAsia" w:ascii="仿宋" w:hAnsi="仿宋" w:eastAsia="仿宋" w:cs="Courier New"/>
          <w:kern w:val="2"/>
          <w:lang w:val="en-US" w:eastAsia="zh-CN"/>
        </w:rPr>
        <w:t>28.28</w:t>
      </w:r>
      <w:r>
        <w:rPr>
          <w:rFonts w:hint="eastAsia" w:ascii="仿宋" w:hAnsi="仿宋" w:eastAsia="仿宋" w:cs="Courier New"/>
          <w:kern w:val="2"/>
        </w:rPr>
        <w:t xml:space="preserve"> 万元，比</w:t>
      </w:r>
      <w:r>
        <w:rPr>
          <w:rFonts w:ascii="仿宋" w:hAnsi="仿宋" w:eastAsia="仿宋" w:cs="Courier New"/>
          <w:kern w:val="2"/>
        </w:rPr>
        <w:t xml:space="preserve"> 2014</w:t>
      </w:r>
      <w:r>
        <w:rPr>
          <w:rFonts w:hint="eastAsia" w:ascii="仿宋" w:hAnsi="仿宋" w:eastAsia="仿宋" w:cs="Courier New"/>
          <w:kern w:val="2"/>
        </w:rPr>
        <w:t>年增</w:t>
      </w:r>
      <w:r>
        <w:rPr>
          <w:rFonts w:hint="eastAsia" w:ascii="仿宋" w:hAnsi="仿宋" w:eastAsia="仿宋" w:cs="Courier New"/>
          <w:kern w:val="2"/>
          <w:lang w:val="en-US" w:eastAsia="zh-CN"/>
        </w:rPr>
        <w:t>4.4</w:t>
      </w:r>
      <w:r>
        <w:rPr>
          <w:rFonts w:hint="eastAsia" w:ascii="仿宋" w:hAnsi="仿宋" w:eastAsia="仿宋" w:cs="Courier New"/>
          <w:kern w:val="2"/>
        </w:rPr>
        <w:t xml:space="preserve">  </w:t>
      </w:r>
      <w:r>
        <w:rPr>
          <w:rFonts w:ascii="仿宋" w:hAnsi="仿宋" w:eastAsia="仿宋" w:cs="Courier New"/>
          <w:kern w:val="2"/>
        </w:rPr>
        <w:t>%</w:t>
      </w:r>
      <w:r>
        <w:rPr>
          <w:rFonts w:hint="eastAsia" w:ascii="仿宋" w:hAnsi="仿宋" w:eastAsia="仿宋" w:cs="Courier New"/>
          <w:kern w:val="2"/>
        </w:rPr>
        <w:t>，主要原因</w:t>
      </w:r>
      <w:r>
        <w:rPr>
          <w:rFonts w:hint="eastAsia" w:ascii="仿宋" w:hAnsi="仿宋" w:eastAsia="仿宋" w:cs="Courier New"/>
          <w:kern w:val="2"/>
          <w:lang w:eastAsia="zh-CN"/>
        </w:rPr>
        <w:t>：人员工资增长</w:t>
      </w:r>
      <w:r>
        <w:rPr>
          <w:rFonts w:hint="eastAsia" w:ascii="仿宋" w:hAnsi="仿宋" w:eastAsia="仿宋" w:cs="Courier New"/>
          <w:kern w:val="2"/>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（二）政府采购支出情况。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团委</w:t>
      </w:r>
      <w:r>
        <w:rPr>
          <w:rFonts w:ascii="仿宋" w:hAnsi="仿宋" w:eastAsia="仿宋" w:cs="Courier New"/>
          <w:kern w:val="2"/>
        </w:rPr>
        <w:t xml:space="preserve">2015 </w:t>
      </w:r>
      <w:r>
        <w:rPr>
          <w:rFonts w:hint="eastAsia" w:ascii="仿宋" w:hAnsi="仿宋" w:eastAsia="仿宋" w:cs="Courier New"/>
          <w:kern w:val="2"/>
        </w:rPr>
        <w:t xml:space="preserve">年政府采购支出总额 </w:t>
      </w:r>
      <w:r>
        <w:rPr>
          <w:rFonts w:hint="eastAsia" w:ascii="仿宋" w:hAnsi="仿宋" w:eastAsia="仿宋" w:cs="Courier New"/>
          <w:kern w:val="2"/>
          <w:lang w:val="en-US" w:eastAsia="zh-CN"/>
        </w:rPr>
        <w:t>0</w:t>
      </w:r>
      <w:r>
        <w:rPr>
          <w:rFonts w:hint="eastAsia" w:ascii="仿宋" w:hAnsi="仿宋" w:eastAsia="仿宋" w:cs="Courier New"/>
          <w:kern w:val="2"/>
        </w:rPr>
        <w:t xml:space="preserve">万元，其中：政府采购货物支出  万元，政府采购工程支出 万元，政府采购服务支出  万元。授予中小企业合同金额 万元，占政府采购支出总额的  </w:t>
      </w:r>
      <w:r>
        <w:rPr>
          <w:rFonts w:ascii="仿宋" w:hAnsi="仿宋" w:eastAsia="仿宋" w:cs="Courier New"/>
          <w:kern w:val="2"/>
        </w:rPr>
        <w:t>%</w:t>
      </w:r>
      <w:r>
        <w:rPr>
          <w:rFonts w:hint="eastAsia" w:ascii="仿宋" w:hAnsi="仿宋" w:eastAsia="仿宋" w:cs="Courier New"/>
          <w:kern w:val="2"/>
        </w:rPr>
        <w:t>，其中：授予小微企业合同金额 万元，占政府采购支出总额的</w:t>
      </w:r>
      <w:r>
        <w:rPr>
          <w:rFonts w:ascii="仿宋" w:hAnsi="仿宋" w:eastAsia="仿宋" w:cs="Courier New"/>
          <w:kern w:val="2"/>
        </w:rPr>
        <w:t xml:space="preserve"> </w:t>
      </w:r>
      <w:r>
        <w:rPr>
          <w:rFonts w:hint="eastAsia" w:ascii="仿宋" w:hAnsi="仿宋" w:eastAsia="仿宋" w:cs="Courier New"/>
          <w:kern w:val="2"/>
        </w:rPr>
        <w:t xml:space="preserve"> </w:t>
      </w:r>
      <w:r>
        <w:rPr>
          <w:rFonts w:ascii="仿宋" w:hAnsi="仿宋" w:eastAsia="仿宋" w:cs="Courier New"/>
          <w:kern w:val="2"/>
        </w:rPr>
        <w:t>%</w:t>
      </w:r>
      <w:r>
        <w:rPr>
          <w:rFonts w:hint="eastAsia" w:ascii="仿宋" w:hAnsi="仿宋" w:eastAsia="仿宋" w:cs="Courier New"/>
          <w:kern w:val="2"/>
        </w:rPr>
        <w:t>。</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（三）国有资产占用情况。</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截至</w:t>
      </w:r>
      <w:r>
        <w:rPr>
          <w:rFonts w:ascii="仿宋" w:hAnsi="仿宋" w:eastAsia="仿宋" w:cs="Courier New"/>
          <w:kern w:val="2"/>
        </w:rPr>
        <w:t xml:space="preserve"> 2015 </w:t>
      </w:r>
      <w:r>
        <w:rPr>
          <w:rFonts w:hint="eastAsia" w:ascii="仿宋" w:hAnsi="仿宋" w:eastAsia="仿宋" w:cs="Courier New"/>
          <w:kern w:val="2"/>
        </w:rPr>
        <w:t>年</w:t>
      </w:r>
      <w:r>
        <w:rPr>
          <w:rFonts w:ascii="仿宋" w:hAnsi="仿宋" w:eastAsia="仿宋" w:cs="Courier New"/>
          <w:kern w:val="2"/>
        </w:rPr>
        <w:t xml:space="preserve"> 12 </w:t>
      </w:r>
      <w:r>
        <w:rPr>
          <w:rFonts w:hint="eastAsia" w:ascii="仿宋" w:hAnsi="仿宋" w:eastAsia="仿宋" w:cs="Courier New"/>
          <w:kern w:val="2"/>
        </w:rPr>
        <w:t>月</w:t>
      </w:r>
      <w:r>
        <w:rPr>
          <w:rFonts w:ascii="仿宋" w:hAnsi="仿宋" w:eastAsia="仿宋" w:cs="Courier New"/>
          <w:kern w:val="2"/>
        </w:rPr>
        <w:t xml:space="preserve"> 31 </w:t>
      </w:r>
      <w:r>
        <w:rPr>
          <w:rFonts w:hint="eastAsia" w:ascii="仿宋" w:hAnsi="仿宋" w:eastAsia="仿宋" w:cs="Courier New"/>
          <w:kern w:val="2"/>
        </w:rPr>
        <w:t xml:space="preserve">日，××局共有车辆 </w:t>
      </w:r>
      <w:r>
        <w:rPr>
          <w:rFonts w:hint="eastAsia" w:ascii="仿宋" w:hAnsi="仿宋" w:eastAsia="仿宋" w:cs="Courier New"/>
          <w:kern w:val="2"/>
          <w:lang w:val="en-US" w:eastAsia="zh-CN"/>
        </w:rPr>
        <w:t>0</w:t>
      </w:r>
      <w:r>
        <w:rPr>
          <w:rFonts w:hint="eastAsia" w:ascii="仿宋" w:hAnsi="仿宋" w:eastAsia="仿宋" w:cs="Courier New"/>
          <w:kern w:val="2"/>
        </w:rPr>
        <w:t xml:space="preserve"> 辆，其中，一般公务用车  辆，一般执法执勤用车  辆，特种专业技术用车  辆，其他用车XX辆，其他用车主要是……；；单位价值</w:t>
      </w:r>
      <w:r>
        <w:rPr>
          <w:rFonts w:ascii="仿宋" w:hAnsi="仿宋" w:eastAsia="仿宋" w:cs="Courier New"/>
          <w:kern w:val="2"/>
        </w:rPr>
        <w:t xml:space="preserve"> 200</w:t>
      </w:r>
      <w:r>
        <w:rPr>
          <w:rFonts w:hint="eastAsia" w:ascii="仿宋" w:hAnsi="仿宋" w:eastAsia="仿宋" w:cs="Courier New"/>
          <w:kern w:val="2"/>
        </w:rPr>
        <w:t>万元以上大型设备  台（套）。</w:t>
      </w:r>
    </w:p>
    <w:p>
      <w:pPr>
        <w:pStyle w:val="12"/>
        <w:kinsoku w:val="0"/>
        <w:overflowPunct w:val="0"/>
        <w:snapToGrid w:val="0"/>
        <w:spacing w:line="360" w:lineRule="auto"/>
        <w:ind w:left="0" w:firstLine="643" w:firstLineChars="200"/>
        <w:jc w:val="both"/>
        <w:rPr>
          <w:rFonts w:ascii="仿宋" w:hAnsi="仿宋" w:eastAsia="仿宋"/>
          <w:b/>
        </w:rPr>
      </w:pPr>
      <w:r>
        <w:rPr>
          <w:rFonts w:hint="eastAsia" w:ascii="仿宋" w:hAnsi="仿宋" w:eastAsia="仿宋"/>
          <w:b/>
        </w:rPr>
        <w:t>（四）关于预算绩效管理工作开展情况说明。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ascii="仿宋" w:hAnsi="仿宋" w:eastAsia="仿宋" w:cs="Courier New"/>
          <w:kern w:val="2"/>
        </w:rPr>
        <w:t xml:space="preserve">2015 </w:t>
      </w:r>
      <w:r>
        <w:rPr>
          <w:rFonts w:hint="eastAsia" w:ascii="仿宋" w:hAnsi="仿宋" w:eastAsia="仿宋" w:cs="Courier New"/>
          <w:kern w:val="2"/>
        </w:rPr>
        <w:t>年，</w:t>
      </w:r>
      <w:r>
        <w:rPr>
          <w:rFonts w:hint="eastAsia" w:ascii="仿宋" w:hAnsi="仿宋" w:eastAsia="仿宋" w:cs="Courier New"/>
          <w:kern w:val="2"/>
          <w:lang w:eastAsia="zh-CN"/>
        </w:rPr>
        <w:t>团委</w:t>
      </w:r>
      <w:r>
        <w:rPr>
          <w:rFonts w:hint="eastAsia" w:ascii="仿宋" w:hAnsi="仿宋" w:eastAsia="仿宋" w:cs="Courier New"/>
          <w:kern w:val="2"/>
        </w:rPr>
        <w:t>共组织对</w:t>
      </w:r>
      <w:r>
        <w:rPr>
          <w:rFonts w:ascii="仿宋" w:hAnsi="仿宋" w:eastAsia="仿宋" w:cs="Courier New"/>
          <w:kern w:val="2"/>
        </w:rPr>
        <w:t xml:space="preserve"> </w:t>
      </w:r>
      <w:r>
        <w:rPr>
          <w:rFonts w:hint="eastAsia" w:ascii="仿宋" w:hAnsi="仿宋" w:eastAsia="仿宋" w:cs="Courier New"/>
          <w:kern w:val="2"/>
          <w:lang w:val="en-US" w:eastAsia="zh-CN"/>
        </w:rPr>
        <w:t>0</w:t>
      </w:r>
      <w:r>
        <w:rPr>
          <w:rFonts w:hint="eastAsia" w:ascii="仿宋" w:hAnsi="仿宋" w:eastAsia="仿宋" w:cs="Courier New"/>
          <w:kern w:val="2"/>
        </w:rPr>
        <w:t xml:space="preserve"> 个项目进行了预算绩效评价，涉及一般公共预算当年财政拨款  万元。绩效评价结果概况说明：……。</w:t>
      </w:r>
    </w:p>
    <w:p>
      <w:pPr>
        <w:pStyle w:val="12"/>
        <w:kinsoku w:val="0"/>
        <w:overflowPunct w:val="0"/>
        <w:snapToGrid w:val="0"/>
        <w:spacing w:line="360" w:lineRule="auto"/>
        <w:ind w:left="0" w:firstLine="640" w:firstLineChars="200"/>
        <w:jc w:val="both"/>
        <w:rPr>
          <w:rFonts w:ascii="仿宋" w:hAnsi="仿宋" w:eastAsia="仿宋" w:cs="Courier New"/>
          <w:kern w:val="2"/>
        </w:rPr>
        <w:sectPr>
          <w:headerReference r:id="rId5" w:type="first"/>
          <w:footerReference r:id="rId8" w:type="first"/>
          <w:headerReference r:id="rId3" w:type="default"/>
          <w:footerReference r:id="rId6" w:type="default"/>
          <w:headerReference r:id="rId4" w:type="even"/>
          <w:footerReference r:id="rId7" w:type="even"/>
          <w:pgSz w:w="11905" w:h="16840"/>
          <w:pgMar w:top="1580" w:right="1240" w:bottom="1180" w:left="1400" w:header="0" w:footer="982" w:gutter="0"/>
          <w:cols w:space="720" w:num="1"/>
        </w:sectPr>
      </w:pPr>
    </w:p>
    <w:p>
      <w:pPr>
        <w:kinsoku w:val="0"/>
        <w:overflowPunct w:val="0"/>
        <w:adjustRightInd w:val="0"/>
        <w:snapToGrid w:val="0"/>
        <w:spacing w:line="360" w:lineRule="auto"/>
        <w:ind w:right="521"/>
        <w:jc w:val="center"/>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pgSz w:w="11906" w:h="16838"/>
          <w:pgMar w:top="1134" w:right="1134" w:bottom="1134" w:left="1134" w:header="510" w:footer="992" w:gutter="0"/>
          <w:cols w:space="425" w:num="1"/>
          <w:docGrid w:linePitch="435" w:charSpace="0"/>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eastAsia="zh-CN"/>
        </w:rPr>
        <w:t>团委</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2860" w:type="dxa"/>
        <w:jc w:val="center"/>
        <w:tblInd w:w="93" w:type="dxa"/>
        <w:tblLayout w:type="fixed"/>
        <w:tblCellMar>
          <w:top w:w="0" w:type="dxa"/>
          <w:left w:w="108" w:type="dxa"/>
          <w:bottom w:w="0" w:type="dxa"/>
          <w:right w:w="108" w:type="dxa"/>
        </w:tblCellMar>
      </w:tblPr>
      <w:tblGrid>
        <w:gridCol w:w="4929"/>
        <w:gridCol w:w="616"/>
        <w:gridCol w:w="1075"/>
        <w:gridCol w:w="4607"/>
        <w:gridCol w:w="595"/>
        <w:gridCol w:w="1038"/>
      </w:tblGrid>
      <w:tr>
        <w:tblPrEx>
          <w:tblLayout w:type="fixed"/>
          <w:tblCellMar>
            <w:top w:w="0" w:type="dxa"/>
            <w:left w:w="108" w:type="dxa"/>
            <w:bottom w:w="0" w:type="dxa"/>
            <w:right w:w="108" w:type="dxa"/>
          </w:tblCellMar>
        </w:tblPrEx>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4"/>
                <w:szCs w:val="24"/>
              </w:rPr>
            </w:pPr>
            <w:r>
              <w:rPr>
                <w:rFonts w:eastAsia="宋体"/>
                <w:kern w:val="0"/>
                <w:sz w:val="24"/>
                <w:szCs w:val="24"/>
              </w:rPr>
              <w:t>……</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center"/>
              <w:rPr>
                <w:rFonts w:eastAsia="宋体"/>
                <w:kern w:val="0"/>
                <w:sz w:val="22"/>
              </w:rPr>
            </w:pPr>
            <w:r>
              <w:rPr>
                <w:rFonts w:hAnsi="宋体" w:eastAsia="宋体"/>
                <w:kern w:val="0"/>
                <w:sz w:val="22"/>
              </w:rPr>
              <w:t>　</w:t>
            </w:r>
          </w:p>
        </w:tc>
      </w:tr>
      <w:tr>
        <w:tblPrEx>
          <w:tblLayout w:type="fixed"/>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eastAsia="宋体"/>
                <w:b/>
                <w:bCs/>
                <w:kern w:val="0"/>
                <w:sz w:val="22"/>
                <w:lang w:val="en-US" w:eastAsia="zh-CN"/>
              </w:rPr>
              <w:t>28.28</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shd w:val="clear" w:color="auto" w:fill="auto"/>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eastAsia="宋体"/>
                <w:b/>
                <w:bCs/>
                <w:kern w:val="0"/>
                <w:sz w:val="22"/>
                <w:lang w:val="en-US" w:eastAsia="zh-CN"/>
              </w:rPr>
              <w:t>28.28</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eastAsia="zh-CN"/>
        </w:rPr>
        <w:t>团委</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236" w:type="dxa"/>
        <w:jc w:val="center"/>
        <w:tblInd w:w="0" w:type="dxa"/>
        <w:tblLayout w:type="fixed"/>
        <w:tblCellMar>
          <w:top w:w="0" w:type="dxa"/>
          <w:left w:w="108" w:type="dxa"/>
          <w:bottom w:w="0" w:type="dxa"/>
          <w:right w:w="108" w:type="dxa"/>
        </w:tblCellMar>
      </w:tblPr>
      <w:tblGrid>
        <w:gridCol w:w="1399"/>
        <w:gridCol w:w="1625"/>
        <w:gridCol w:w="1345"/>
        <w:gridCol w:w="1149"/>
        <w:gridCol w:w="1702"/>
        <w:gridCol w:w="1416"/>
        <w:gridCol w:w="1453"/>
        <w:gridCol w:w="1670"/>
        <w:gridCol w:w="1477"/>
      </w:tblGrid>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3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blPrEx>
          <w:tblLayout w:type="fixed"/>
          <w:tblCellMar>
            <w:top w:w="0" w:type="dxa"/>
            <w:left w:w="108" w:type="dxa"/>
            <w:bottom w:w="0" w:type="dxa"/>
            <w:right w:w="108" w:type="dxa"/>
          </w:tblCellMar>
        </w:tblPrEx>
        <w:trPr>
          <w:trHeight w:val="450" w:hRule="atLeast"/>
          <w:jc w:val="center"/>
        </w:trPr>
        <w:tc>
          <w:tcPr>
            <w:tcW w:w="1399"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162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399"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62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3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blPrEx>
          <w:tblLayout w:type="fixed"/>
          <w:tblCellMar>
            <w:top w:w="0" w:type="dxa"/>
            <w:left w:w="108" w:type="dxa"/>
            <w:bottom w:w="0" w:type="dxa"/>
            <w:right w:w="108" w:type="dxa"/>
          </w:tblCellMar>
        </w:tblPrEx>
        <w:trPr>
          <w:trHeight w:val="450" w:hRule="atLeast"/>
          <w:jc w:val="center"/>
        </w:trPr>
        <w:tc>
          <w:tcPr>
            <w:tcW w:w="3024"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618"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一般公共服务支出</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571"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hint="eastAsia" w:eastAsia="宋体"/>
                <w:kern w:val="0"/>
                <w:sz w:val="24"/>
                <w:szCs w:val="24"/>
                <w:lang w:val="en-US" w:eastAsia="zh-CN"/>
              </w:rPr>
            </w:pPr>
            <w:r>
              <w:rPr>
                <w:rFonts w:hint="eastAsia" w:eastAsia="宋体"/>
                <w:kern w:val="0"/>
                <w:sz w:val="24"/>
                <w:szCs w:val="24"/>
                <w:lang w:val="en-US" w:eastAsia="zh-CN"/>
              </w:rPr>
              <w:t>20129</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群众团体事务</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华文中宋"/>
                <w:kern w:val="0"/>
                <w:sz w:val="24"/>
                <w:szCs w:val="24"/>
              </w:rPr>
            </w:pPr>
            <w:r>
              <w:rPr>
                <w:rFonts w:hint="eastAsia" w:hAnsi="华文中宋" w:eastAsia="华文中宋"/>
                <w:kern w:val="0"/>
                <w:sz w:val="24"/>
                <w:szCs w:val="24"/>
                <w:lang w:val="en-US" w:eastAsia="zh-CN"/>
              </w:rPr>
              <w:t>28.28</w:t>
            </w: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2012950</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事业运行</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399" w:type="dxa"/>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45"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eastAsia="宋体"/>
          <w:color w:val="000000"/>
          <w:kern w:val="0"/>
          <w:sz w:val="20"/>
          <w:szCs w:val="20"/>
          <w:lang w:eastAsia="zh-CN"/>
        </w:rPr>
        <w:t>团委</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541" w:type="dxa"/>
        <w:jc w:val="center"/>
        <w:tblInd w:w="0" w:type="dxa"/>
        <w:tblLayout w:type="fixed"/>
        <w:tblCellMar>
          <w:top w:w="0" w:type="dxa"/>
          <w:left w:w="108" w:type="dxa"/>
          <w:bottom w:w="0" w:type="dxa"/>
          <w:right w:w="108" w:type="dxa"/>
        </w:tblCellMar>
      </w:tblPr>
      <w:tblGrid>
        <w:gridCol w:w="1411"/>
        <w:gridCol w:w="1392"/>
        <w:gridCol w:w="1861"/>
        <w:gridCol w:w="1814"/>
        <w:gridCol w:w="1625"/>
        <w:gridCol w:w="1917"/>
        <w:gridCol w:w="1923"/>
        <w:gridCol w:w="1598"/>
      </w:tblGrid>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861"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92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598"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blPrEx>
          <w:tblLayout w:type="fixed"/>
          <w:tblCellMar>
            <w:top w:w="0" w:type="dxa"/>
            <w:left w:w="108" w:type="dxa"/>
            <w:bottom w:w="0" w:type="dxa"/>
            <w:right w:w="108" w:type="dxa"/>
          </w:tblCellMar>
        </w:tblPrEx>
        <w:trPr>
          <w:trHeight w:val="450" w:hRule="atLeast"/>
          <w:jc w:val="center"/>
        </w:trPr>
        <w:tc>
          <w:tcPr>
            <w:tcW w:w="141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92"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41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392"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61"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2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86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92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598"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blPrEx>
          <w:tblLayout w:type="fixed"/>
          <w:tblCellMar>
            <w:top w:w="0" w:type="dxa"/>
            <w:left w:w="108" w:type="dxa"/>
            <w:bottom w:w="0" w:type="dxa"/>
            <w:right w:w="108" w:type="dxa"/>
          </w:tblCellMar>
        </w:tblPrEx>
        <w:trPr>
          <w:trHeight w:val="450" w:hRule="atLeast"/>
          <w:jc w:val="center"/>
        </w:trPr>
        <w:tc>
          <w:tcPr>
            <w:tcW w:w="2803" w:type="dxa"/>
            <w:gridSpan w:val="2"/>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一般公共服务支出</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eastAsia="宋体"/>
                <w:kern w:val="0"/>
                <w:sz w:val="24"/>
                <w:szCs w:val="24"/>
                <w:lang w:val="en-US" w:eastAsia="zh-CN"/>
              </w:rPr>
              <w:t>20129</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群众团体事务</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2012950</w:t>
            </w:r>
          </w:p>
        </w:tc>
        <w:tc>
          <w:tcPr>
            <w:tcW w:w="1392" w:type="dxa"/>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事业运行</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4"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392" w:type="dxa"/>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61"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923" w:type="dxa"/>
            <w:tcBorders>
              <w:top w:val="nil"/>
              <w:left w:val="nil"/>
              <w:bottom w:val="single" w:color="auto" w:sz="8" w:space="0"/>
              <w:right w:val="single" w:color="auto" w:sz="4"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c>
          <w:tcPr>
            <w:tcW w:w="1598" w:type="dxa"/>
            <w:tcBorders>
              <w:top w:val="nil"/>
              <w:left w:val="nil"/>
              <w:bottom w:val="single" w:color="auto" w:sz="8" w:space="0"/>
              <w:right w:val="single" w:color="auto" w:sz="8" w:space="0"/>
            </w:tcBorders>
            <w:shd w:val="clear" w:color="auto" w:fill="auto"/>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int="eastAsia" w:eastAsia="宋体"/>
          <w:color w:val="000000"/>
          <w:kern w:val="0"/>
          <w:sz w:val="22"/>
          <w:lang w:eastAsia="zh-CN"/>
        </w:rPr>
        <w:t>团委</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3984"/>
        <w:gridCol w:w="709"/>
        <w:gridCol w:w="851"/>
        <w:gridCol w:w="2409"/>
        <w:gridCol w:w="993"/>
        <w:gridCol w:w="992"/>
        <w:gridCol w:w="1559"/>
        <w:gridCol w:w="1701"/>
      </w:tblGrid>
      <w:tr>
        <w:tblPrEx>
          <w:tblLayout w:type="fixed"/>
          <w:tblCellMar>
            <w:top w:w="0" w:type="dxa"/>
            <w:left w:w="108" w:type="dxa"/>
            <w:bottom w:w="0" w:type="dxa"/>
            <w:right w:w="108" w:type="dxa"/>
          </w:tblCellMar>
        </w:tblPrEx>
        <w:trPr>
          <w:trHeight w:val="277"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blPrEx>
          <w:tblLayout w:type="fixed"/>
          <w:tblCellMar>
            <w:top w:w="0" w:type="dxa"/>
            <w:left w:w="108" w:type="dxa"/>
            <w:bottom w:w="0" w:type="dxa"/>
            <w:right w:w="108" w:type="dxa"/>
          </w:tblCellMar>
        </w:tblPrEx>
        <w:trPr>
          <w:trHeight w:val="576"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blPrEx>
          <w:tblLayout w:type="fixed"/>
          <w:tblCellMar>
            <w:top w:w="0" w:type="dxa"/>
            <w:left w:w="108" w:type="dxa"/>
            <w:bottom w:w="0" w:type="dxa"/>
            <w:right w:w="108" w:type="dxa"/>
          </w:tblCellMar>
        </w:tblPrEx>
        <w:trPr>
          <w:trHeight w:val="33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blPrEx>
          <w:tblLayout w:type="fixed"/>
          <w:tblCellMar>
            <w:top w:w="0" w:type="dxa"/>
            <w:left w:w="108" w:type="dxa"/>
            <w:bottom w:w="0" w:type="dxa"/>
            <w:right w:w="108" w:type="dxa"/>
          </w:tblCellMar>
        </w:tblPrEx>
        <w:trPr>
          <w:trHeight w:val="333"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344"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298"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218"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shd w:val="clear" w:color="auto" w:fill="auto"/>
            <w:vAlign w:val="center"/>
          </w:tcPr>
          <w:p>
            <w:pPr>
              <w:widowControl/>
              <w:jc w:val="righ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2"/>
              </w:rPr>
            </w:pPr>
            <w:r>
              <w:rPr>
                <w:rFonts w:hAnsi="宋体" w:eastAsia="宋体"/>
                <w:kern w:val="0"/>
                <w:sz w:val="22"/>
              </w:rPr>
              <w:t>　</w:t>
            </w:r>
          </w:p>
        </w:tc>
      </w:tr>
      <w:tr>
        <w:tblPrEx>
          <w:tblLayout w:type="fixed"/>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r>
              <w:rPr>
                <w:rFonts w:hint="eastAsia" w:hAnsi="宋体" w:eastAsia="宋体"/>
                <w:kern w:val="0"/>
                <w:sz w:val="22"/>
                <w:lang w:val="en-US" w:eastAsia="zh-CN"/>
              </w:rPr>
              <w:t>28.28</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b/>
                <w:bCs/>
                <w:kern w:val="0"/>
                <w:sz w:val="22"/>
              </w:rPr>
            </w:pPr>
            <w:r>
              <w:rPr>
                <w:rFonts w:hAnsi="宋体" w:eastAsia="宋体"/>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shd w:val="clear" w:color="auto" w:fill="auto"/>
            <w:vAlign w:val="center"/>
          </w:tcPr>
          <w:p>
            <w:pPr>
              <w:widowControl/>
              <w:jc w:val="left"/>
              <w:rPr>
                <w:rFonts w:eastAsia="宋体"/>
                <w:kern w:val="0"/>
                <w:sz w:val="22"/>
              </w:rPr>
            </w:pPr>
            <w:r>
              <w:rPr>
                <w:rFonts w:hAnsi="宋体" w:eastAsia="宋体"/>
                <w:kern w:val="0"/>
                <w:sz w:val="22"/>
              </w:rPr>
              <w:t>　</w:t>
            </w:r>
          </w:p>
        </w:tc>
      </w:tr>
      <w:tr>
        <w:tblPrEx>
          <w:tblLayout w:type="fixed"/>
          <w:tblCellMar>
            <w:top w:w="0" w:type="dxa"/>
            <w:left w:w="108" w:type="dxa"/>
            <w:bottom w:w="0" w:type="dxa"/>
            <w:right w:w="108" w:type="dxa"/>
          </w:tblCellMar>
        </w:tblPrEx>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int="eastAsia" w:hAnsi="宋体" w:eastAsia="宋体"/>
                <w:kern w:val="0"/>
                <w:sz w:val="22"/>
                <w:lang w:val="en-US" w:eastAsia="zh-CN"/>
              </w:rPr>
              <w:t>28.28</w:t>
            </w: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hint="eastAsia" w:hAnsi="宋体" w:eastAsia="宋体"/>
          <w:color w:val="000000"/>
          <w:kern w:val="0"/>
          <w:sz w:val="20"/>
          <w:szCs w:val="20"/>
          <w:lang w:eastAsia="zh-CN"/>
        </w:rPr>
        <w:t>团委</w:t>
      </w:r>
      <w:r>
        <w:rPr>
          <w:rFonts w:eastAsia="宋体"/>
          <w:color w:val="000000"/>
          <w:kern w:val="0"/>
          <w:sz w:val="20"/>
          <w:szCs w:val="20"/>
        </w:rPr>
        <w:t xml:space="preserve">                                                                                                                   </w:t>
      </w:r>
      <w:r>
        <w:rPr>
          <w:rFonts w:hAnsi="宋体" w:eastAsia="宋体"/>
          <w:color w:val="000000"/>
          <w:kern w:val="0"/>
          <w:sz w:val="20"/>
          <w:szCs w:val="20"/>
        </w:rPr>
        <w:t>单位：万元</w:t>
      </w:r>
    </w:p>
    <w:tbl>
      <w:tblPr>
        <w:tblStyle w:val="22"/>
        <w:tblW w:w="13198" w:type="dxa"/>
        <w:jc w:val="center"/>
        <w:tblInd w:w="93" w:type="dxa"/>
        <w:tblLayout w:type="fixed"/>
        <w:tblCellMar>
          <w:top w:w="0" w:type="dxa"/>
          <w:left w:w="108" w:type="dxa"/>
          <w:bottom w:w="0" w:type="dxa"/>
          <w:right w:w="108" w:type="dxa"/>
        </w:tblCellMar>
      </w:tblPr>
      <w:tblGrid>
        <w:gridCol w:w="1120"/>
        <w:gridCol w:w="1240"/>
        <w:gridCol w:w="3920"/>
        <w:gridCol w:w="3920"/>
        <w:gridCol w:w="2998"/>
      </w:tblGrid>
      <w:tr>
        <w:tblPrEx>
          <w:tblLayout w:type="fixed"/>
          <w:tblCellMar>
            <w:top w:w="0" w:type="dxa"/>
            <w:left w:w="108" w:type="dxa"/>
            <w:bottom w:w="0" w:type="dxa"/>
            <w:right w:w="108" w:type="dxa"/>
          </w:tblCellMar>
        </w:tblPrEx>
        <w:trPr>
          <w:trHeight w:val="405" w:hRule="atLeast"/>
          <w:jc w:val="center"/>
        </w:trPr>
        <w:tc>
          <w:tcPr>
            <w:tcW w:w="236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920"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项目支出</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2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4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r>
      <w:tr>
        <w:tblPrEx>
          <w:tblLayout w:type="fixed"/>
        </w:tblPrEx>
        <w:trPr>
          <w:trHeight w:val="450" w:hRule="atLeast"/>
          <w:jc w:val="center"/>
        </w:trPr>
        <w:tc>
          <w:tcPr>
            <w:tcW w:w="2360"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w:t>
            </w:r>
          </w:p>
        </w:tc>
        <w:tc>
          <w:tcPr>
            <w:tcW w:w="1240"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Ansi="宋体" w:eastAsia="宋体"/>
                <w:kern w:val="0"/>
                <w:sz w:val="24"/>
                <w:szCs w:val="24"/>
              </w:rPr>
              <w:t>　</w:t>
            </w:r>
            <w:r>
              <w:rPr>
                <w:rFonts w:hint="eastAsia" w:hAnsi="宋体" w:eastAsia="宋体"/>
                <w:kern w:val="0"/>
                <w:sz w:val="24"/>
                <w:szCs w:val="24"/>
                <w:lang w:eastAsia="zh-CN"/>
              </w:rPr>
              <w:t>一般公共服务支出</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eastAsia="宋体"/>
                <w:kern w:val="0"/>
                <w:sz w:val="24"/>
                <w:szCs w:val="24"/>
                <w:lang w:val="en-US" w:eastAsia="zh-CN"/>
              </w:rPr>
              <w:t>20129</w:t>
            </w:r>
          </w:p>
        </w:tc>
        <w:tc>
          <w:tcPr>
            <w:tcW w:w="1240"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群众团体事务</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2012950</w:t>
            </w:r>
          </w:p>
        </w:tc>
        <w:tc>
          <w:tcPr>
            <w:tcW w:w="1240"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Ansi="宋体" w:eastAsia="宋体"/>
                <w:kern w:val="0"/>
                <w:sz w:val="24"/>
                <w:szCs w:val="24"/>
              </w:rPr>
              <w:t>　</w:t>
            </w:r>
            <w:r>
              <w:rPr>
                <w:rFonts w:hint="eastAsia" w:hAnsi="宋体" w:eastAsia="宋体"/>
                <w:kern w:val="0"/>
                <w:sz w:val="24"/>
                <w:szCs w:val="24"/>
                <w:lang w:eastAsia="zh-CN"/>
              </w:rPr>
              <w:t>事业运行</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4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int="eastAsia" w:eastAsia="宋体"/>
          <w:color w:val="000000"/>
          <w:kern w:val="0"/>
          <w:sz w:val="22"/>
          <w:lang w:eastAsia="zh-CN"/>
        </w:rPr>
        <w:t>团委</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1120"/>
        <w:gridCol w:w="1254"/>
        <w:gridCol w:w="3453"/>
        <w:gridCol w:w="3827"/>
        <w:gridCol w:w="3544"/>
      </w:tblGrid>
      <w:tr>
        <w:tblPrEx>
          <w:tblLayout w:type="fixed"/>
          <w:tblCellMar>
            <w:top w:w="0" w:type="dxa"/>
            <w:left w:w="108" w:type="dxa"/>
            <w:bottom w:w="0" w:type="dxa"/>
            <w:right w:w="108" w:type="dxa"/>
          </w:tblCellMar>
        </w:tblPrEx>
        <w:trPr>
          <w:trHeight w:val="405" w:hRule="atLeast"/>
          <w:jc w:val="center"/>
        </w:trPr>
        <w:tc>
          <w:tcPr>
            <w:tcW w:w="237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453"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本年支出合计</w:t>
            </w:r>
          </w:p>
        </w:tc>
        <w:tc>
          <w:tcPr>
            <w:tcW w:w="382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人员经费</w:t>
            </w:r>
          </w:p>
        </w:tc>
        <w:tc>
          <w:tcPr>
            <w:tcW w:w="354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公用经费</w:t>
            </w:r>
          </w:p>
        </w:tc>
      </w:tr>
      <w:tr>
        <w:tblPrEx>
          <w:tblLayout w:type="fixed"/>
          <w:tblCellMar>
            <w:top w:w="0" w:type="dxa"/>
            <w:left w:w="108" w:type="dxa"/>
            <w:bottom w:w="0" w:type="dxa"/>
            <w:right w:w="108" w:type="dxa"/>
          </w:tblCellMar>
        </w:tblPrEx>
        <w:trPr>
          <w:trHeight w:val="495" w:hRule="atLeast"/>
          <w:jc w:val="center"/>
        </w:trPr>
        <w:tc>
          <w:tcPr>
            <w:tcW w:w="112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2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254"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3453"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82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54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r>
      <w:tr>
        <w:tblPrEx>
          <w:tblLayout w:type="fixed"/>
        </w:tblPrEx>
        <w:trPr>
          <w:trHeight w:val="450" w:hRule="atLeast"/>
          <w:jc w:val="center"/>
        </w:trPr>
        <w:tc>
          <w:tcPr>
            <w:tcW w:w="2374"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25.28</w:t>
            </w: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3</w:t>
            </w: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w:t>
            </w:r>
          </w:p>
        </w:tc>
        <w:tc>
          <w:tcPr>
            <w:tcW w:w="1254"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Ansi="宋体" w:eastAsia="宋体"/>
                <w:kern w:val="0"/>
                <w:sz w:val="24"/>
                <w:szCs w:val="24"/>
              </w:rPr>
              <w:t>　</w:t>
            </w:r>
            <w:r>
              <w:rPr>
                <w:rFonts w:hint="eastAsia" w:hAnsi="宋体" w:eastAsia="宋体"/>
                <w:kern w:val="0"/>
                <w:sz w:val="24"/>
                <w:szCs w:val="24"/>
                <w:lang w:eastAsia="zh-CN"/>
              </w:rPr>
              <w:t>一般公共服务支出</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25.28</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3</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eastAsia="宋体"/>
                <w:kern w:val="0"/>
                <w:sz w:val="24"/>
                <w:szCs w:val="24"/>
                <w:lang w:val="en-US" w:eastAsia="zh-CN"/>
              </w:rPr>
              <w:t>20129</w:t>
            </w:r>
          </w:p>
        </w:tc>
        <w:tc>
          <w:tcPr>
            <w:tcW w:w="1254"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eastAsia="zh-CN"/>
              </w:rPr>
              <w:t>群众团体事务</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25.28</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3</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eastAsia="宋体"/>
                <w:kern w:val="0"/>
                <w:sz w:val="24"/>
                <w:szCs w:val="24"/>
                <w:lang w:val="en-US" w:eastAsia="zh-CN"/>
              </w:rPr>
              <w:t>2012950</w:t>
            </w:r>
          </w:p>
        </w:tc>
        <w:tc>
          <w:tcPr>
            <w:tcW w:w="1254"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Ansi="宋体" w:eastAsia="宋体"/>
                <w:kern w:val="0"/>
                <w:sz w:val="24"/>
                <w:szCs w:val="24"/>
              </w:rPr>
              <w:t>　</w:t>
            </w:r>
            <w:r>
              <w:rPr>
                <w:rFonts w:hint="eastAsia" w:hAnsi="宋体" w:eastAsia="宋体"/>
                <w:kern w:val="0"/>
                <w:sz w:val="24"/>
                <w:szCs w:val="24"/>
                <w:lang w:eastAsia="zh-CN"/>
              </w:rPr>
              <w:t>事业运行</w:t>
            </w:r>
          </w:p>
        </w:tc>
        <w:tc>
          <w:tcPr>
            <w:tcW w:w="3453"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28.28</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25.28</w:t>
            </w:r>
          </w:p>
        </w:tc>
        <w:tc>
          <w:tcPr>
            <w:tcW w:w="3544"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int="eastAsia" w:hAnsi="宋体" w:eastAsia="宋体"/>
                <w:kern w:val="0"/>
                <w:sz w:val="24"/>
                <w:szCs w:val="24"/>
                <w:lang w:val="en-US" w:eastAsia="zh-CN"/>
              </w:rPr>
              <w:t>3</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12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12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25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453"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3544" w:type="dxa"/>
            <w:tcBorders>
              <w:top w:val="nil"/>
              <w:left w:val="nil"/>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hint="eastAsia" w:hAnsi="宋体" w:eastAsia="宋体"/>
          <w:color w:val="000000"/>
          <w:kern w:val="0"/>
          <w:sz w:val="22"/>
          <w:lang w:eastAsia="zh-CN"/>
        </w:rPr>
        <w:t>团委</w:t>
      </w:r>
      <w:r>
        <w:rPr>
          <w:rFonts w:eastAsia="宋体"/>
          <w:color w:val="000000"/>
          <w:kern w:val="0"/>
          <w:sz w:val="22"/>
        </w:rPr>
        <w:t xml:space="preserve">                                                                                                       </w:t>
      </w:r>
      <w:r>
        <w:rPr>
          <w:rFonts w:hAnsi="宋体" w:eastAsia="宋体"/>
          <w:color w:val="000000"/>
          <w:kern w:val="0"/>
          <w:sz w:val="22"/>
        </w:rPr>
        <w:t>单位：万元</w:t>
      </w:r>
    </w:p>
    <w:tbl>
      <w:tblPr>
        <w:tblStyle w:val="22"/>
        <w:tblW w:w="13198" w:type="dxa"/>
        <w:jc w:val="center"/>
        <w:tblInd w:w="93" w:type="dxa"/>
        <w:tblLayout w:type="fixed"/>
        <w:tblCellMar>
          <w:top w:w="0" w:type="dxa"/>
          <w:left w:w="108" w:type="dxa"/>
          <w:bottom w:w="0" w:type="dxa"/>
          <w:right w:w="108" w:type="dxa"/>
        </w:tblCellMar>
      </w:tblPr>
      <w:tblGrid>
        <w:gridCol w:w="724"/>
        <w:gridCol w:w="1134"/>
        <w:gridCol w:w="851"/>
        <w:gridCol w:w="1134"/>
        <w:gridCol w:w="1275"/>
        <w:gridCol w:w="1418"/>
        <w:gridCol w:w="850"/>
        <w:gridCol w:w="1134"/>
        <w:gridCol w:w="1134"/>
        <w:gridCol w:w="1276"/>
        <w:gridCol w:w="1276"/>
        <w:gridCol w:w="992"/>
      </w:tblGrid>
      <w:tr>
        <w:tblPrEx>
          <w:tblLayout w:type="fixed"/>
          <w:tblCellMar>
            <w:top w:w="0" w:type="dxa"/>
            <w:left w:w="108" w:type="dxa"/>
            <w:bottom w:w="0" w:type="dxa"/>
            <w:right w:w="108" w:type="dxa"/>
          </w:tblCellMar>
        </w:tblPrEx>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blPrEx>
          <w:tblLayout w:type="fixed"/>
          <w:tblCellMar>
            <w:top w:w="0" w:type="dxa"/>
            <w:left w:w="108" w:type="dxa"/>
            <w:bottom w:w="0" w:type="dxa"/>
            <w:right w:w="108" w:type="dxa"/>
          </w:tblCellMar>
        </w:tblPrEx>
        <w:trPr>
          <w:trHeight w:val="600" w:hRule="atLeast"/>
          <w:jc w:val="center"/>
        </w:trPr>
        <w:tc>
          <w:tcPr>
            <w:tcW w:w="724"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2"/>
              </w:rPr>
            </w:pPr>
            <w:r>
              <w:rPr>
                <w:rFonts w:hAnsi="宋体" w:eastAsia="宋体"/>
                <w:kern w:val="0"/>
                <w:sz w:val="22"/>
              </w:rPr>
              <w:t>公务接待费</w:t>
            </w:r>
          </w:p>
        </w:tc>
      </w:tr>
      <w:tr>
        <w:tblPrEx>
          <w:tblLayout w:type="fixed"/>
          <w:tblCellMar>
            <w:top w:w="0" w:type="dxa"/>
            <w:left w:w="108" w:type="dxa"/>
            <w:bottom w:w="0" w:type="dxa"/>
            <w:right w:w="108" w:type="dxa"/>
          </w:tblCellMar>
        </w:tblPrEx>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购置费</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type="textWrapping"/>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blPrEx>
          <w:tblLayout w:type="fixed"/>
          <w:tblCellMar>
            <w:top w:w="0" w:type="dxa"/>
            <w:left w:w="108" w:type="dxa"/>
            <w:bottom w:w="0" w:type="dxa"/>
            <w:right w:w="108" w:type="dxa"/>
          </w:tblCellMar>
        </w:tblPrEx>
        <w:trPr>
          <w:trHeight w:val="559" w:hRule="atLeast"/>
          <w:jc w:val="center"/>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2"/>
              </w:rPr>
            </w:pPr>
            <w:r>
              <w:rPr>
                <w:rFonts w:eastAsia="宋体"/>
                <w:kern w:val="0"/>
                <w:sz w:val="22"/>
              </w:rPr>
              <w:t>12</w:t>
            </w:r>
          </w:p>
        </w:tc>
      </w:tr>
      <w:tr>
        <w:tblPrEx>
          <w:tblLayout w:type="fixed"/>
          <w:tblCellMar>
            <w:top w:w="0" w:type="dxa"/>
            <w:left w:w="108" w:type="dxa"/>
            <w:bottom w:w="0" w:type="dxa"/>
            <w:right w:w="108" w:type="dxa"/>
          </w:tblCellMar>
        </w:tblPrEx>
        <w:trPr>
          <w:trHeight w:val="855" w:hRule="atLeast"/>
          <w:jc w:val="center"/>
        </w:trPr>
        <w:tc>
          <w:tcPr>
            <w:tcW w:w="724"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hint="eastAsia" w:eastAsia="宋体"/>
                <w:kern w:val="0"/>
                <w:sz w:val="22"/>
                <w:lang w:eastAsia="zh-CN"/>
              </w:rPr>
            </w:pPr>
            <w:r>
              <w:rPr>
                <w:rFonts w:hint="eastAsia" w:hAnsi="宋体" w:eastAsia="宋体"/>
                <w:kern w:val="0"/>
                <w:sz w:val="22"/>
                <w:lang w:val="en-US" w:eastAsia="zh-CN"/>
              </w:rPr>
              <w:t>0</w:t>
            </w:r>
          </w:p>
        </w:tc>
        <w:tc>
          <w:tcPr>
            <w:tcW w:w="851"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275"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418"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int="eastAsia" w:hAnsi="宋体" w:eastAsia="宋体"/>
                <w:kern w:val="0"/>
                <w:sz w:val="22"/>
                <w:lang w:val="en-US" w:eastAsia="zh-CN"/>
              </w:rPr>
              <w:t>0</w:t>
            </w:r>
            <w:r>
              <w:rPr>
                <w:rFonts w:hAnsi="宋体" w:eastAsia="宋体"/>
                <w:kern w:val="0"/>
                <w:sz w:val="22"/>
              </w:rPr>
              <w:t>　</w:t>
            </w:r>
          </w:p>
        </w:tc>
        <w:tc>
          <w:tcPr>
            <w:tcW w:w="85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r>
              <w:rPr>
                <w:rFonts w:hint="eastAsia" w:hAnsi="宋体" w:eastAsia="宋体"/>
                <w:kern w:val="0"/>
                <w:sz w:val="22"/>
                <w:lang w:val="en-US" w:eastAsia="zh-CN"/>
              </w:rPr>
              <w:t>0</w:t>
            </w:r>
          </w:p>
        </w:tc>
        <w:tc>
          <w:tcPr>
            <w:tcW w:w="1134"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int="eastAsia" w:hAnsi="宋体" w:eastAsia="宋体"/>
                <w:kern w:val="0"/>
                <w:sz w:val="22"/>
                <w:lang w:val="en-US" w:eastAsia="zh-CN"/>
              </w:rPr>
              <w:t>0</w:t>
            </w:r>
            <w:r>
              <w:rPr>
                <w:rFonts w:hAnsi="宋体" w:eastAsia="宋体"/>
                <w:kern w:val="0"/>
                <w:sz w:val="22"/>
              </w:rPr>
              <w:t>　</w:t>
            </w:r>
          </w:p>
        </w:tc>
        <w:tc>
          <w:tcPr>
            <w:tcW w:w="1276"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2"/>
              </w:rPr>
            </w:pPr>
            <w:r>
              <w:rPr>
                <w:rFonts w:hint="eastAsia" w:hAnsi="宋体" w:eastAsia="宋体"/>
                <w:kern w:val="0"/>
                <w:sz w:val="22"/>
                <w:lang w:val="en-US" w:eastAsia="zh-CN"/>
              </w:rPr>
              <w:t>0</w:t>
            </w:r>
            <w:r>
              <w:rPr>
                <w:rFonts w:hAnsi="宋体" w:eastAsia="宋体"/>
                <w:kern w:val="0"/>
                <w:sz w:val="22"/>
              </w:rPr>
              <w:t>　</w:t>
            </w:r>
          </w:p>
        </w:tc>
        <w:tc>
          <w:tcPr>
            <w:tcW w:w="1276" w:type="dxa"/>
            <w:tcBorders>
              <w:top w:val="nil"/>
              <w:left w:val="nil"/>
              <w:bottom w:val="single" w:color="auto" w:sz="8" w:space="0"/>
              <w:right w:val="nil"/>
            </w:tcBorders>
            <w:shd w:val="clear" w:color="auto" w:fill="auto"/>
            <w:vAlign w:val="center"/>
          </w:tcPr>
          <w:p>
            <w:pPr>
              <w:widowControl/>
              <w:jc w:val="left"/>
              <w:rPr>
                <w:rFonts w:eastAsia="宋体"/>
                <w:kern w:val="0"/>
                <w:sz w:val="22"/>
              </w:rPr>
            </w:pPr>
            <w:r>
              <w:rPr>
                <w:rFonts w:hint="eastAsia" w:hAnsi="宋体" w:eastAsia="宋体"/>
                <w:kern w:val="0"/>
                <w:sz w:val="22"/>
                <w:lang w:val="en-US" w:eastAsia="zh-CN"/>
              </w:rPr>
              <w:t>0</w:t>
            </w:r>
            <w:r>
              <w:rPr>
                <w:rFonts w:hAnsi="宋体" w:eastAsia="宋体"/>
                <w:kern w:val="0"/>
                <w:sz w:val="22"/>
              </w:rPr>
              <w:t>　</w:t>
            </w:r>
          </w:p>
        </w:tc>
        <w:tc>
          <w:tcPr>
            <w:tcW w:w="992"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宋体"/>
                <w:kern w:val="0"/>
                <w:sz w:val="22"/>
              </w:rPr>
            </w:pPr>
            <w:r>
              <w:rPr>
                <w:rFonts w:hint="eastAsia" w:hAnsi="宋体" w:eastAsia="宋体"/>
                <w:kern w:val="0"/>
                <w:sz w:val="22"/>
                <w:lang w:val="en-US" w:eastAsia="zh-CN"/>
              </w:rPr>
              <w:t>0</w:t>
            </w:r>
            <w:r>
              <w:rPr>
                <w:rFonts w:hAnsi="宋体" w:eastAsia="宋体"/>
                <w:kern w:val="0"/>
                <w:sz w:val="22"/>
              </w:rPr>
              <w:t>　</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Style w:val="22"/>
        <w:tblW w:w="12780" w:type="dxa"/>
        <w:jc w:val="center"/>
        <w:tblInd w:w="0" w:type="dxa"/>
        <w:tblLayout w:type="fixed"/>
        <w:tblCellMar>
          <w:top w:w="0" w:type="dxa"/>
          <w:left w:w="108" w:type="dxa"/>
          <w:bottom w:w="0" w:type="dxa"/>
          <w:right w:w="108" w:type="dxa"/>
        </w:tblCellMar>
      </w:tblPr>
      <w:tblGrid>
        <w:gridCol w:w="1926"/>
        <w:gridCol w:w="1320"/>
        <w:gridCol w:w="2000"/>
        <w:gridCol w:w="1140"/>
        <w:gridCol w:w="1120"/>
        <w:gridCol w:w="1360"/>
        <w:gridCol w:w="1480"/>
        <w:gridCol w:w="2434"/>
      </w:tblGrid>
      <w:tr>
        <w:tblPrEx>
          <w:tblLayout w:type="fixed"/>
          <w:tblCellMar>
            <w:top w:w="0" w:type="dxa"/>
            <w:left w:w="108" w:type="dxa"/>
            <w:bottom w:w="0" w:type="dxa"/>
            <w:right w:w="108" w:type="dxa"/>
          </w:tblCellMar>
        </w:tblPrEx>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年末结转和结余</w:t>
            </w:r>
          </w:p>
        </w:tc>
      </w:tr>
      <w:tr>
        <w:tblPrEx>
          <w:tblLayout w:type="fixed"/>
          <w:tblCellMar>
            <w:top w:w="0" w:type="dxa"/>
            <w:left w:w="108" w:type="dxa"/>
            <w:bottom w:w="0" w:type="dxa"/>
            <w:right w:w="108" w:type="dxa"/>
          </w:tblCellMar>
        </w:tblPrEx>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blPrEx>
          <w:tblLayout w:type="fixed"/>
          <w:tblCellMar>
            <w:top w:w="0" w:type="dxa"/>
            <w:left w:w="108" w:type="dxa"/>
            <w:bottom w:w="0" w:type="dxa"/>
            <w:right w:w="108" w:type="dxa"/>
          </w:tblCellMar>
        </w:tblPrEx>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eastAsia="宋体"/>
                <w:kern w:val="0"/>
                <w:sz w:val="24"/>
                <w:szCs w:val="24"/>
              </w:rPr>
              <w:t>6</w:t>
            </w:r>
          </w:p>
        </w:tc>
      </w:tr>
      <w:tr>
        <w:tblPrEx>
          <w:tblLayout w:type="fixed"/>
        </w:tblPrEx>
        <w:trPr>
          <w:trHeight w:val="450" w:hRule="atLeast"/>
          <w:jc w:val="center"/>
        </w:trPr>
        <w:tc>
          <w:tcPr>
            <w:tcW w:w="3246"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r>
        <w:tblPrEx>
          <w:tblLayout w:type="fixed"/>
        </w:tblPrEx>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425" w:num="1"/>
          <w:docGrid w:linePitch="435" w:charSpace="0"/>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Style w:val="22"/>
        <w:tblW w:w="8532" w:type="dxa"/>
        <w:tblInd w:w="0" w:type="dxa"/>
        <w:tblLayout w:type="fixed"/>
        <w:tblCellMar>
          <w:top w:w="0" w:type="dxa"/>
          <w:left w:w="108" w:type="dxa"/>
          <w:bottom w:w="0" w:type="dxa"/>
          <w:right w:w="108" w:type="dxa"/>
        </w:tblCellMar>
      </w:tblPr>
      <w:tblGrid>
        <w:gridCol w:w="2548"/>
        <w:gridCol w:w="2771"/>
        <w:gridCol w:w="3213"/>
      </w:tblGrid>
      <w:tr>
        <w:tblPrEx>
          <w:tblLayout w:type="fixed"/>
          <w:tblCellMar>
            <w:top w:w="0" w:type="dxa"/>
            <w:left w:w="108" w:type="dxa"/>
            <w:bottom w:w="0" w:type="dxa"/>
            <w:right w:w="108" w:type="dxa"/>
          </w:tblCellMar>
        </w:tblPrEx>
        <w:trPr>
          <w:trHeight w:val="218" w:hRule="atLeast"/>
        </w:trPr>
        <w:tc>
          <w:tcPr>
            <w:tcW w:w="25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shd w:val="clear" w:color="auto" w:fill="auto"/>
            <w:vAlign w:val="center"/>
          </w:tcPr>
          <w:p>
            <w:pPr>
              <w:ind w:firstLine="640"/>
              <w:jc w:val="center"/>
              <w:rPr>
                <w:b/>
                <w:bCs/>
                <w:kern w:val="0"/>
                <w:szCs w:val="32"/>
              </w:rPr>
            </w:pPr>
            <w:r>
              <w:rPr>
                <w:rFonts w:hAnsi="宋体"/>
                <w:b/>
                <w:bCs/>
                <w:kern w:val="0"/>
                <w:szCs w:val="32"/>
              </w:rPr>
              <w:t>公开网址</w:t>
            </w:r>
          </w:p>
        </w:tc>
      </w:tr>
      <w:tr>
        <w:tblPrEx>
          <w:tblLayout w:type="fixed"/>
          <w:tblCellMar>
            <w:top w:w="0" w:type="dxa"/>
            <w:left w:w="108" w:type="dxa"/>
            <w:bottom w:w="0" w:type="dxa"/>
            <w:right w:w="108" w:type="dxa"/>
          </w:tblCellMar>
        </w:tblPrEx>
        <w:trPr>
          <w:trHeight w:val="111" w:hRule="atLeast"/>
        </w:trPr>
        <w:tc>
          <w:tcPr>
            <w:tcW w:w="2548"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ind w:firstLine="480"/>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ind w:firstLine="480"/>
              <w:jc w:val="center"/>
              <w:rPr>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108" w:hRule="atLeast"/>
        </w:trPr>
        <w:tc>
          <w:tcPr>
            <w:tcW w:w="2548" w:type="dxa"/>
            <w:tcBorders>
              <w:top w:val="nil"/>
              <w:left w:val="single" w:color="auto" w:sz="4" w:space="0"/>
              <w:bottom w:val="single" w:color="000000"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rFonts w:hAnsi="宋体"/>
                <w:kern w:val="0"/>
                <w:sz w:val="24"/>
              </w:rPr>
            </w:pPr>
          </w:p>
        </w:tc>
      </w:tr>
      <w:tr>
        <w:tblPrEx>
          <w:tblLayout w:type="fixed"/>
          <w:tblCellMar>
            <w:top w:w="0" w:type="dxa"/>
            <w:left w:w="108" w:type="dxa"/>
            <w:bottom w:w="0" w:type="dxa"/>
            <w:right w:w="108" w:type="dxa"/>
          </w:tblCellMar>
        </w:tblPrEx>
        <w:trPr>
          <w:trHeight w:val="91" w:hRule="atLeast"/>
        </w:trPr>
        <w:tc>
          <w:tcPr>
            <w:tcW w:w="2548" w:type="dxa"/>
            <w:tcBorders>
              <w:top w:val="nil"/>
              <w:left w:val="single" w:color="auto" w:sz="4" w:space="0"/>
              <w:bottom w:val="single" w:color="auto" w:sz="4" w:space="0"/>
              <w:right w:val="single" w:color="auto" w:sz="4" w:space="0"/>
            </w:tcBorders>
            <w:shd w:val="clear" w:color="auto" w:fill="auto"/>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shd w:val="clear" w:color="auto" w:fill="auto"/>
            <w:vAlign w:val="center"/>
          </w:tcPr>
          <w:p>
            <w:pPr>
              <w:widowControl/>
              <w:ind w:firstLine="480"/>
              <w:jc w:val="center"/>
              <w:rPr>
                <w:kern w:val="0"/>
                <w:sz w:val="24"/>
              </w:rPr>
            </w:pPr>
            <w:r>
              <w:rPr>
                <w:rFonts w:hAnsi="宋体"/>
                <w:kern w:val="0"/>
                <w:sz w:val="24"/>
              </w:rPr>
              <w:t>　</w:t>
            </w:r>
          </w:p>
        </w:tc>
      </w:tr>
      <w:tr>
        <w:tblPrEx>
          <w:tblLayout w:type="fixed"/>
        </w:tblPrEx>
        <w:trPr>
          <w:trHeight w:val="108" w:hRule="atLeast"/>
        </w:trPr>
        <w:tc>
          <w:tcPr>
            <w:tcW w:w="8532" w:type="dxa"/>
            <w:gridSpan w:val="3"/>
            <w:tcBorders>
              <w:top w:val="nil"/>
              <w:left w:val="single" w:color="auto" w:sz="4" w:space="0"/>
              <w:bottom w:val="single" w:color="000000" w:sz="4" w:space="0"/>
              <w:right w:val="single" w:color="auto" w:sz="4" w:space="0"/>
            </w:tcBorders>
            <w:shd w:val="clear" w:color="auto" w:fill="auto"/>
            <w:vAlign w:val="center"/>
          </w:tcPr>
          <w:p>
            <w:pPr>
              <w:ind w:firstLine="480"/>
              <w:rPr>
                <w:kern w:val="0"/>
                <w:sz w:val="24"/>
              </w:rPr>
            </w:pPr>
            <w:r>
              <w:rPr>
                <w:rFonts w:hAnsi="宋体"/>
                <w:kern w:val="0"/>
                <w:sz w:val="24"/>
              </w:rPr>
              <w:t>备注：网址应细化至底层地址，错误格式如：</w:t>
            </w:r>
            <w:r>
              <w:fldChar w:fldCharType="begin"/>
            </w:r>
            <w:r>
              <w:instrText xml:space="preserve"> HYPERLINK "http://www.hndsmm.gov.cn" </w:instrText>
            </w:r>
            <w:r>
              <w:fldChar w:fldCharType="separate"/>
            </w:r>
            <w:r>
              <w:rPr>
                <w:rStyle w:val="21"/>
                <w:kern w:val="0"/>
                <w:sz w:val="24"/>
              </w:rPr>
              <w:t>http://www.hndsmm.gov.cn</w:t>
            </w:r>
            <w:r>
              <w:rPr>
                <w:rStyle w:val="21"/>
                <w:kern w:val="0"/>
                <w:sz w:val="24"/>
              </w:rPr>
              <w:fldChar w:fldCharType="end"/>
            </w:r>
            <w:r>
              <w:rPr>
                <w:kern w:val="0"/>
                <w:sz w:val="24"/>
              </w:rPr>
              <w:t>,</w:t>
            </w:r>
            <w:r>
              <w:rPr>
                <w:rFonts w:hAnsi="宋体"/>
                <w:kern w:val="0"/>
                <w:sz w:val="24"/>
              </w:rPr>
              <w:t>正确格式如：</w:t>
            </w:r>
            <w:r>
              <w:fldChar w:fldCharType="begin"/>
            </w:r>
            <w:r>
              <w:instrText xml:space="preserve"> HYPERLINK "http://www.hndsmm.gov.cn" </w:instrText>
            </w:r>
            <w:r>
              <w:fldChar w:fldCharType="separate"/>
            </w:r>
            <w:r>
              <w:rPr>
                <w:rStyle w:val="21"/>
                <w:kern w:val="0"/>
                <w:sz w:val="24"/>
              </w:rPr>
              <w:t>http://www.hndsmm.gov.cn</w:t>
            </w:r>
            <w:r>
              <w:rPr>
                <w:rStyle w:val="21"/>
                <w:kern w:val="0"/>
                <w:sz w:val="24"/>
              </w:rPr>
              <w:fldChar w:fldCharType="end"/>
            </w:r>
            <w:r>
              <w:rPr>
                <w:kern w:val="0"/>
                <w:sz w:val="24"/>
              </w:rPr>
              <w:t>/index,php?m=content&amp;c=index&amp;id=5831</w:t>
            </w:r>
          </w:p>
        </w:tc>
      </w:tr>
    </w:tbl>
    <w:p/>
    <w:sectPr>
      <w:footerReference r:id="rId9"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00007A87" w:usb1="80000000" w:usb2="00000008" w:usb3="00000000" w:csb0="400001FF" w:csb1="FFFF0000"/>
  </w:font>
  <w:font w:name="仿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05"/>
    </w:sdtPr>
    <w:sdtContent>
      <w:sdt>
        <w:sdtPr>
          <w:id w:val="171357283"/>
        </w:sdtPr>
        <w:sdtContent>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18CF"/>
    <w:rsid w:val="003855BD"/>
    <w:rsid w:val="00542A62"/>
    <w:rsid w:val="005C6C0C"/>
    <w:rsid w:val="00645749"/>
    <w:rsid w:val="00675C79"/>
    <w:rsid w:val="006D6BEC"/>
    <w:rsid w:val="007908FA"/>
    <w:rsid w:val="008218CF"/>
    <w:rsid w:val="00824BE6"/>
    <w:rsid w:val="00896BAC"/>
    <w:rsid w:val="00A3698A"/>
    <w:rsid w:val="00AD4D8B"/>
    <w:rsid w:val="00B24031"/>
    <w:rsid w:val="00BC4CAF"/>
    <w:rsid w:val="00C41AFB"/>
    <w:rsid w:val="00CB7CB0"/>
    <w:rsid w:val="00D22918"/>
    <w:rsid w:val="00D42248"/>
    <w:rsid w:val="00D42281"/>
    <w:rsid w:val="00EB7E2B"/>
    <w:rsid w:val="00F40CD7"/>
    <w:rsid w:val="00FD2985"/>
    <w:rsid w:val="16B65F5A"/>
    <w:rsid w:val="324D411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28"/>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29"/>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0"/>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1"/>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2"/>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3"/>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4"/>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5"/>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51"/>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6"/>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5"/>
    <w:unhideWhenUsed/>
    <w:uiPriority w:val="0"/>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8"/>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7"/>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table" w:styleId="23">
    <w:name w:val="Table Grid"/>
    <w:basedOn w:val="22"/>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4">
    <w:name w:val="页眉 Char"/>
    <w:basedOn w:val="18"/>
    <w:link w:val="15"/>
    <w:uiPriority w:val="0"/>
    <w:rPr>
      <w:sz w:val="18"/>
      <w:szCs w:val="18"/>
    </w:rPr>
  </w:style>
  <w:style w:type="character" w:customStyle="1" w:styleId="25">
    <w:name w:val="页脚 Char"/>
    <w:basedOn w:val="18"/>
    <w:link w:val="14"/>
    <w:uiPriority w:val="0"/>
    <w:rPr>
      <w:sz w:val="18"/>
      <w:szCs w:val="18"/>
    </w:rPr>
  </w:style>
  <w:style w:type="paragraph" w:customStyle="1" w:styleId="26">
    <w:name w:val="List Paragraph"/>
    <w:basedOn w:val="1"/>
    <w:qFormat/>
    <w:uiPriority w:val="34"/>
    <w:pPr>
      <w:ind w:firstLine="420" w:firstLineChars="200"/>
    </w:pPr>
  </w:style>
  <w:style w:type="character" w:customStyle="1" w:styleId="27">
    <w:name w:val="标题 1 Char"/>
    <w:basedOn w:val="18"/>
    <w:link w:val="2"/>
    <w:uiPriority w:val="9"/>
    <w:rPr>
      <w:rFonts w:ascii="Times New Roman" w:hAnsi="Times New Roman" w:eastAsia="黑体" w:cs="Times New Roman"/>
      <w:bCs/>
      <w:kern w:val="44"/>
      <w:sz w:val="32"/>
      <w:szCs w:val="44"/>
    </w:rPr>
  </w:style>
  <w:style w:type="character" w:customStyle="1" w:styleId="28">
    <w:name w:val="标题 2 Char"/>
    <w:basedOn w:val="18"/>
    <w:link w:val="3"/>
    <w:uiPriority w:val="9"/>
    <w:rPr>
      <w:rFonts w:ascii="Times New Roman" w:hAnsi="Times New Roman" w:eastAsia="仿宋_GB2312" w:cs="Times New Roman"/>
      <w:b/>
      <w:bCs/>
      <w:kern w:val="0"/>
      <w:sz w:val="32"/>
      <w:szCs w:val="32"/>
    </w:rPr>
  </w:style>
  <w:style w:type="character" w:customStyle="1" w:styleId="29">
    <w:name w:val="标题 3 Char"/>
    <w:basedOn w:val="18"/>
    <w:link w:val="4"/>
    <w:uiPriority w:val="9"/>
    <w:rPr>
      <w:rFonts w:ascii="Times New Roman" w:hAnsi="Times New Roman" w:eastAsia="仿宋_GB2312" w:cs="Times New Roman"/>
      <w:b/>
      <w:bCs/>
      <w:kern w:val="0"/>
      <w:sz w:val="32"/>
      <w:szCs w:val="32"/>
    </w:rPr>
  </w:style>
  <w:style w:type="character" w:customStyle="1" w:styleId="30">
    <w:name w:val="标题 4 Char"/>
    <w:basedOn w:val="18"/>
    <w:link w:val="5"/>
    <w:uiPriority w:val="9"/>
    <w:rPr>
      <w:rFonts w:ascii="Cambria" w:hAnsi="Cambria" w:eastAsia="宋体" w:cs="Times New Roman"/>
      <w:b/>
      <w:bCs/>
      <w:kern w:val="0"/>
      <w:sz w:val="28"/>
      <w:szCs w:val="28"/>
    </w:rPr>
  </w:style>
  <w:style w:type="character" w:customStyle="1" w:styleId="31">
    <w:name w:val="标题 5 Char"/>
    <w:basedOn w:val="18"/>
    <w:link w:val="6"/>
    <w:uiPriority w:val="9"/>
    <w:rPr>
      <w:rFonts w:ascii="Times New Roman" w:hAnsi="Times New Roman" w:eastAsia="仿宋_GB2312" w:cs="Times New Roman"/>
      <w:b/>
      <w:bCs/>
      <w:kern w:val="0"/>
      <w:sz w:val="28"/>
      <w:szCs w:val="28"/>
    </w:rPr>
  </w:style>
  <w:style w:type="character" w:customStyle="1" w:styleId="32">
    <w:name w:val="标题 6 Char"/>
    <w:basedOn w:val="18"/>
    <w:link w:val="7"/>
    <w:uiPriority w:val="9"/>
    <w:rPr>
      <w:rFonts w:ascii="Cambria" w:hAnsi="Cambria" w:eastAsia="宋体" w:cs="Times New Roman"/>
      <w:b/>
      <w:bCs/>
      <w:kern w:val="0"/>
      <w:sz w:val="24"/>
      <w:szCs w:val="24"/>
    </w:rPr>
  </w:style>
  <w:style w:type="character" w:customStyle="1" w:styleId="33">
    <w:name w:val="标题 7 Char"/>
    <w:basedOn w:val="18"/>
    <w:link w:val="8"/>
    <w:uiPriority w:val="9"/>
    <w:rPr>
      <w:rFonts w:ascii="Times New Roman" w:hAnsi="Times New Roman" w:eastAsia="仿宋_GB2312" w:cs="Times New Roman"/>
      <w:b/>
      <w:bCs/>
      <w:kern w:val="0"/>
      <w:sz w:val="24"/>
      <w:szCs w:val="24"/>
    </w:rPr>
  </w:style>
  <w:style w:type="character" w:customStyle="1" w:styleId="34">
    <w:name w:val="标题 8 Char"/>
    <w:basedOn w:val="18"/>
    <w:link w:val="9"/>
    <w:uiPriority w:val="9"/>
    <w:rPr>
      <w:rFonts w:ascii="Cambria" w:hAnsi="Cambria" w:eastAsia="宋体" w:cs="Times New Roman"/>
      <w:kern w:val="0"/>
      <w:sz w:val="24"/>
      <w:szCs w:val="24"/>
    </w:rPr>
  </w:style>
  <w:style w:type="character" w:customStyle="1" w:styleId="35">
    <w:name w:val="标题 9 Char"/>
    <w:basedOn w:val="18"/>
    <w:link w:val="10"/>
    <w:uiPriority w:val="9"/>
    <w:rPr>
      <w:rFonts w:ascii="Cambria" w:hAnsi="Cambria" w:eastAsia="宋体" w:cs="Times New Roman"/>
      <w:kern w:val="0"/>
      <w:sz w:val="20"/>
      <w:szCs w:val="21"/>
    </w:rPr>
  </w:style>
  <w:style w:type="character" w:customStyle="1" w:styleId="36">
    <w:name w:val="批注框文本 Char"/>
    <w:basedOn w:val="18"/>
    <w:link w:val="13"/>
    <w:semiHidden/>
    <w:uiPriority w:val="99"/>
    <w:rPr>
      <w:rFonts w:ascii="Calibri" w:hAnsi="Calibri" w:eastAsia="宋体" w:cs="Times New Roman"/>
      <w:sz w:val="18"/>
      <w:szCs w:val="18"/>
    </w:rPr>
  </w:style>
  <w:style w:type="character" w:customStyle="1" w:styleId="37">
    <w:name w:val="标题 Char"/>
    <w:basedOn w:val="18"/>
    <w:link w:val="17"/>
    <w:uiPriority w:val="10"/>
    <w:rPr>
      <w:rFonts w:ascii="Times New Roman" w:hAnsi="Times New Roman" w:eastAsia="黑体" w:cs="Times New Roman"/>
      <w:b/>
      <w:bCs/>
      <w:kern w:val="0"/>
      <w:sz w:val="36"/>
      <w:szCs w:val="32"/>
    </w:rPr>
  </w:style>
  <w:style w:type="character" w:customStyle="1" w:styleId="38">
    <w:name w:val="副标题 Char"/>
    <w:basedOn w:val="18"/>
    <w:link w:val="16"/>
    <w:uiPriority w:val="11"/>
    <w:rPr>
      <w:rFonts w:ascii="Cambria" w:hAnsi="Cambria" w:eastAsia="宋体" w:cs="Times New Roman"/>
      <w:b/>
      <w:bCs/>
      <w:kern w:val="28"/>
      <w:sz w:val="32"/>
      <w:szCs w:val="32"/>
    </w:rPr>
  </w:style>
  <w:style w:type="paragraph" w:customStyle="1" w:styleId="39">
    <w:name w:val="No Spacing"/>
    <w:link w:val="40"/>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character" w:customStyle="1" w:styleId="40">
    <w:name w:val="无间隔 Char"/>
    <w:link w:val="39"/>
    <w:uiPriority w:val="1"/>
    <w:rPr>
      <w:rFonts w:ascii="Times New Roman" w:hAnsi="Times New Roman" w:eastAsia="仿宋_GB2312" w:cs="Times New Roman"/>
      <w:kern w:val="0"/>
      <w:sz w:val="32"/>
      <w:szCs w:val="20"/>
    </w:rPr>
  </w:style>
  <w:style w:type="paragraph" w:customStyle="1" w:styleId="41">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character" w:customStyle="1" w:styleId="42">
    <w:name w:val="引用 Char"/>
    <w:basedOn w:val="18"/>
    <w:link w:val="41"/>
    <w:uiPriority w:val="29"/>
    <w:rPr>
      <w:rFonts w:ascii="Times New Roman" w:hAnsi="Times New Roman" w:eastAsia="仿宋_GB2312" w:cs="Times New Roman"/>
      <w:i/>
      <w:iCs/>
      <w:color w:val="000000"/>
      <w:kern w:val="0"/>
      <w:sz w:val="32"/>
      <w:szCs w:val="20"/>
    </w:rPr>
  </w:style>
  <w:style w:type="paragraph" w:customStyle="1" w:styleId="43">
    <w:name w:val="Intense Quote"/>
    <w:basedOn w:val="1"/>
    <w:next w:val="1"/>
    <w:link w:val="44"/>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character" w:customStyle="1" w:styleId="44">
    <w:name w:val="明显引用 Char"/>
    <w:basedOn w:val="18"/>
    <w:link w:val="43"/>
    <w:uiPriority w:val="30"/>
    <w:rPr>
      <w:rFonts w:ascii="Times New Roman" w:hAnsi="Times New Roman" w:eastAsia="仿宋_GB2312" w:cs="Times New Roman"/>
      <w:b/>
      <w:bCs/>
      <w:i/>
      <w:iCs/>
      <w:color w:val="4F81BD"/>
      <w:kern w:val="0"/>
      <w:sz w:val="32"/>
      <w:szCs w:val="20"/>
    </w:rPr>
  </w:style>
  <w:style w:type="character" w:customStyle="1" w:styleId="45">
    <w:name w:val="Subtle Emphasis"/>
    <w:qFormat/>
    <w:uiPriority w:val="19"/>
    <w:rPr>
      <w:i/>
      <w:iCs/>
      <w:color w:val="808080"/>
    </w:rPr>
  </w:style>
  <w:style w:type="character" w:customStyle="1" w:styleId="46">
    <w:name w:val="Intense Emphasis"/>
    <w:qFormat/>
    <w:uiPriority w:val="21"/>
    <w:rPr>
      <w:b/>
      <w:bCs/>
      <w:i/>
      <w:iCs/>
      <w:color w:val="4F81BD"/>
    </w:rPr>
  </w:style>
  <w:style w:type="character" w:customStyle="1" w:styleId="47">
    <w:name w:val="Subtle Reference"/>
    <w:qFormat/>
    <w:uiPriority w:val="31"/>
    <w:rPr>
      <w:smallCaps/>
      <w:color w:val="C0504D"/>
      <w:u w:val="single"/>
    </w:rPr>
  </w:style>
  <w:style w:type="character" w:customStyle="1" w:styleId="48">
    <w:name w:val="Intense Reference"/>
    <w:qFormat/>
    <w:uiPriority w:val="32"/>
    <w:rPr>
      <w:b/>
      <w:bCs/>
      <w:smallCaps/>
      <w:color w:val="C0504D"/>
      <w:spacing w:val="5"/>
      <w:u w:val="single"/>
    </w:rPr>
  </w:style>
  <w:style w:type="character" w:customStyle="1" w:styleId="49">
    <w:name w:val="Book Title"/>
    <w:qFormat/>
    <w:uiPriority w:val="33"/>
    <w:rPr>
      <w:b/>
      <w:bCs/>
      <w:smallCaps/>
      <w:spacing w:val="5"/>
    </w:rPr>
  </w:style>
  <w:style w:type="paragraph" w:customStyle="1" w:styleId="50">
    <w:name w:val="TOC Heading"/>
    <w:basedOn w:val="2"/>
    <w:next w:val="1"/>
    <w:qFormat/>
    <w:uiPriority w:val="39"/>
    <w:pPr>
      <w:spacing w:before="340" w:after="330" w:line="578" w:lineRule="atLeast"/>
      <w:outlineLvl w:val="9"/>
    </w:pPr>
    <w:rPr>
      <w:rFonts w:eastAsia="仿宋_GB2312"/>
      <w:sz w:val="44"/>
    </w:rPr>
  </w:style>
  <w:style w:type="character" w:customStyle="1" w:styleId="51">
    <w:name w:val="正文文本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F5E0B-35C8-4365-B1C1-DE74BEE7AE7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ScaleCrop>false</ScaleCrop>
  <LinksUpToDate>false</LinksUpToDate>
  <CharactersWithSpaces>7207</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2016-12-23T08:01:00Z</cp:lastPrinted>
  <dcterms:modified xsi:type="dcterms:W3CDTF">2016-12-23T09:52:19Z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