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黑体" w:eastAsia="黑体"/>
          <w:szCs w:val="32"/>
        </w:rPr>
      </w:pPr>
    </w:p>
    <w:p>
      <w:pPr>
        <w:adjustRightInd w:val="0"/>
        <w:snapToGrid w:val="0"/>
        <w:spacing w:line="360" w:lineRule="auto"/>
        <w:ind w:firstLine="640"/>
        <w:jc w:val="center"/>
        <w:rPr>
          <w:rFonts w:ascii="黑体" w:eastAsia="黑体"/>
          <w:szCs w:val="32"/>
        </w:rPr>
      </w:pPr>
    </w:p>
    <w:p>
      <w:pPr>
        <w:adjustRightInd w:val="0"/>
        <w:snapToGrid w:val="0"/>
        <w:spacing w:line="360" w:lineRule="auto"/>
        <w:jc w:val="center"/>
        <w:rPr>
          <w:rFonts w:ascii="方正小标宋简体" w:eastAsia="方正小标宋简体"/>
          <w:sz w:val="36"/>
          <w:szCs w:val="36"/>
        </w:rPr>
      </w:pPr>
      <w:r>
        <w:rPr>
          <w:rFonts w:hint="eastAsia" w:ascii="方正小标宋简体" w:eastAsia="方正小标宋简体"/>
          <w:sz w:val="36"/>
          <w:szCs w:val="36"/>
        </w:rPr>
        <w:t>2015年度市级部门决算公开参考格式</w:t>
      </w:r>
    </w:p>
    <w:p>
      <w:pPr>
        <w:kinsoku w:val="0"/>
        <w:overflowPunct w:val="0"/>
        <w:adjustRightInd w:val="0"/>
        <w:snapToGrid w:val="0"/>
        <w:spacing w:line="360" w:lineRule="auto"/>
        <w:ind w:left="101" w:right="3569" w:firstLine="640"/>
        <w:rPr>
          <w:rFonts w:ascii="仿宋_GB2312"/>
          <w:szCs w:val="32"/>
        </w:rPr>
      </w:pPr>
    </w:p>
    <w:p>
      <w:pPr>
        <w:kinsoku w:val="0"/>
        <w:overflowPunct w:val="0"/>
        <w:adjustRightInd w:val="0"/>
        <w:snapToGrid w:val="0"/>
        <w:spacing w:line="360" w:lineRule="auto"/>
        <w:ind w:left="-142" w:right="51" w:firstLine="39" w:firstLineChars="7"/>
        <w:jc w:val="center"/>
        <w:rPr>
          <w:rFonts w:ascii="黑体" w:eastAsia="黑体" w:cs="黑体"/>
          <w:sz w:val="56"/>
          <w:szCs w:val="56"/>
        </w:rPr>
      </w:pPr>
      <w:r>
        <w:rPr>
          <w:rFonts w:hint="eastAsia" w:ascii="黑体" w:eastAsia="黑体" w:cs="黑体"/>
          <w:sz w:val="56"/>
          <w:szCs w:val="56"/>
        </w:rPr>
        <w:t>目</w:t>
      </w:r>
      <w:r>
        <w:rPr>
          <w:rFonts w:ascii="黑体" w:eastAsia="黑体" w:cs="黑体"/>
          <w:spacing w:val="2"/>
          <w:sz w:val="56"/>
          <w:szCs w:val="56"/>
        </w:rPr>
        <w:t xml:space="preserve"> </w:t>
      </w:r>
      <w:r>
        <w:rPr>
          <w:rFonts w:hint="eastAsia" w:ascii="黑体" w:eastAsia="黑体" w:cs="黑体"/>
          <w:sz w:val="56"/>
          <w:szCs w:val="56"/>
        </w:rPr>
        <w:t>录</w:t>
      </w:r>
    </w:p>
    <w:p>
      <w:pPr>
        <w:kinsoku w:val="0"/>
        <w:overflowPunct w:val="0"/>
        <w:adjustRightInd w:val="0"/>
        <w:snapToGrid w:val="0"/>
        <w:spacing w:line="360" w:lineRule="auto"/>
        <w:ind w:right="3569" w:firstLine="640"/>
        <w:rPr>
          <w:rFonts w:ascii="仿宋" w:hAnsi="仿宋" w:eastAsia="仿宋" w:cs="黑体"/>
          <w:w w:val="99"/>
          <w:sz w:val="32"/>
          <w:szCs w:val="32"/>
        </w:rPr>
      </w:pPr>
      <w:r>
        <w:rPr>
          <w:rFonts w:hint="eastAsia" w:ascii="仿宋" w:hAnsi="仿宋" w:eastAsia="仿宋" w:cs="黑体"/>
          <w:sz w:val="32"/>
          <w:szCs w:val="32"/>
        </w:rPr>
        <w:t>第一部分</w:t>
      </w:r>
      <w:r>
        <w:rPr>
          <w:rFonts w:ascii="仿宋" w:hAnsi="仿宋" w:eastAsia="仿宋" w:cs="黑体"/>
          <w:sz w:val="32"/>
          <w:szCs w:val="32"/>
        </w:rPr>
        <w:t xml:space="preserve"> </w:t>
      </w:r>
      <w:r>
        <w:rPr>
          <w:rFonts w:hint="eastAsia" w:ascii="仿宋" w:hAnsi="仿宋" w:eastAsia="仿宋" w:cs="黑体"/>
          <w:sz w:val="32"/>
          <w:szCs w:val="32"/>
          <w:lang w:eastAsia="zh-CN"/>
        </w:rPr>
        <w:t>开发区社会事业局</w:t>
      </w:r>
      <w:r>
        <w:rPr>
          <w:rFonts w:hint="eastAsia" w:ascii="仿宋" w:hAnsi="仿宋" w:eastAsia="仿宋" w:cs="黑体"/>
          <w:sz w:val="32"/>
          <w:szCs w:val="32"/>
        </w:rPr>
        <w:t>概况</w:t>
      </w:r>
      <w:r>
        <w:rPr>
          <w:rFonts w:ascii="仿宋" w:hAnsi="仿宋" w:eastAsia="仿宋" w:cs="黑体"/>
          <w:w w:val="99"/>
          <w:sz w:val="32"/>
          <w:szCs w:val="32"/>
        </w:rPr>
        <w:t xml:space="preserve"> </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一、主要职能</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二、部门决算单位构成</w:t>
      </w:r>
    </w:p>
    <w:p>
      <w:pPr>
        <w:kinsoku w:val="0"/>
        <w:overflowPunct w:val="0"/>
        <w:adjustRightInd w:val="0"/>
        <w:snapToGrid w:val="0"/>
        <w:spacing w:line="360" w:lineRule="auto"/>
        <w:ind w:left="101" w:firstLine="640"/>
        <w:rPr>
          <w:rFonts w:ascii="仿宋" w:hAnsi="仿宋" w:eastAsia="仿宋" w:cs="黑体"/>
          <w:sz w:val="32"/>
          <w:szCs w:val="32"/>
        </w:rPr>
      </w:pPr>
      <w:r>
        <w:rPr>
          <w:rFonts w:hint="eastAsia" w:ascii="仿宋" w:hAnsi="仿宋" w:eastAsia="仿宋" w:cs="黑体"/>
          <w:sz w:val="32"/>
          <w:szCs w:val="32"/>
        </w:rPr>
        <w:t>第二部分</w:t>
      </w:r>
      <w:r>
        <w:rPr>
          <w:rFonts w:ascii="仿宋" w:hAnsi="仿宋" w:eastAsia="仿宋" w:cs="黑体"/>
          <w:spacing w:val="-32"/>
          <w:sz w:val="32"/>
          <w:szCs w:val="32"/>
        </w:rPr>
        <w:t xml:space="preserve"> </w:t>
      </w:r>
      <w:r>
        <w:rPr>
          <w:rFonts w:hint="eastAsia" w:ascii="仿宋" w:hAnsi="仿宋" w:eastAsia="仿宋" w:cs="黑体"/>
          <w:spacing w:val="-32"/>
          <w:sz w:val="32"/>
          <w:szCs w:val="32"/>
          <w:lang w:eastAsia="zh-CN"/>
        </w:rPr>
        <w:t>开发区社会事业局</w:t>
      </w:r>
      <w:r>
        <w:rPr>
          <w:rFonts w:hint="eastAsia" w:ascii="仿宋" w:hAnsi="仿宋" w:eastAsia="仿宋"/>
          <w:sz w:val="32"/>
          <w:szCs w:val="32"/>
        </w:rPr>
        <w:t>2</w:t>
      </w:r>
      <w:r>
        <w:rPr>
          <w:rFonts w:ascii="仿宋" w:hAnsi="仿宋" w:eastAsia="仿宋" w:cs="黑体"/>
          <w:sz w:val="32"/>
          <w:szCs w:val="32"/>
        </w:rPr>
        <w:t>015</w:t>
      </w:r>
      <w:r>
        <w:rPr>
          <w:rFonts w:ascii="仿宋" w:hAnsi="仿宋" w:eastAsia="仿宋" w:cs="黑体"/>
          <w:spacing w:val="-116"/>
          <w:sz w:val="32"/>
          <w:szCs w:val="32"/>
        </w:rPr>
        <w:t xml:space="preserve"> </w:t>
      </w:r>
      <w:r>
        <w:rPr>
          <w:rFonts w:hint="eastAsia" w:ascii="仿宋" w:hAnsi="仿宋" w:eastAsia="仿宋" w:cs="黑体"/>
          <w:sz w:val="32"/>
          <w:szCs w:val="32"/>
        </w:rPr>
        <w:t>年度部门决算表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三、支出决算表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kinsoku w:val="0"/>
        <w:overflowPunct w:val="0"/>
        <w:adjustRightInd w:val="0"/>
        <w:snapToGrid w:val="0"/>
        <w:spacing w:line="360" w:lineRule="auto"/>
        <w:ind w:left="101" w:right="521" w:firstLine="640"/>
        <w:rPr>
          <w:rFonts w:ascii="仿宋" w:hAnsi="仿宋" w:eastAsia="仿宋" w:cs="黑体"/>
          <w:w w:val="99"/>
          <w:sz w:val="32"/>
          <w:szCs w:val="32"/>
        </w:rPr>
      </w:pPr>
      <w:r>
        <w:rPr>
          <w:rFonts w:hint="eastAsia" w:ascii="仿宋" w:hAnsi="仿宋" w:eastAsia="仿宋" w:cs="黑体"/>
          <w:sz w:val="32"/>
          <w:szCs w:val="32"/>
        </w:rPr>
        <w:t>第三部分</w:t>
      </w:r>
      <w:r>
        <w:rPr>
          <w:rFonts w:ascii="仿宋" w:hAnsi="仿宋" w:eastAsia="仿宋" w:cs="黑体"/>
          <w:spacing w:val="-38"/>
          <w:sz w:val="32"/>
          <w:szCs w:val="32"/>
        </w:rPr>
        <w:t xml:space="preserve"> </w:t>
      </w:r>
      <w:r>
        <w:rPr>
          <w:rFonts w:hint="eastAsia" w:ascii="仿宋" w:hAnsi="仿宋" w:eastAsia="仿宋" w:cs="黑体"/>
          <w:spacing w:val="-38"/>
          <w:sz w:val="32"/>
          <w:szCs w:val="32"/>
          <w:lang w:eastAsia="zh-CN"/>
        </w:rPr>
        <w:t>开发区社会事业局</w:t>
      </w:r>
      <w:r>
        <w:rPr>
          <w:rFonts w:ascii="仿宋" w:hAnsi="仿宋" w:eastAsia="仿宋" w:cs="黑体"/>
          <w:spacing w:val="-119"/>
          <w:sz w:val="32"/>
          <w:szCs w:val="32"/>
        </w:rPr>
        <w:t xml:space="preserve"> </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r>
        <w:rPr>
          <w:rFonts w:ascii="仿宋" w:hAnsi="仿宋" w:eastAsia="仿宋" w:cs="黑体"/>
          <w:w w:val="99"/>
          <w:sz w:val="32"/>
          <w:szCs w:val="32"/>
        </w:rPr>
        <w:t xml:space="preserve"> </w:t>
      </w:r>
    </w:p>
    <w:p>
      <w:pPr>
        <w:kinsoku w:val="0"/>
        <w:overflowPunct w:val="0"/>
        <w:adjustRightInd w:val="0"/>
        <w:snapToGrid w:val="0"/>
        <w:spacing w:line="360" w:lineRule="auto"/>
        <w:ind w:left="101" w:right="521" w:firstLine="640"/>
        <w:rPr>
          <w:rFonts w:ascii="仿宋" w:hAnsi="仿宋" w:eastAsia="仿宋" w:cs="黑体"/>
          <w:sz w:val="32"/>
          <w:szCs w:val="32"/>
        </w:rPr>
      </w:pPr>
      <w:r>
        <w:rPr>
          <w:rFonts w:hint="eastAsia" w:ascii="仿宋" w:hAnsi="仿宋" w:eastAsia="仿宋" w:cs="黑体"/>
          <w:sz w:val="32"/>
          <w:szCs w:val="32"/>
        </w:rPr>
        <w:t>第四部分</w:t>
      </w:r>
      <w:r>
        <w:rPr>
          <w:rFonts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640"/>
        <w:rPr>
          <w:rFonts w:ascii="仿宋" w:hAnsi="仿宋" w:eastAsia="仿宋" w:cs="黑体"/>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第一部分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eastAsia="zh-CN"/>
        </w:rPr>
        <w:t>开发区社会事业局</w:t>
      </w:r>
      <w:r>
        <w:rPr>
          <w:rFonts w:hint="eastAsia" w:ascii="仿宋" w:hAnsi="仿宋" w:eastAsia="仿宋"/>
          <w:sz w:val="32"/>
          <w:szCs w:val="32"/>
        </w:rPr>
        <w:t>概况</w:t>
      </w: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开发区社会事业局</w:t>
      </w:r>
      <w:r>
        <w:rPr>
          <w:rFonts w:hint="eastAsia" w:ascii="仿宋" w:hAnsi="仿宋" w:eastAsia="仿宋"/>
          <w:sz w:val="32"/>
          <w:szCs w:val="32"/>
        </w:rPr>
        <w:t>主要职责</w:t>
      </w:r>
    </w:p>
    <w:p>
      <w:pPr>
        <w:adjustRightInd w:val="0"/>
        <w:snapToGrid w:val="0"/>
        <w:spacing w:line="360" w:lineRule="auto"/>
        <w:ind w:firstLine="640"/>
        <w:rPr>
          <w:rFonts w:hint="eastAsia" w:ascii="仿宋" w:hAnsi="仿宋" w:eastAsia="仿宋" w:cs="Courier New"/>
          <w:kern w:val="0"/>
          <w:sz w:val="32"/>
          <w:szCs w:val="32"/>
        </w:rPr>
      </w:pPr>
      <w:r>
        <w:rPr>
          <w:rFonts w:hint="eastAsia" w:ascii="仿宋" w:hAnsi="仿宋" w:eastAsia="仿宋" w:cs="Courier New"/>
          <w:kern w:val="0"/>
          <w:sz w:val="32"/>
          <w:szCs w:val="32"/>
        </w:rPr>
        <w:t>（一）</w:t>
      </w:r>
      <w:r>
        <w:rPr>
          <w:rFonts w:hint="default" w:ascii="仿宋" w:hAnsi="仿宋" w:eastAsia="仿宋" w:cs="仿宋"/>
          <w:i w:val="0"/>
          <w:color w:val="000000"/>
          <w:kern w:val="0"/>
          <w:sz w:val="32"/>
          <w:szCs w:val="32"/>
          <w:u w:val="none"/>
          <w:lang w:val="en-US" w:eastAsia="zh-CN" w:bidi="ar"/>
        </w:rPr>
        <w:t>负责全区广电、旅游、文化市场的管理；负责体育设施的建设和管理，推进全民健身计划；负责民事调解和法制宣传等司法工作；负责残疾证办理和残疾人农村实用技术培训等工作。</w:t>
      </w:r>
    </w:p>
    <w:p>
      <w:pPr>
        <w:adjustRightInd w:val="0"/>
        <w:snapToGrid w:val="0"/>
        <w:spacing w:line="360" w:lineRule="auto"/>
        <w:ind w:firstLine="640"/>
        <w:rPr>
          <w:rFonts w:hint="eastAsia" w:ascii="仿宋" w:hAnsi="仿宋" w:eastAsia="仿宋"/>
          <w:sz w:val="32"/>
          <w:szCs w:val="32"/>
          <w:lang w:val="en-US" w:eastAsia="zh-CN"/>
        </w:rPr>
      </w:pPr>
      <w:r>
        <w:rPr>
          <w:rFonts w:hint="eastAsia" w:ascii="仿宋" w:hAnsi="仿宋" w:eastAsia="仿宋" w:cs="Courier New"/>
          <w:kern w:val="0"/>
          <w:sz w:val="32"/>
          <w:szCs w:val="32"/>
        </w:rPr>
        <w:t>（二）</w:t>
      </w:r>
      <w:r>
        <w:rPr>
          <w:rFonts w:hint="eastAsia" w:ascii="仿宋" w:hAnsi="仿宋" w:eastAsia="仿宋"/>
          <w:sz w:val="32"/>
          <w:szCs w:val="32"/>
          <w:lang w:val="en-US" w:eastAsia="zh-CN"/>
        </w:rPr>
        <w:t>承办党工委、管委会交办的其他工作。</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eastAsia="zh-CN"/>
        </w:rPr>
        <w:t>开发区社会事业局</w:t>
      </w:r>
      <w:r>
        <w:rPr>
          <w:rFonts w:hint="eastAsia" w:ascii="仿宋" w:hAnsi="仿宋" w:eastAsia="仿宋"/>
          <w:sz w:val="32"/>
          <w:szCs w:val="32"/>
        </w:rPr>
        <w:t>决算单位构成</w:t>
      </w:r>
    </w:p>
    <w:p>
      <w:pPr>
        <w:pStyle w:val="12"/>
        <w:kinsoku w:val="0"/>
        <w:overflowPunct w:val="0"/>
        <w:snapToGrid w:val="0"/>
        <w:spacing w:line="360" w:lineRule="auto"/>
        <w:ind w:left="121" w:right="118" w:firstLine="360"/>
        <w:rPr>
          <w:rFonts w:hint="eastAsia" w:ascii="仿宋" w:hAnsi="仿宋" w:eastAsia="仿宋"/>
          <w:spacing w:val="-1"/>
        </w:rPr>
      </w:pPr>
      <w:r>
        <w:rPr>
          <w:rFonts w:hint="eastAsia" w:ascii="仿宋" w:hAnsi="仿宋" w:eastAsia="仿宋"/>
          <w:sz w:val="32"/>
          <w:szCs w:val="32"/>
          <w:lang w:eastAsia="zh-CN"/>
        </w:rPr>
        <w:t>社会事业局</w:t>
      </w:r>
      <w:r>
        <w:rPr>
          <w:rFonts w:hint="eastAsia" w:ascii="仿宋" w:hAnsi="仿宋" w:eastAsia="仿宋"/>
          <w:spacing w:val="2"/>
        </w:rPr>
        <w:t>部门</w:t>
      </w:r>
      <w:r>
        <w:rPr>
          <w:rFonts w:hint="eastAsia" w:ascii="仿宋" w:hAnsi="仿宋" w:eastAsia="仿宋"/>
        </w:rPr>
        <w:t>决</w:t>
      </w:r>
      <w:r>
        <w:rPr>
          <w:rFonts w:hint="eastAsia" w:ascii="仿宋" w:hAnsi="仿宋" w:eastAsia="仿宋"/>
          <w:spacing w:val="2"/>
        </w:rPr>
        <w:t>算包括机关本级</w:t>
      </w:r>
      <w:r>
        <w:rPr>
          <w:rFonts w:hint="eastAsia" w:ascii="仿宋" w:hAnsi="仿宋" w:eastAsia="仿宋"/>
          <w:spacing w:val="-1"/>
        </w:rPr>
        <w:t>决算。</w:t>
      </w:r>
    </w:p>
    <w:p>
      <w:pPr>
        <w:pStyle w:val="12"/>
        <w:kinsoku w:val="0"/>
        <w:overflowPunct w:val="0"/>
        <w:snapToGrid w:val="0"/>
        <w:spacing w:line="360" w:lineRule="auto"/>
        <w:ind w:left="121" w:right="118" w:firstLine="360"/>
        <w:rPr>
          <w:rFonts w:hint="eastAsia" w:ascii="仿宋" w:hAnsi="仿宋" w:eastAsia="仿宋"/>
          <w:spacing w:val="-1"/>
        </w:rPr>
      </w:pPr>
    </w:p>
    <w:p>
      <w:pPr>
        <w:pStyle w:val="12"/>
        <w:kinsoku w:val="0"/>
        <w:overflowPunct w:val="0"/>
        <w:snapToGrid w:val="0"/>
        <w:spacing w:line="360" w:lineRule="auto"/>
        <w:ind w:left="121" w:right="118" w:firstLine="360"/>
        <w:rPr>
          <w:rFonts w:hint="eastAsia" w:ascii="仿宋" w:hAnsi="仿宋" w:eastAsia="仿宋"/>
          <w:spacing w:val="-1"/>
        </w:rPr>
      </w:pPr>
    </w:p>
    <w:p>
      <w:pPr>
        <w:pStyle w:val="12"/>
        <w:kinsoku w:val="0"/>
        <w:overflowPunct w:val="0"/>
        <w:snapToGrid w:val="0"/>
        <w:spacing w:line="360" w:lineRule="auto"/>
        <w:ind w:left="121" w:right="118" w:firstLine="360"/>
        <w:rPr>
          <w:rFonts w:hint="eastAsia" w:ascii="仿宋" w:hAnsi="仿宋" w:eastAsia="仿宋"/>
          <w:spacing w:val="-1"/>
        </w:rPr>
      </w:pPr>
    </w:p>
    <w:p>
      <w:pPr>
        <w:pStyle w:val="12"/>
        <w:kinsoku w:val="0"/>
        <w:overflowPunct w:val="0"/>
        <w:snapToGrid w:val="0"/>
        <w:spacing w:line="360" w:lineRule="auto"/>
        <w:ind w:left="121" w:right="118" w:firstLine="360"/>
        <w:rPr>
          <w:rFonts w:hint="eastAsia" w:ascii="仿宋" w:hAnsi="仿宋" w:eastAsia="仿宋"/>
          <w:spacing w:val="-1"/>
        </w:rPr>
      </w:pP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第二部分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eastAsia="zh-CN"/>
        </w:rPr>
        <w:t>社会事业局</w:t>
      </w:r>
      <w:r>
        <w:rPr>
          <w:rFonts w:hint="eastAsia" w:ascii="仿宋" w:hAnsi="仿宋" w:eastAsia="仿宋"/>
          <w:sz w:val="32"/>
          <w:szCs w:val="32"/>
        </w:rPr>
        <w:t>2015年度部门决算表</w:t>
      </w:r>
      <w:r>
        <w:rPr>
          <w:rFonts w:hint="eastAsia" w:ascii="仿宋" w:hAnsi="仿宋" w:eastAsia="仿宋"/>
          <w:sz w:val="32"/>
          <w:szCs w:val="32"/>
          <w:lang w:eastAsia="zh-CN"/>
        </w:rPr>
        <w:t>（附后）</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jc w:val="center"/>
        <w:rPr>
          <w:rFonts w:ascii="仿宋" w:hAnsi="仿宋" w:eastAsia="仿宋" w:cs="黑体"/>
          <w:spacing w:val="-38"/>
          <w:sz w:val="32"/>
          <w:szCs w:val="32"/>
        </w:rPr>
      </w:pPr>
      <w:r>
        <w:rPr>
          <w:rFonts w:hint="eastAsia" w:ascii="仿宋" w:hAnsi="仿宋" w:eastAsia="仿宋" w:cs="黑体"/>
          <w:sz w:val="32"/>
          <w:szCs w:val="32"/>
        </w:rPr>
        <w:t>第三部分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eastAsia="zh-CN"/>
        </w:rPr>
        <w:t>社会事业局</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一、收入支出决算总体情况说明</w:t>
      </w:r>
    </w:p>
    <w:p>
      <w:pPr>
        <w:adjustRightInd w:val="0"/>
        <w:snapToGrid w:val="0"/>
        <w:spacing w:line="360" w:lineRule="auto"/>
        <w:ind w:firstLine="640"/>
        <w:rPr>
          <w:rFonts w:hint="eastAsia" w:ascii="仿宋" w:hAnsi="仿宋" w:eastAsia="仿宋" w:cs="Courier New"/>
          <w:sz w:val="32"/>
          <w:szCs w:val="32"/>
        </w:rPr>
      </w:pPr>
      <w:r>
        <w:rPr>
          <w:rFonts w:hint="eastAsia" w:ascii="仿宋" w:hAnsi="仿宋" w:eastAsia="仿宋"/>
          <w:sz w:val="32"/>
          <w:szCs w:val="32"/>
          <w:lang w:eastAsia="zh-CN"/>
        </w:rPr>
        <w:t>社会事业局</w:t>
      </w:r>
      <w:r>
        <w:rPr>
          <w:rFonts w:hint="eastAsia" w:ascii="仿宋" w:hAnsi="仿宋" w:eastAsia="仿宋" w:cs="Courier New"/>
          <w:sz w:val="32"/>
          <w:szCs w:val="32"/>
        </w:rPr>
        <w:t>2015年收入总计</w:t>
      </w:r>
      <w:r>
        <w:rPr>
          <w:rFonts w:hint="eastAsia" w:ascii="仿宋" w:hAnsi="仿宋" w:eastAsia="仿宋" w:cs="Courier New"/>
          <w:sz w:val="32"/>
          <w:szCs w:val="32"/>
          <w:lang w:val="en-US" w:eastAsia="zh-CN"/>
        </w:rPr>
        <w:t>269.1</w:t>
      </w:r>
      <w:r>
        <w:rPr>
          <w:rFonts w:hint="eastAsia" w:ascii="仿宋" w:hAnsi="仿宋" w:eastAsia="仿宋" w:cs="Courier New"/>
          <w:sz w:val="32"/>
          <w:szCs w:val="32"/>
        </w:rPr>
        <w:t xml:space="preserve"> 万元，支出总计 </w:t>
      </w:r>
      <w:r>
        <w:rPr>
          <w:rFonts w:hint="eastAsia" w:ascii="仿宋" w:hAnsi="仿宋" w:eastAsia="仿宋" w:cs="Courier New"/>
          <w:sz w:val="32"/>
          <w:szCs w:val="32"/>
          <w:lang w:val="en-US" w:eastAsia="zh-CN"/>
        </w:rPr>
        <w:t>269.1</w:t>
      </w:r>
      <w:r>
        <w:rPr>
          <w:rFonts w:hint="eastAsia" w:ascii="仿宋" w:hAnsi="仿宋" w:eastAsia="仿宋" w:cs="Courier New"/>
          <w:sz w:val="32"/>
          <w:szCs w:val="32"/>
        </w:rPr>
        <w:t>万元，与2014年相比，收、支总计各增加 万元，增长  %。</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二、收入决算情况说明</w:t>
      </w:r>
    </w:p>
    <w:p>
      <w:pPr>
        <w:adjustRightInd w:val="0"/>
        <w:snapToGrid w:val="0"/>
        <w:spacing w:line="360" w:lineRule="auto"/>
        <w:ind w:firstLine="640"/>
        <w:rPr>
          <w:rFonts w:hint="eastAsia" w:ascii="仿宋" w:hAnsi="仿宋" w:eastAsia="仿宋"/>
          <w:sz w:val="32"/>
          <w:szCs w:val="32"/>
        </w:rPr>
      </w:pPr>
      <w:r>
        <w:rPr>
          <w:rFonts w:hint="eastAsia" w:ascii="仿宋" w:hAnsi="仿宋" w:eastAsia="仿宋"/>
          <w:sz w:val="32"/>
          <w:szCs w:val="32"/>
          <w:lang w:eastAsia="zh-CN"/>
        </w:rPr>
        <w:t>社会事业局</w:t>
      </w:r>
      <w:r>
        <w:rPr>
          <w:rFonts w:hint="eastAsia" w:ascii="仿宋" w:hAnsi="仿宋" w:eastAsia="仿宋"/>
          <w:sz w:val="32"/>
          <w:szCs w:val="32"/>
        </w:rPr>
        <w:t xml:space="preserve">本年收入合计  </w:t>
      </w:r>
      <w:r>
        <w:rPr>
          <w:rFonts w:hint="eastAsia" w:ascii="仿宋" w:hAnsi="仿宋" w:eastAsia="仿宋"/>
          <w:sz w:val="32"/>
          <w:szCs w:val="32"/>
          <w:lang w:val="en-US" w:eastAsia="zh-CN"/>
        </w:rPr>
        <w:t>269.1</w:t>
      </w:r>
      <w:r>
        <w:rPr>
          <w:rFonts w:hint="eastAsia" w:ascii="仿宋" w:hAnsi="仿宋" w:eastAsia="仿宋"/>
          <w:sz w:val="32"/>
          <w:szCs w:val="32"/>
        </w:rPr>
        <w:t xml:space="preserve">万元，其中：财政拨款收入 </w:t>
      </w:r>
      <w:r>
        <w:rPr>
          <w:rFonts w:hint="eastAsia" w:ascii="仿宋" w:hAnsi="仿宋" w:eastAsia="仿宋"/>
          <w:sz w:val="32"/>
          <w:szCs w:val="32"/>
          <w:lang w:val="en-US" w:eastAsia="zh-CN"/>
        </w:rPr>
        <w:t>269.1</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 xml:space="preserve">%；事业收入 </w:t>
      </w:r>
      <w:r>
        <w:rPr>
          <w:rFonts w:hint="eastAsia" w:ascii="仿宋" w:hAnsi="仿宋" w:eastAsia="仿宋"/>
          <w:sz w:val="32"/>
          <w:szCs w:val="32"/>
          <w:lang w:val="en-US" w:eastAsia="zh-CN"/>
        </w:rPr>
        <w:t>0</w:t>
      </w:r>
      <w:r>
        <w:rPr>
          <w:rFonts w:hint="eastAsia" w:ascii="仿宋" w:hAnsi="仿宋" w:eastAsia="仿宋"/>
          <w:sz w:val="32"/>
          <w:szCs w:val="32"/>
        </w:rPr>
        <w:t>万元， 占</w:t>
      </w:r>
      <w:r>
        <w:rPr>
          <w:rFonts w:hint="eastAsia" w:ascii="仿宋" w:hAnsi="仿宋" w:eastAsia="仿宋"/>
          <w:sz w:val="32"/>
          <w:szCs w:val="32"/>
          <w:lang w:val="en-US" w:eastAsia="zh-CN"/>
        </w:rPr>
        <w:t xml:space="preserve">0 </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 xml:space="preserve">万元，占 </w:t>
      </w:r>
      <w:r>
        <w:rPr>
          <w:rFonts w:hint="eastAsia" w:ascii="仿宋" w:hAnsi="仿宋" w:eastAsia="仿宋"/>
          <w:sz w:val="32"/>
          <w:szCs w:val="32"/>
          <w:lang w:val="en-US" w:eastAsia="zh-CN"/>
        </w:rPr>
        <w:t>0</w:t>
      </w:r>
      <w:r>
        <w:rPr>
          <w:rFonts w:hint="eastAsia" w:ascii="仿宋" w:hAnsi="仿宋" w:eastAsia="仿宋"/>
          <w:sz w:val="32"/>
          <w:szCs w:val="32"/>
        </w:rPr>
        <w:t xml:space="preserve"> %；其他收入 </w:t>
      </w:r>
      <w:r>
        <w:rPr>
          <w:rFonts w:hint="eastAsia" w:ascii="仿宋" w:hAnsi="仿宋" w:eastAsia="仿宋"/>
          <w:sz w:val="32"/>
          <w:szCs w:val="32"/>
          <w:lang w:val="en-US" w:eastAsia="zh-CN"/>
        </w:rPr>
        <w:t>0</w:t>
      </w:r>
      <w:r>
        <w:rPr>
          <w:rFonts w:hint="eastAsia" w:ascii="仿宋" w:hAnsi="仿宋" w:eastAsia="仿宋"/>
          <w:sz w:val="32"/>
          <w:szCs w:val="32"/>
        </w:rPr>
        <w:t xml:space="preserve">万元，占 </w:t>
      </w:r>
      <w:r>
        <w:rPr>
          <w:rFonts w:hint="eastAsia" w:ascii="仿宋" w:hAnsi="仿宋" w:eastAsia="仿宋"/>
          <w:sz w:val="32"/>
          <w:szCs w:val="32"/>
          <w:lang w:val="en-US" w:eastAsia="zh-CN"/>
        </w:rPr>
        <w:t>0</w:t>
      </w:r>
      <w:r>
        <w:rPr>
          <w:rFonts w:hint="eastAsia" w:ascii="仿宋" w:hAnsi="仿宋" w:eastAsia="仿宋"/>
          <w:sz w:val="32"/>
          <w:szCs w:val="32"/>
        </w:rPr>
        <w:t xml:space="preserve"> %。</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sz w:val="32"/>
          <w:szCs w:val="32"/>
          <w:lang w:eastAsia="zh-CN"/>
        </w:rPr>
        <w:t>社会事业局</w:t>
      </w:r>
      <w:r>
        <w:rPr>
          <w:rFonts w:hint="eastAsia" w:ascii="仿宋" w:hAnsi="仿宋" w:eastAsia="仿宋" w:cs="Courier New"/>
          <w:sz w:val="32"/>
          <w:szCs w:val="32"/>
        </w:rPr>
        <w:t>本年支出合计</w:t>
      </w:r>
      <w:r>
        <w:rPr>
          <w:rFonts w:hint="eastAsia" w:ascii="仿宋" w:hAnsi="仿宋" w:eastAsia="仿宋" w:cs="Courier New"/>
          <w:sz w:val="32"/>
          <w:szCs w:val="32"/>
          <w:lang w:val="en-US" w:eastAsia="zh-CN"/>
        </w:rPr>
        <w:t>269.1</w:t>
      </w:r>
      <w:r>
        <w:rPr>
          <w:rFonts w:hint="eastAsia" w:ascii="仿宋" w:hAnsi="仿宋" w:eastAsia="仿宋" w:cs="Courier New"/>
          <w:sz w:val="32"/>
          <w:szCs w:val="32"/>
        </w:rPr>
        <w:t>万元，其中：基本支出</w:t>
      </w:r>
      <w:r>
        <w:rPr>
          <w:rFonts w:ascii="仿宋" w:hAnsi="仿宋" w:eastAsia="仿宋" w:cs="Courier New"/>
          <w:sz w:val="32"/>
          <w:szCs w:val="32"/>
        </w:rPr>
        <w:t xml:space="preserve"> </w:t>
      </w:r>
      <w:r>
        <w:rPr>
          <w:rFonts w:hint="eastAsia" w:ascii="仿宋" w:hAnsi="仿宋" w:eastAsia="仿宋" w:cs="Courier New"/>
          <w:sz w:val="32"/>
          <w:szCs w:val="32"/>
          <w:lang w:val="en-US" w:eastAsia="zh-CN"/>
        </w:rPr>
        <w:t>117.08</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43</w:t>
      </w:r>
      <w:r>
        <w:rPr>
          <w:rFonts w:ascii="仿宋" w:hAnsi="仿宋" w:eastAsia="仿宋" w:cs="Courier New"/>
          <w:sz w:val="32"/>
          <w:szCs w:val="32"/>
        </w:rPr>
        <w:t>%</w:t>
      </w:r>
      <w:r>
        <w:rPr>
          <w:rFonts w:hint="eastAsia" w:ascii="仿宋" w:hAnsi="仿宋" w:eastAsia="仿宋" w:cs="Courier New"/>
          <w:sz w:val="32"/>
          <w:szCs w:val="32"/>
        </w:rPr>
        <w:t xml:space="preserve">；项目支出 </w:t>
      </w:r>
      <w:r>
        <w:rPr>
          <w:rFonts w:hint="eastAsia" w:ascii="仿宋" w:hAnsi="仿宋" w:eastAsia="仿宋" w:cs="Courier New"/>
          <w:sz w:val="32"/>
          <w:szCs w:val="32"/>
          <w:lang w:val="en-US" w:eastAsia="zh-CN"/>
        </w:rPr>
        <w:t>152.02</w:t>
      </w:r>
      <w:r>
        <w:rPr>
          <w:rFonts w:hint="eastAsia" w:ascii="仿宋" w:hAnsi="仿宋" w:eastAsia="仿宋" w:cs="Courier New"/>
          <w:sz w:val="32"/>
          <w:szCs w:val="32"/>
        </w:rPr>
        <w:t>万元，</w:t>
      </w:r>
      <w:r>
        <w:rPr>
          <w:rFonts w:ascii="仿宋" w:hAnsi="仿宋" w:eastAsia="仿宋" w:cs="Courier New"/>
          <w:sz w:val="32"/>
          <w:szCs w:val="32"/>
        </w:rPr>
        <w:t xml:space="preserve"> </w:t>
      </w:r>
      <w:r>
        <w:rPr>
          <w:rFonts w:hint="eastAsia" w:ascii="仿宋" w:hAnsi="仿宋" w:eastAsia="仿宋" w:cs="Courier New"/>
          <w:sz w:val="32"/>
          <w:szCs w:val="32"/>
        </w:rPr>
        <w:t>占</w:t>
      </w:r>
      <w:r>
        <w:rPr>
          <w:rFonts w:ascii="仿宋" w:hAnsi="仿宋" w:eastAsia="仿宋" w:cs="Courier New"/>
          <w:sz w:val="32"/>
          <w:szCs w:val="32"/>
        </w:rPr>
        <w:t xml:space="preserve"> </w:t>
      </w:r>
      <w:r>
        <w:rPr>
          <w:rFonts w:hint="eastAsia" w:ascii="仿宋" w:hAnsi="仿宋" w:eastAsia="仿宋" w:cs="Courier New"/>
          <w:sz w:val="32"/>
          <w:szCs w:val="32"/>
          <w:lang w:val="en-US" w:eastAsia="zh-CN"/>
        </w:rPr>
        <w:t>57</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 xml:space="preserve">；经营支出 </w:t>
      </w:r>
      <w:r>
        <w:rPr>
          <w:rFonts w:hint="eastAsia" w:ascii="仿宋" w:hAnsi="仿宋" w:eastAsia="仿宋" w:cs="Courier New"/>
          <w:sz w:val="32"/>
          <w:szCs w:val="32"/>
          <w:lang w:val="en-US" w:eastAsia="zh-CN"/>
        </w:rPr>
        <w:t>0</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0</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四、财政拨款收入支出决算总体情况说明</w:t>
      </w:r>
    </w:p>
    <w:p>
      <w:pPr>
        <w:adjustRightInd w:val="0"/>
        <w:snapToGrid w:val="0"/>
        <w:spacing w:line="360" w:lineRule="auto"/>
        <w:ind w:firstLine="640"/>
        <w:rPr>
          <w:rFonts w:hint="eastAsia" w:ascii="仿宋" w:hAnsi="仿宋" w:eastAsia="仿宋" w:cs="Courier New"/>
          <w:sz w:val="32"/>
          <w:szCs w:val="32"/>
        </w:rPr>
      </w:pPr>
      <w:r>
        <w:rPr>
          <w:rFonts w:hint="eastAsia" w:ascii="仿宋" w:hAnsi="仿宋" w:eastAsia="仿宋"/>
          <w:sz w:val="32"/>
          <w:szCs w:val="32"/>
          <w:lang w:eastAsia="zh-CN"/>
        </w:rPr>
        <w:t>社会事业局</w:t>
      </w:r>
      <w:r>
        <w:rPr>
          <w:rFonts w:ascii="仿宋" w:hAnsi="仿宋" w:eastAsia="仿宋" w:cs="Courier New"/>
          <w:sz w:val="32"/>
          <w:szCs w:val="32"/>
        </w:rPr>
        <w:t>2015</w:t>
      </w:r>
      <w:r>
        <w:rPr>
          <w:rFonts w:hint="eastAsia" w:ascii="仿宋" w:hAnsi="仿宋" w:eastAsia="仿宋" w:cs="Courier New"/>
          <w:sz w:val="32"/>
          <w:szCs w:val="32"/>
        </w:rPr>
        <w:t xml:space="preserve">年财政拨款收支总决算  </w:t>
      </w:r>
      <w:r>
        <w:rPr>
          <w:rFonts w:hint="eastAsia" w:ascii="仿宋" w:hAnsi="仿宋" w:eastAsia="仿宋" w:cs="Courier New"/>
          <w:sz w:val="32"/>
          <w:szCs w:val="32"/>
          <w:lang w:val="en-US" w:eastAsia="zh-CN"/>
        </w:rPr>
        <w:t>269.1</w:t>
      </w:r>
      <w:r>
        <w:rPr>
          <w:rFonts w:hint="eastAsia" w:ascii="仿宋" w:hAnsi="仿宋" w:eastAsia="仿宋" w:cs="Courier New"/>
          <w:sz w:val="32"/>
          <w:szCs w:val="32"/>
        </w:rPr>
        <w:t>万元。</w:t>
      </w:r>
    </w:p>
    <w:p>
      <w:pPr>
        <w:adjustRightInd w:val="0"/>
        <w:snapToGrid w:val="0"/>
        <w:spacing w:line="360" w:lineRule="auto"/>
        <w:ind w:firstLine="64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adjustRightInd w:val="0"/>
        <w:snapToGrid w:val="0"/>
        <w:spacing w:line="360" w:lineRule="auto"/>
        <w:ind w:firstLine="640"/>
        <w:rPr>
          <w:rFonts w:hint="eastAsia" w:ascii="仿宋" w:hAnsi="仿宋" w:eastAsia="仿宋" w:cs="Courier New"/>
          <w:sz w:val="32"/>
          <w:szCs w:val="32"/>
          <w:lang w:eastAsia="zh-CN"/>
        </w:rPr>
      </w:pPr>
      <w:r>
        <w:rPr>
          <w:rFonts w:hint="eastAsia" w:ascii="仿宋" w:hAnsi="仿宋" w:eastAsia="仿宋"/>
          <w:sz w:val="32"/>
          <w:szCs w:val="32"/>
          <w:lang w:eastAsia="zh-CN"/>
        </w:rPr>
        <w:t>社会事业局</w:t>
      </w:r>
      <w:r>
        <w:rPr>
          <w:rFonts w:ascii="仿宋" w:hAnsi="仿宋" w:eastAsia="仿宋" w:cs="Courier New"/>
          <w:sz w:val="32"/>
          <w:szCs w:val="32"/>
        </w:rPr>
        <w:t xml:space="preserve">2015 </w:t>
      </w:r>
      <w:r>
        <w:rPr>
          <w:rFonts w:hint="eastAsia" w:ascii="仿宋" w:hAnsi="仿宋" w:eastAsia="仿宋" w:cs="Courier New"/>
          <w:sz w:val="32"/>
          <w:szCs w:val="32"/>
        </w:rPr>
        <w:t xml:space="preserve">年一般公共预算财政拨款支出年初预算为 </w:t>
      </w:r>
      <w:r>
        <w:rPr>
          <w:rFonts w:hint="eastAsia" w:ascii="仿宋" w:hAnsi="仿宋" w:eastAsia="仿宋" w:cs="Courier New"/>
          <w:sz w:val="32"/>
          <w:szCs w:val="32"/>
          <w:lang w:val="en-US" w:eastAsia="zh-CN"/>
        </w:rPr>
        <w:t>299.1</w:t>
      </w:r>
      <w:r>
        <w:rPr>
          <w:rFonts w:hint="eastAsia" w:ascii="仿宋" w:hAnsi="仿宋" w:eastAsia="仿宋" w:cs="Courier New"/>
          <w:sz w:val="32"/>
          <w:szCs w:val="32"/>
        </w:rPr>
        <w:t xml:space="preserve">万元，支出决算为 </w:t>
      </w:r>
      <w:r>
        <w:rPr>
          <w:rFonts w:hint="eastAsia" w:ascii="仿宋" w:hAnsi="仿宋" w:eastAsia="仿宋" w:cs="Courier New"/>
          <w:sz w:val="32"/>
          <w:szCs w:val="32"/>
          <w:lang w:val="en-US" w:eastAsia="zh-CN"/>
        </w:rPr>
        <w:t>269.1</w:t>
      </w:r>
      <w:r>
        <w:rPr>
          <w:rFonts w:hint="eastAsia" w:ascii="仿宋" w:hAnsi="仿宋" w:eastAsia="仿宋" w:cs="Courier New"/>
          <w:sz w:val="32"/>
          <w:szCs w:val="32"/>
        </w:rPr>
        <w:t xml:space="preserve">万元，完成年初预算的 </w:t>
      </w:r>
      <w:r>
        <w:rPr>
          <w:rFonts w:hint="eastAsia" w:ascii="仿宋" w:hAnsi="仿宋" w:eastAsia="仿宋" w:cs="Courier New"/>
          <w:sz w:val="32"/>
          <w:szCs w:val="32"/>
          <w:lang w:val="en-US" w:eastAsia="zh-CN"/>
        </w:rPr>
        <w:t>95</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。主要用于以下方面：</w:t>
      </w:r>
      <w:r>
        <w:rPr>
          <w:rFonts w:hint="eastAsia" w:ascii="仿宋" w:hAnsi="仿宋" w:eastAsia="仿宋" w:cs="Courier New"/>
          <w:sz w:val="32"/>
          <w:szCs w:val="32"/>
          <w:lang w:eastAsia="zh-CN"/>
        </w:rPr>
        <w:t>文化建设与司法宣传支出。</w:t>
      </w:r>
    </w:p>
    <w:p>
      <w:pPr>
        <w:adjustRightInd w:val="0"/>
        <w:snapToGrid w:val="0"/>
        <w:spacing w:line="360" w:lineRule="auto"/>
        <w:ind w:firstLine="640"/>
        <w:rPr>
          <w:rFonts w:hint="eastAsia" w:ascii="仿宋" w:hAnsi="仿宋" w:eastAsia="仿宋" w:cs="Courier New"/>
          <w:sz w:val="32"/>
          <w:szCs w:val="32"/>
          <w:lang w:val="en-US" w:eastAsia="zh-CN"/>
        </w:rPr>
      </w:pPr>
      <w:r>
        <w:rPr>
          <w:rFonts w:hint="eastAsia" w:ascii="仿宋" w:hAnsi="仿宋" w:eastAsia="仿宋"/>
          <w:b/>
          <w:sz w:val="32"/>
          <w:szCs w:val="32"/>
        </w:rPr>
        <w:t>（一）</w:t>
      </w:r>
      <w:r>
        <w:rPr>
          <w:rFonts w:hint="eastAsia" w:ascii="仿宋" w:hAnsi="仿宋" w:eastAsia="仿宋" w:cs="Courier New"/>
          <w:sz w:val="32"/>
          <w:szCs w:val="32"/>
          <w:lang w:eastAsia="zh-CN"/>
        </w:rPr>
        <w:t>基本支出</w:t>
      </w:r>
      <w:r>
        <w:rPr>
          <w:rFonts w:hint="eastAsia" w:ascii="仿宋" w:hAnsi="仿宋" w:eastAsia="仿宋" w:cs="Courier New"/>
          <w:sz w:val="32"/>
          <w:szCs w:val="32"/>
          <w:lang w:val="en-US" w:eastAsia="zh-CN"/>
        </w:rPr>
        <w:t>117.08万元，项目支出152.02万元</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rPr>
        <w:t xml:space="preserve">年初预算为 </w:t>
      </w:r>
      <w:r>
        <w:rPr>
          <w:rFonts w:hint="eastAsia" w:ascii="仿宋" w:hAnsi="仿宋" w:eastAsia="仿宋" w:cs="Courier New"/>
          <w:sz w:val="32"/>
          <w:szCs w:val="32"/>
          <w:lang w:val="en-US" w:eastAsia="zh-CN"/>
        </w:rPr>
        <w:t>299.1</w:t>
      </w:r>
      <w:r>
        <w:rPr>
          <w:rFonts w:hint="eastAsia" w:ascii="仿宋" w:hAnsi="仿宋" w:eastAsia="仿宋" w:cs="Courier New"/>
          <w:sz w:val="32"/>
          <w:szCs w:val="32"/>
        </w:rPr>
        <w:t xml:space="preserve">万元，支出决算为  </w:t>
      </w:r>
      <w:r>
        <w:rPr>
          <w:rFonts w:hint="eastAsia" w:ascii="仿宋" w:hAnsi="仿宋" w:eastAsia="仿宋" w:cs="Courier New"/>
          <w:sz w:val="32"/>
          <w:szCs w:val="32"/>
          <w:lang w:val="en-US" w:eastAsia="zh-CN"/>
        </w:rPr>
        <w:t>269.1</w:t>
      </w:r>
      <w:r>
        <w:rPr>
          <w:rFonts w:hint="eastAsia" w:ascii="仿宋" w:hAnsi="仿宋" w:eastAsia="仿宋" w:cs="Courier New"/>
          <w:sz w:val="32"/>
          <w:szCs w:val="32"/>
        </w:rPr>
        <w:t xml:space="preserve">万元，完成年初预算的 </w:t>
      </w:r>
      <w:r>
        <w:rPr>
          <w:rFonts w:hint="eastAsia" w:ascii="仿宋" w:hAnsi="仿宋" w:eastAsia="仿宋" w:cs="Courier New"/>
          <w:sz w:val="32"/>
          <w:szCs w:val="32"/>
          <w:lang w:val="en-US" w:eastAsia="zh-CN"/>
        </w:rPr>
        <w:t>95</w:t>
      </w:r>
      <w:r>
        <w:rPr>
          <w:rFonts w:hint="eastAsia" w:ascii="仿宋" w:hAnsi="仿宋" w:eastAsia="仿宋" w:cs="Courier New"/>
          <w:sz w:val="32"/>
          <w:szCs w:val="32"/>
        </w:rPr>
        <w:t>%。决算数小于预算数的主要原因：</w:t>
      </w:r>
      <w:r>
        <w:rPr>
          <w:rFonts w:hint="eastAsia" w:ascii="仿宋" w:hAnsi="仿宋" w:eastAsia="仿宋" w:cs="Courier New"/>
          <w:sz w:val="32"/>
          <w:szCs w:val="32"/>
          <w:lang w:eastAsia="zh-CN"/>
        </w:rPr>
        <w:t>事业费按文件要求属政策性人均标准投入，预算投入到位，因</w:t>
      </w:r>
      <w:r>
        <w:rPr>
          <w:rFonts w:hint="eastAsia" w:ascii="仿宋" w:hAnsi="仿宋" w:eastAsia="仿宋" w:cs="Courier New"/>
          <w:sz w:val="32"/>
          <w:szCs w:val="32"/>
          <w:lang w:val="en-US" w:eastAsia="zh-CN"/>
        </w:rPr>
        <w:t>2015年</w:t>
      </w:r>
      <w:r>
        <w:rPr>
          <w:rFonts w:hint="eastAsia" w:ascii="仿宋" w:hAnsi="仿宋" w:eastAsia="仿宋" w:cs="Courier New"/>
          <w:sz w:val="32"/>
          <w:szCs w:val="32"/>
          <w:lang w:eastAsia="zh-CN"/>
        </w:rPr>
        <w:t>开发区没有区级调解中心，导致决算小于预算</w:t>
      </w:r>
      <w:r>
        <w:rPr>
          <w:rFonts w:hint="eastAsia" w:ascii="仿宋" w:hAnsi="仿宋" w:eastAsia="仿宋" w:cs="Courier New"/>
          <w:sz w:val="32"/>
          <w:szCs w:val="32"/>
        </w:rPr>
        <w:t>。</w:t>
      </w:r>
    </w:p>
    <w:p>
      <w:pPr>
        <w:pStyle w:val="12"/>
        <w:kinsoku w:val="0"/>
        <w:overflowPunct w:val="0"/>
        <w:snapToGrid w:val="0"/>
        <w:spacing w:line="360" w:lineRule="auto"/>
        <w:ind w:left="764" w:firstLine="360"/>
        <w:rPr>
          <w:rFonts w:ascii="仿宋" w:hAnsi="仿宋" w:eastAsia="仿宋" w:cs="黑体"/>
        </w:rPr>
      </w:pPr>
      <w:r>
        <w:rPr>
          <w:rFonts w:hint="eastAsia" w:ascii="仿宋" w:hAnsi="仿宋" w:eastAsia="仿宋" w:cs="黑体"/>
        </w:rPr>
        <w:t>六、一般公共预算财政拨款基本支出决算情况说明</w:t>
      </w:r>
    </w:p>
    <w:p>
      <w:pPr>
        <w:pStyle w:val="12"/>
        <w:kinsoku w:val="0"/>
        <w:overflowPunct w:val="0"/>
        <w:snapToGrid w:val="0"/>
        <w:spacing w:line="360" w:lineRule="auto"/>
        <w:ind w:left="121" w:right="118" w:firstLine="360"/>
        <w:jc w:val="both"/>
        <w:rPr>
          <w:rFonts w:hint="eastAsia" w:hAnsi="仿宋_GB2312" w:cs="仿宋_GB2312"/>
          <w:kern w:val="2"/>
          <w:lang w:eastAsia="zh-CN"/>
        </w:rPr>
      </w:pPr>
      <w:r>
        <w:rPr>
          <w:rFonts w:hint="eastAsia" w:ascii="仿宋" w:hAnsi="仿宋" w:eastAsia="仿宋"/>
          <w:sz w:val="32"/>
          <w:szCs w:val="32"/>
          <w:lang w:eastAsia="zh-CN"/>
        </w:rPr>
        <w:t>社会事业局</w:t>
      </w:r>
      <w:r>
        <w:rPr>
          <w:rFonts w:ascii="仿宋" w:hAnsi="仿宋" w:eastAsia="仿宋" w:cs="Courier New"/>
          <w:kern w:val="2"/>
        </w:rPr>
        <w:t>2015</w:t>
      </w:r>
      <w:r>
        <w:rPr>
          <w:rFonts w:hint="eastAsia" w:ascii="仿宋" w:hAnsi="仿宋" w:eastAsia="仿宋" w:cs="Courier New"/>
          <w:kern w:val="2"/>
        </w:rPr>
        <w:t xml:space="preserve">年一般公共预算财政拨款基本支出 </w:t>
      </w:r>
      <w:r>
        <w:rPr>
          <w:rFonts w:hint="eastAsia" w:ascii="仿宋" w:hAnsi="仿宋" w:eastAsia="仿宋" w:cs="Courier New"/>
          <w:kern w:val="2"/>
          <w:lang w:val="en-US" w:eastAsia="zh-CN"/>
        </w:rPr>
        <w:t>269.1</w:t>
      </w:r>
      <w:r>
        <w:rPr>
          <w:rFonts w:hint="eastAsia" w:ascii="仿宋" w:hAnsi="仿宋" w:eastAsia="仿宋" w:cs="Courier New"/>
          <w:kern w:val="2"/>
        </w:rPr>
        <w:t>万元，其中：</w:t>
      </w:r>
      <w:r>
        <w:rPr>
          <w:rFonts w:hint="eastAsia" w:ascii="仿宋" w:hAnsi="仿宋" w:eastAsia="仿宋"/>
          <w:b/>
          <w:spacing w:val="-1"/>
        </w:rPr>
        <w:t>人员经费</w:t>
      </w:r>
      <w:r>
        <w:rPr>
          <w:rFonts w:hint="eastAsia" w:ascii="仿宋" w:hAnsi="仿宋" w:eastAsia="仿宋"/>
          <w:spacing w:val="-1"/>
        </w:rPr>
        <w:t xml:space="preserve"> </w:t>
      </w:r>
      <w:r>
        <w:rPr>
          <w:rFonts w:hint="eastAsia" w:ascii="仿宋" w:hAnsi="仿宋" w:eastAsia="仿宋"/>
          <w:spacing w:val="-1"/>
          <w:lang w:val="en-US" w:eastAsia="zh-CN"/>
        </w:rPr>
        <w:t>117.08</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奖金、社会保障缴费、绩效工资、其他工资福利、</w:t>
      </w:r>
      <w:r>
        <w:rPr>
          <w:rFonts w:ascii="仿宋" w:hAnsi="仿宋" w:eastAsia="仿宋" w:cs="Courier New"/>
          <w:kern w:val="2"/>
        </w:rPr>
        <w:t xml:space="preserve"> </w:t>
      </w:r>
      <w:r>
        <w:rPr>
          <w:rFonts w:hint="eastAsia" w:ascii="仿宋" w:hAnsi="仿宋" w:eastAsia="仿宋" w:cs="Courier New"/>
          <w:kern w:val="2"/>
        </w:rPr>
        <w:t>医疗费、住房公积金、</w:t>
      </w:r>
      <w:r>
        <w:rPr>
          <w:rFonts w:ascii="仿宋" w:hAnsi="仿宋" w:eastAsia="仿宋" w:cs="Courier New"/>
          <w:kern w:val="2"/>
        </w:rPr>
        <w:t xml:space="preserve"> </w:t>
      </w:r>
      <w:r>
        <w:rPr>
          <w:rFonts w:hint="eastAsia" w:ascii="仿宋" w:hAnsi="仿宋" w:eastAsia="仿宋" w:cs="Courier New"/>
          <w:kern w:val="2"/>
        </w:rPr>
        <w:t>其他对个人和家庭的补助支出；</w:t>
      </w:r>
      <w:r>
        <w:rPr>
          <w:rFonts w:hint="eastAsia" w:ascii="仿宋" w:hAnsi="仿宋" w:eastAsia="仿宋"/>
          <w:b/>
          <w:spacing w:val="-1"/>
        </w:rPr>
        <w:t>公用经费</w:t>
      </w:r>
      <w:r>
        <w:rPr>
          <w:rFonts w:hint="eastAsia" w:ascii="仿宋" w:hAnsi="仿宋" w:eastAsia="仿宋"/>
          <w:spacing w:val="-2"/>
          <w:lang w:val="en-US" w:eastAsia="zh-CN"/>
        </w:rPr>
        <w:t>10.8</w:t>
      </w:r>
      <w:r>
        <w:rPr>
          <w:rFonts w:hint="eastAsia" w:ascii="仿宋" w:hAnsi="仿宋" w:eastAsia="仿宋" w:cs="Courier New"/>
          <w:kern w:val="2"/>
        </w:rPr>
        <w:t>万元，主要包括：办公费、印刷费、咨询费、手续费、水费、电费、差旅费、维修（护）费、租赁费、会议费、培训费、公务接待费、公务用车运行维护费、其他交通费用、其他商品和服务支出、信息网络及软件购置更新、其他资本性支出</w:t>
      </w:r>
      <w:r>
        <w:rPr>
          <w:rFonts w:hint="eastAsia" w:ascii="仿宋" w:hAnsi="仿宋" w:eastAsia="仿宋" w:cs="Courier New"/>
          <w:kern w:val="2"/>
          <w:lang w:val="en-US" w:eastAsia="zh-CN"/>
        </w:rPr>
        <w:t>;</w:t>
      </w:r>
      <w:r>
        <w:rPr>
          <w:rFonts w:hint="eastAsia" w:ascii="仿宋_GB2312" w:hAnsi="仿宋_GB2312" w:eastAsia="仿宋_GB2312" w:cs="仿宋_GB2312"/>
          <w:b/>
          <w:bCs/>
          <w:kern w:val="2"/>
          <w:lang w:eastAsia="zh-CN"/>
        </w:rPr>
        <w:t>项目支出</w:t>
      </w:r>
      <w:r>
        <w:rPr>
          <w:rFonts w:hint="eastAsia" w:hAnsi="仿宋_GB2312" w:cs="仿宋_GB2312"/>
          <w:b/>
          <w:bCs/>
          <w:kern w:val="2"/>
          <w:lang w:val="en-US" w:eastAsia="zh-CN"/>
        </w:rPr>
        <w:t>152.02</w:t>
      </w:r>
      <w:bookmarkStart w:id="0" w:name="_GoBack"/>
      <w:bookmarkEnd w:id="0"/>
      <w:r>
        <w:rPr>
          <w:rFonts w:hint="eastAsia" w:hAnsi="仿宋_GB2312" w:cs="仿宋_GB2312"/>
          <w:b/>
          <w:bCs/>
          <w:kern w:val="2"/>
          <w:lang w:val="en-US" w:eastAsia="zh-CN"/>
        </w:rPr>
        <w:t>万元，</w:t>
      </w:r>
      <w:r>
        <w:rPr>
          <w:rFonts w:hint="eastAsia" w:hAnsi="仿宋_GB2312" w:cs="仿宋_GB2312"/>
          <w:b w:val="0"/>
          <w:bCs w:val="0"/>
          <w:kern w:val="2"/>
          <w:lang w:val="en-US" w:eastAsia="zh-CN"/>
        </w:rPr>
        <w:t>主要</w:t>
      </w:r>
      <w:r>
        <w:rPr>
          <w:rFonts w:hint="eastAsia" w:ascii="仿宋_GB2312" w:hAnsi="仿宋_GB2312" w:eastAsia="仿宋_GB2312" w:cs="仿宋_GB2312"/>
          <w:kern w:val="2"/>
          <w:lang w:eastAsia="zh-CN"/>
        </w:rPr>
        <w:t>包括：</w:t>
      </w:r>
      <w:r>
        <w:rPr>
          <w:rFonts w:hint="eastAsia" w:hAnsi="仿宋_GB2312" w:cs="仿宋_GB2312"/>
          <w:kern w:val="2"/>
          <w:lang w:eastAsia="zh-CN"/>
        </w:rPr>
        <w:t>文化体育建设支出、基层司法业务服务支出、残疾人事业支出等。</w:t>
      </w:r>
    </w:p>
    <w:p>
      <w:pPr>
        <w:pStyle w:val="12"/>
        <w:kinsoku w:val="0"/>
        <w:overflowPunct w:val="0"/>
        <w:snapToGrid w:val="0"/>
        <w:spacing w:line="360" w:lineRule="auto"/>
        <w:ind w:left="121" w:right="118" w:firstLine="360"/>
        <w:jc w:val="both"/>
        <w:rPr>
          <w:rFonts w:ascii="仿宋" w:hAnsi="仿宋" w:eastAsia="仿宋" w:cs="黑体"/>
        </w:rPr>
      </w:pPr>
      <w:r>
        <w:rPr>
          <w:rFonts w:hint="eastAsia" w:ascii="仿宋" w:hAnsi="仿宋" w:eastAsia="仿宋" w:cs="黑体"/>
        </w:rPr>
        <w:t>七、一般公共预算财政拨款“三公”经费支出决算情况说明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sz w:val="32"/>
          <w:szCs w:val="32"/>
          <w:lang w:eastAsia="zh-CN"/>
        </w:rPr>
        <w:t>社会事业局</w:t>
      </w:r>
      <w:r>
        <w:rPr>
          <w:rFonts w:hint="eastAsia" w:ascii="仿宋" w:hAnsi="仿宋" w:eastAsia="仿宋" w:cs="Courier New"/>
          <w:kern w:val="2"/>
        </w:rPr>
        <w:t xml:space="preserve">2015 年“三公”经费财政拨款支出预算为 </w:t>
      </w:r>
      <w:r>
        <w:rPr>
          <w:rFonts w:hint="eastAsia" w:ascii="仿宋" w:hAnsi="仿宋" w:eastAsia="仿宋" w:cs="Courier New"/>
          <w:kern w:val="2"/>
          <w:lang w:val="en-US" w:eastAsia="zh-CN"/>
        </w:rPr>
        <w:t>8.8</w:t>
      </w:r>
      <w:r>
        <w:rPr>
          <w:rFonts w:hint="eastAsia" w:ascii="仿宋" w:hAnsi="仿宋" w:eastAsia="仿宋" w:cs="Courier New"/>
          <w:kern w:val="2"/>
        </w:rPr>
        <w:t xml:space="preserve"> 万元，支出决算为 </w:t>
      </w:r>
      <w:r>
        <w:rPr>
          <w:rFonts w:hint="eastAsia" w:ascii="仿宋" w:hAnsi="仿宋" w:eastAsia="仿宋" w:cs="Courier New"/>
          <w:kern w:val="2"/>
          <w:lang w:val="en-US" w:eastAsia="zh-CN"/>
        </w:rPr>
        <w:t>8.8</w:t>
      </w:r>
      <w:r>
        <w:rPr>
          <w:rFonts w:hint="eastAsia" w:ascii="仿宋" w:hAnsi="仿宋" w:eastAsia="仿宋" w:cs="Courier New"/>
          <w:kern w:val="2"/>
        </w:rPr>
        <w:t xml:space="preserve"> 万元，完成预算的 </w:t>
      </w:r>
      <w:r>
        <w:rPr>
          <w:rFonts w:hint="eastAsia" w:ascii="仿宋" w:hAnsi="仿宋" w:eastAsia="仿宋" w:cs="Courier New"/>
          <w:kern w:val="2"/>
          <w:lang w:val="en-US" w:eastAsia="zh-CN"/>
        </w:rPr>
        <w:t>100</w:t>
      </w:r>
      <w:r>
        <w:rPr>
          <w:rFonts w:hint="eastAsia" w:ascii="仿宋" w:hAnsi="仿宋" w:eastAsia="仿宋" w:cs="Courier New"/>
          <w:kern w:val="2"/>
        </w:rPr>
        <w:t xml:space="preserve"> %。具体支出情况如下：</w:t>
      </w:r>
    </w:p>
    <w:p>
      <w:pPr>
        <w:pStyle w:val="12"/>
        <w:kinsoku w:val="0"/>
        <w:overflowPunct w:val="0"/>
        <w:snapToGrid w:val="0"/>
        <w:spacing w:line="360" w:lineRule="auto"/>
        <w:ind w:left="0" w:firstLine="640" w:firstLineChars="200"/>
        <w:jc w:val="both"/>
        <w:rPr>
          <w:rFonts w:ascii="仿宋" w:hAnsi="仿宋" w:eastAsia="仿宋" w:cs="Courier New"/>
          <w:kern w:val="2"/>
          <w:lang w:val="en-US"/>
        </w:rPr>
      </w:pPr>
      <w:r>
        <w:rPr>
          <w:rFonts w:hint="eastAsia" w:ascii="仿宋" w:hAnsi="仿宋" w:eastAsia="仿宋"/>
          <w:b/>
          <w:spacing w:val="-1"/>
        </w:rPr>
        <w:t>（一）因公出国（境）费</w:t>
      </w:r>
      <w:r>
        <w:rPr>
          <w:rFonts w:hint="eastAsia" w:ascii="仿宋" w:hAnsi="仿宋" w:eastAsia="仿宋"/>
          <w:spacing w:val="-1"/>
        </w:rPr>
        <w:t xml:space="preserve">  </w:t>
      </w:r>
      <w:r>
        <w:rPr>
          <w:rFonts w:hint="eastAsia" w:ascii="仿宋" w:hAnsi="仿宋" w:eastAsia="仿宋"/>
          <w:spacing w:val="-1"/>
          <w:lang w:val="en-US" w:eastAsia="zh-CN"/>
        </w:rPr>
        <w:t>0</w:t>
      </w:r>
      <w:r>
        <w:rPr>
          <w:rFonts w:hint="eastAsia" w:ascii="仿宋" w:hAnsi="仿宋" w:eastAsia="仿宋"/>
          <w:spacing w:val="-1"/>
        </w:rPr>
        <w:t>万元，</w:t>
      </w:r>
      <w:r>
        <w:rPr>
          <w:rFonts w:hint="eastAsia" w:ascii="仿宋" w:hAnsi="仿宋" w:eastAsia="仿宋" w:cs="Courier New"/>
          <w:kern w:val="2"/>
        </w:rPr>
        <w:t xml:space="preserve">完成预算的  </w:t>
      </w:r>
      <w:r>
        <w:rPr>
          <w:rFonts w:hint="eastAsia" w:ascii="仿宋" w:hAnsi="仿宋" w:eastAsia="仿宋" w:cs="Courier New"/>
          <w:kern w:val="2"/>
          <w:lang w:val="en-US" w:eastAsia="zh-CN"/>
        </w:rPr>
        <w:t>0</w:t>
      </w:r>
      <w:r>
        <w:rPr>
          <w:rFonts w:hint="eastAsia" w:ascii="仿宋" w:hAnsi="仿宋" w:eastAsia="仿宋" w:cs="Courier New"/>
          <w:kern w:val="2"/>
        </w:rPr>
        <w:t xml:space="preserve"> %，主要用于单位工作人员公务出国（境）的住宿费、旅费、伙食补助费、杂费、培训费等支出。</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（二）公务用车购置及运行费</w:t>
      </w:r>
      <w:r>
        <w:rPr>
          <w:rFonts w:hint="eastAsia" w:ascii="仿宋" w:hAnsi="仿宋" w:eastAsia="仿宋"/>
        </w:rPr>
        <w:t xml:space="preserve"> 万</w:t>
      </w:r>
      <w:r>
        <w:rPr>
          <w:rFonts w:hint="eastAsia" w:ascii="仿宋" w:hAnsi="仿宋" w:eastAsia="仿宋" w:cs="Courier New"/>
          <w:kern w:val="2"/>
        </w:rPr>
        <w:t xml:space="preserve">元，完成预算的  </w:t>
      </w:r>
      <w:r>
        <w:rPr>
          <w:rFonts w:hint="eastAsia" w:ascii="仿宋" w:hAnsi="仿宋" w:eastAsia="仿宋" w:cs="Courier New"/>
          <w:kern w:val="2"/>
          <w:lang w:val="en-US" w:eastAsia="zh-CN"/>
        </w:rPr>
        <w:t>100</w:t>
      </w:r>
      <w:r>
        <w:rPr>
          <w:rFonts w:hint="eastAsia" w:ascii="仿宋" w:hAnsi="仿宋" w:eastAsia="仿宋" w:cs="Courier New"/>
          <w:kern w:val="2"/>
        </w:rPr>
        <w:t xml:space="preserve"> %，其中，公务用车购置费 </w:t>
      </w:r>
      <w:r>
        <w:rPr>
          <w:rFonts w:hint="eastAsia" w:ascii="仿宋" w:hAnsi="仿宋" w:eastAsia="仿宋" w:cs="Courier New"/>
          <w:kern w:val="2"/>
          <w:lang w:val="en-US" w:eastAsia="zh-CN"/>
        </w:rPr>
        <w:t>0</w:t>
      </w:r>
      <w:r>
        <w:rPr>
          <w:rFonts w:hint="eastAsia" w:ascii="仿宋" w:hAnsi="仿宋" w:eastAsia="仿宋" w:cs="Courier New"/>
          <w:kern w:val="2"/>
        </w:rPr>
        <w:t xml:space="preserve"> 万元，购置 </w:t>
      </w:r>
      <w:r>
        <w:rPr>
          <w:rFonts w:hint="eastAsia" w:ascii="仿宋" w:hAnsi="仿宋" w:eastAsia="仿宋" w:cs="Courier New"/>
          <w:kern w:val="2"/>
          <w:lang w:val="en-US" w:eastAsia="zh-CN"/>
        </w:rPr>
        <w:t>0</w:t>
      </w:r>
      <w:r>
        <w:rPr>
          <w:rFonts w:hint="eastAsia" w:ascii="仿宋" w:hAnsi="仿宋" w:eastAsia="仿宋" w:cs="Courier New"/>
          <w:kern w:val="2"/>
        </w:rPr>
        <w:t xml:space="preserve"> 辆车；公务用车运行维护费</w:t>
      </w:r>
      <w:r>
        <w:rPr>
          <w:rFonts w:hint="eastAsia" w:ascii="仿宋" w:hAnsi="仿宋" w:eastAsia="仿宋" w:cs="Courier New"/>
          <w:kern w:val="2"/>
          <w:lang w:val="en-US" w:eastAsia="zh-CN"/>
        </w:rPr>
        <w:t>8.8</w:t>
      </w:r>
      <w:r>
        <w:rPr>
          <w:rFonts w:hint="eastAsia" w:ascii="仿宋" w:hAnsi="仿宋" w:eastAsia="仿宋" w:cs="Courier New"/>
          <w:kern w:val="2"/>
        </w:rPr>
        <w:t xml:space="preserve">  万元，主要用于开展工作所需公务用车的燃料费、维修费、过路过桥费、保险费等支出。</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（三）公务接待费</w:t>
      </w:r>
      <w:r>
        <w:rPr>
          <w:rFonts w:hint="eastAsia" w:ascii="仿宋" w:hAnsi="仿宋" w:eastAsia="仿宋"/>
        </w:rPr>
        <w:t xml:space="preserve"> </w:t>
      </w:r>
      <w:r>
        <w:rPr>
          <w:rFonts w:hint="eastAsia" w:ascii="仿宋" w:hAnsi="仿宋" w:eastAsia="仿宋"/>
          <w:lang w:val="en-US" w:eastAsia="zh-CN"/>
        </w:rPr>
        <w:t>2</w:t>
      </w:r>
      <w:r>
        <w:rPr>
          <w:rFonts w:hint="eastAsia" w:ascii="仿宋" w:hAnsi="仿宋" w:eastAsia="仿宋"/>
        </w:rPr>
        <w:t xml:space="preserve"> </w:t>
      </w:r>
      <w:r>
        <w:rPr>
          <w:rFonts w:hint="eastAsia" w:ascii="仿宋" w:hAnsi="仿宋" w:eastAsia="仿宋" w:cs="Courier New"/>
          <w:kern w:val="2"/>
        </w:rPr>
        <w:t xml:space="preserve">万元，完成预算的  </w:t>
      </w:r>
      <w:r>
        <w:rPr>
          <w:rFonts w:hint="eastAsia" w:ascii="仿宋" w:hAnsi="仿宋" w:eastAsia="仿宋" w:cs="Courier New"/>
          <w:kern w:val="2"/>
          <w:lang w:val="en-US" w:eastAsia="zh-CN"/>
        </w:rPr>
        <w:t>100</w:t>
      </w:r>
      <w:r>
        <w:rPr>
          <w:rFonts w:hint="eastAsia" w:ascii="仿宋" w:hAnsi="仿宋" w:eastAsia="仿宋" w:cs="Courier New"/>
          <w:kern w:val="2"/>
        </w:rPr>
        <w:t xml:space="preserve"> %，主要用于按规定开支的各类公务接待（含</w:t>
      </w:r>
      <w:r>
        <w:rPr>
          <w:rFonts w:hint="eastAsia" w:ascii="仿宋" w:hAnsi="仿宋" w:eastAsia="仿宋" w:cs="Courier New"/>
          <w:kern w:val="2"/>
          <w:lang w:eastAsia="zh-CN"/>
        </w:rPr>
        <w:t>招商</w:t>
      </w:r>
      <w:r>
        <w:rPr>
          <w:rFonts w:hint="eastAsia" w:ascii="仿宋" w:hAnsi="仿宋" w:eastAsia="仿宋" w:cs="Courier New"/>
          <w:kern w:val="2"/>
        </w:rPr>
        <w:t xml:space="preserve">接待）支出。2015 年共接待 </w:t>
      </w:r>
      <w:r>
        <w:rPr>
          <w:rFonts w:hint="eastAsia" w:ascii="仿宋" w:hAnsi="仿宋" w:eastAsia="仿宋" w:cs="Courier New"/>
          <w:kern w:val="2"/>
          <w:lang w:val="en-US" w:eastAsia="zh-CN"/>
        </w:rPr>
        <w:t>26</w:t>
      </w:r>
      <w:r>
        <w:rPr>
          <w:rFonts w:hint="eastAsia" w:ascii="仿宋" w:hAnsi="仿宋" w:eastAsia="仿宋" w:cs="Courier New"/>
          <w:kern w:val="2"/>
        </w:rPr>
        <w:t xml:space="preserve">批次、  </w:t>
      </w:r>
      <w:r>
        <w:rPr>
          <w:rFonts w:hint="eastAsia" w:ascii="仿宋" w:hAnsi="仿宋" w:eastAsia="仿宋" w:cs="Courier New"/>
          <w:kern w:val="2"/>
          <w:lang w:val="en-US" w:eastAsia="zh-CN"/>
        </w:rPr>
        <w:t>240</w:t>
      </w:r>
      <w:r>
        <w:rPr>
          <w:rFonts w:hint="eastAsia" w:ascii="仿宋" w:hAnsi="仿宋" w:eastAsia="仿宋" w:cs="Courier New"/>
          <w:kern w:val="2"/>
        </w:rPr>
        <w:t>人次。</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八、政府性基金预算财政拨款支出决算情况说明</w:t>
      </w:r>
    </w:p>
    <w:p>
      <w:pPr>
        <w:pStyle w:val="12"/>
        <w:kinsoku w:val="0"/>
        <w:overflowPunct w:val="0"/>
        <w:snapToGrid w:val="0"/>
        <w:spacing w:line="360" w:lineRule="auto"/>
        <w:ind w:left="0" w:firstLine="640" w:firstLineChars="200"/>
        <w:jc w:val="both"/>
        <w:rPr>
          <w:rFonts w:hint="eastAsia" w:ascii="仿宋" w:hAnsi="仿宋" w:eastAsia="仿宋" w:cs="Courier New"/>
          <w:kern w:val="2"/>
        </w:rPr>
      </w:pPr>
      <w:r>
        <w:rPr>
          <w:rFonts w:hint="eastAsia" w:ascii="仿宋" w:hAnsi="仿宋" w:eastAsia="仿宋"/>
          <w:sz w:val="32"/>
          <w:szCs w:val="32"/>
          <w:lang w:eastAsia="zh-CN"/>
        </w:rPr>
        <w:t>社会事业局</w:t>
      </w:r>
      <w:r>
        <w:rPr>
          <w:rFonts w:hint="eastAsia" w:ascii="仿宋" w:hAnsi="仿宋" w:eastAsia="仿宋" w:cs="Courier New"/>
          <w:kern w:val="2"/>
        </w:rPr>
        <w:t xml:space="preserve">2015年府性基金预算财政拨款支出年初预算为 </w:t>
      </w:r>
      <w:r>
        <w:rPr>
          <w:rFonts w:hint="eastAsia" w:ascii="仿宋" w:hAnsi="仿宋" w:eastAsia="仿宋" w:cs="Courier New"/>
          <w:kern w:val="2"/>
          <w:lang w:val="en-US" w:eastAsia="zh-CN"/>
        </w:rPr>
        <w:t>0</w:t>
      </w:r>
      <w:r>
        <w:rPr>
          <w:rFonts w:hint="eastAsia" w:ascii="仿宋" w:hAnsi="仿宋" w:eastAsia="仿宋" w:cs="Courier New"/>
          <w:kern w:val="2"/>
        </w:rPr>
        <w:t xml:space="preserve"> 万元，支出决算为 </w:t>
      </w:r>
      <w:r>
        <w:rPr>
          <w:rFonts w:hint="eastAsia" w:ascii="仿宋" w:hAnsi="仿宋" w:eastAsia="仿宋" w:cs="Courier New"/>
          <w:kern w:val="2"/>
          <w:lang w:val="en-US" w:eastAsia="zh-CN"/>
        </w:rPr>
        <w:t>0</w:t>
      </w:r>
      <w:r>
        <w:rPr>
          <w:rFonts w:hint="eastAsia" w:ascii="仿宋" w:hAnsi="仿宋" w:eastAsia="仿宋" w:cs="Courier New"/>
          <w:kern w:val="2"/>
        </w:rPr>
        <w:t xml:space="preserve"> 万元，完成年初预算的 </w:t>
      </w:r>
      <w:r>
        <w:rPr>
          <w:rFonts w:hint="eastAsia" w:ascii="仿宋" w:hAnsi="仿宋" w:eastAsia="仿宋" w:cs="Courier New"/>
          <w:kern w:val="2"/>
          <w:lang w:val="en-US" w:eastAsia="zh-CN"/>
        </w:rPr>
        <w:t>0</w:t>
      </w:r>
      <w:r>
        <w:rPr>
          <w:rFonts w:hint="eastAsia" w:ascii="仿宋" w:hAnsi="仿宋" w:eastAsia="仿宋" w:cs="Courier New"/>
          <w:kern w:val="2"/>
        </w:rPr>
        <w:t xml:space="preserve"> </w:t>
      </w:r>
      <w:r>
        <w:rPr>
          <w:rFonts w:ascii="仿宋" w:hAnsi="仿宋" w:eastAsia="仿宋" w:cs="Courier New"/>
          <w:kern w:val="2"/>
        </w:rPr>
        <w:t>%</w:t>
      </w: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hint="eastAsia" w:ascii="仿宋" w:hAnsi="仿宋" w:eastAsia="仿宋" w:cs="Courier New"/>
          <w:kern w:val="2"/>
        </w:rPr>
      </w:pPr>
    </w:p>
    <w:p>
      <w:pPr>
        <w:pStyle w:val="12"/>
        <w:kinsoku w:val="0"/>
        <w:overflowPunct w:val="0"/>
        <w:snapToGrid w:val="0"/>
        <w:spacing w:line="360" w:lineRule="auto"/>
        <w:ind w:left="0" w:firstLine="640" w:firstLineChars="200"/>
        <w:jc w:val="both"/>
        <w:rPr>
          <w:rFonts w:hint="eastAsia" w:ascii="仿宋" w:hAnsi="仿宋" w:eastAsia="仿宋" w:cs="Courier New"/>
          <w:kern w:val="2"/>
        </w:rPr>
      </w:pPr>
    </w:p>
    <w:p>
      <w:pPr>
        <w:kinsoku w:val="0"/>
        <w:overflowPunct w:val="0"/>
        <w:adjustRightInd w:val="0"/>
        <w:snapToGrid w:val="0"/>
        <w:spacing w:line="360" w:lineRule="auto"/>
        <w:ind w:right="521"/>
        <w:jc w:val="center"/>
        <w:rPr>
          <w:rFonts w:hint="eastAsia" w:ascii="仿宋" w:hAnsi="仿宋" w:eastAsia="仿宋" w:cs="黑体"/>
          <w:sz w:val="32"/>
          <w:szCs w:val="32"/>
        </w:rPr>
      </w:pPr>
      <w:r>
        <w:rPr>
          <w:rFonts w:hint="eastAsia" w:ascii="仿宋" w:hAnsi="仿宋" w:eastAsia="仿宋" w:cs="黑体"/>
          <w:sz w:val="32"/>
          <w:szCs w:val="32"/>
        </w:rPr>
        <w:t>第四部分</w:t>
      </w:r>
      <w:r>
        <w:rPr>
          <w:rFonts w:hint="eastAsia"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512"/>
        <w:jc w:val="center"/>
        <w:rPr>
          <w:rFonts w:ascii="仿宋" w:hAnsi="仿宋" w:eastAsia="仿宋" w:cs="黑体"/>
          <w:spacing w:val="-32"/>
          <w:sz w:val="32"/>
          <w:szCs w:val="32"/>
        </w:rPr>
      </w:pP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一、财政拨款收入：是指市级财政当年拨付的资金。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二、事业收入：是指事业单位开展专业活动及辅助活动所取 得的收入。</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三、其他收入：是指部门取得的除“财政拨款”、“事业收入”、“事业单位经营收入”等以外的收入。 </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五、上年结转和结余：是指以前年度支出预算因客观条件变化未执行完毕、结转到本年度按有关规定继续使用的资金，既包括财政拨款结转和结余，也包括事业收入、经营收入、其他收入的结转和结余。</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六、基本支出：是指为保障机构正常运转、完成日常工作任务所必需的开支，其内容包括人员经费和日常公用经费两部分。</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七、项目支出：是指在基本支出之外，为完成特定的行政工作任务或事业发展目标所发生的支出。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八、一般公共服务（类）××事务（款）：是指××局用于保障机构正常运行、开展××业务等活动的支出。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（一）行政运行（项）：是指为保障××局各行政机构正常运转、完成日常工作任务安排的支出。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（二）一般行政管理事务（项）：是指××局机关及所属二级单位的项目支出。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（三）机关服务（项）：是指为××局机关提供后勤保障服务的机关服务局的支出。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（四）事业运行（项）：是指事业单位用于保障机构正常运转的基本支出。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（八）其他××支出（项）：……。</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insoku w:val="0"/>
        <w:overflowPunct w:val="0"/>
        <w:snapToGrid w:val="0"/>
        <w:spacing w:line="360" w:lineRule="auto"/>
        <w:ind w:left="0" w:firstLine="640" w:firstLineChars="200"/>
        <w:jc w:val="both"/>
        <w:rPr>
          <w:rFonts w:hint="eastAsia"/>
        </w:rPr>
      </w:pPr>
      <w:r>
        <w:rPr>
          <w:rFonts w:hint="eastAsia" w:ascii="仿宋" w:hAnsi="仿宋" w:eastAsia="仿宋" w:cs="Courier New"/>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adjustRightInd w:val="0"/>
        <w:snapToGrid w:val="0"/>
        <w:ind w:right="100"/>
        <w:jc w:val="left"/>
        <w:rPr>
          <w:rFonts w:hAnsi="黑体" w:eastAsia="黑体"/>
          <w:szCs w:val="32"/>
        </w:rPr>
        <w:sectPr>
          <w:headerReference r:id="rId3" w:type="default"/>
          <w:footerReference r:id="rId4" w:type="default"/>
          <w:pgSz w:w="11906" w:h="16838"/>
          <w:pgMar w:top="1134" w:right="1134" w:bottom="1134" w:left="1134" w:header="510" w:footer="992" w:gutter="0"/>
          <w:cols w:space="720" w:num="1"/>
          <w:docGrid w:linePitch="435" w:charSpace="0"/>
        </w:sectPr>
      </w:pPr>
    </w:p>
    <w:p>
      <w:pPr>
        <w:widowControl/>
        <w:adjustRightInd w:val="0"/>
        <w:snapToGrid w:val="0"/>
        <w:ind w:right="100" w:firstLine="640"/>
        <w:jc w:val="left"/>
        <w:rPr>
          <w:rFonts w:eastAsia="黑体"/>
          <w:szCs w:val="32"/>
        </w:rPr>
      </w:pPr>
      <w:r>
        <w:rPr>
          <w:rFonts w:hAnsi="黑体" w:eastAsia="黑体"/>
          <w:szCs w:val="32"/>
        </w:rPr>
        <w:t>附件</w:t>
      </w:r>
      <w:r>
        <w:rPr>
          <w:rFonts w:eastAsia="黑体"/>
          <w:szCs w:val="32"/>
        </w:rPr>
        <w:t>1</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pPr>
        <w:widowControl/>
        <w:adjustRightInd w:val="0"/>
        <w:snapToGrid w:val="0"/>
        <w:ind w:right="8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widowControl/>
        <w:adjustRightInd w:val="0"/>
        <w:snapToGrid w:val="0"/>
        <w:ind w:firstLine="800" w:firstLineChars="4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int="eastAsia"/>
          <w:color w:val="000000"/>
          <w:kern w:val="0"/>
          <w:sz w:val="20"/>
          <w:szCs w:val="20"/>
          <w:lang w:eastAsia="zh-CN"/>
        </w:rPr>
        <w:t>开发区社会事业局</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2860"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9"/>
        <w:gridCol w:w="616"/>
        <w:gridCol w:w="1075"/>
        <w:gridCol w:w="4607"/>
        <w:gridCol w:w="595"/>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ind w:firstLine="640"/>
              <w:jc w:val="center"/>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269.1</w:t>
            </w: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int="eastAsia" w:hAnsi="宋体"/>
                <w:kern w:val="0"/>
                <w:sz w:val="22"/>
                <w:lang w:val="en-US" w:eastAsia="zh-CN"/>
              </w:rPr>
              <w:t>269.1</w:t>
            </w: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eastAsia="宋体"/>
                <w:kern w:val="0"/>
                <w:sz w:val="24"/>
                <w:szCs w:val="24"/>
                <w:lang w:eastAsia="zh-CN"/>
              </w:rPr>
            </w:pPr>
            <w:r>
              <w:rPr>
                <w:rFonts w:hint="eastAsia"/>
                <w:kern w:val="0"/>
                <w:sz w:val="24"/>
                <w:szCs w:val="24"/>
                <w:lang w:eastAsia="zh-CN"/>
              </w:rPr>
              <w:t>九、医疗卫生与计划生育支出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vAlign w:val="center"/>
          </w:tcPr>
          <w:p>
            <w:pPr>
              <w:widowControl/>
              <w:adjustRightInd w:val="0"/>
              <w:snapToGrid w:val="0"/>
              <w:jc w:val="center"/>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269.1</w:t>
            </w: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b/>
                <w:bCs/>
                <w:kern w:val="0"/>
                <w:sz w:val="22"/>
              </w:rPr>
            </w:pPr>
            <w:r>
              <w:rPr>
                <w:rFonts w:hAnsi="宋体" w:eastAsia="宋体"/>
                <w:b/>
                <w:bCs/>
                <w:kern w:val="0"/>
                <w:sz w:val="22"/>
              </w:rPr>
              <w:t>　</w:t>
            </w:r>
            <w:r>
              <w:rPr>
                <w:rFonts w:hint="eastAsia" w:hAnsi="宋体"/>
                <w:b/>
                <w:bCs/>
                <w:kern w:val="0"/>
                <w:sz w:val="22"/>
                <w:lang w:val="en-US" w:eastAsia="zh-CN"/>
              </w:rPr>
              <w:t>269.1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25</w:t>
            </w:r>
          </w:p>
        </w:tc>
        <w:tc>
          <w:tcPr>
            <w:tcW w:w="1038" w:type="dxa"/>
            <w:tcBorders>
              <w:top w:val="nil"/>
              <w:left w:val="nil"/>
              <w:bottom w:val="nil"/>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269.1</w:t>
            </w:r>
            <w:r>
              <w:rPr>
                <w:rFonts w:hAnsi="宋体" w:eastAsia="宋体"/>
                <w:kern w:val="0"/>
                <w:sz w:val="22"/>
              </w:rPr>
              <w:t>　</w:t>
            </w:r>
          </w:p>
        </w:tc>
        <w:tc>
          <w:tcPr>
            <w:tcW w:w="4607" w:type="dxa"/>
            <w:tcBorders>
              <w:top w:val="single" w:color="auto" w:sz="4" w:space="0"/>
              <w:left w:val="nil"/>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vAlign w:val="center"/>
          </w:tcPr>
          <w:p>
            <w:pPr>
              <w:widowControl/>
              <w:adjustRightInd w:val="0"/>
              <w:snapToGrid w:val="0"/>
              <w:jc w:val="left"/>
              <w:rPr>
                <w:rFonts w:eastAsia="宋体"/>
                <w:b/>
                <w:bCs/>
                <w:kern w:val="0"/>
                <w:sz w:val="22"/>
              </w:rPr>
            </w:pPr>
            <w:r>
              <w:rPr>
                <w:rFonts w:hAnsi="宋体" w:eastAsia="宋体"/>
                <w:b/>
                <w:bCs/>
                <w:kern w:val="0"/>
                <w:sz w:val="22"/>
              </w:rPr>
              <w:t>　</w:t>
            </w:r>
            <w:r>
              <w:rPr>
                <w:rFonts w:hint="eastAsia" w:hAnsi="宋体"/>
                <w:b/>
                <w:bCs/>
                <w:kern w:val="0"/>
                <w:sz w:val="22"/>
                <w:lang w:val="en-US" w:eastAsia="zh-CN"/>
              </w:rPr>
              <w:t>269.1</w:t>
            </w:r>
          </w:p>
        </w:tc>
      </w:tr>
    </w:tbl>
    <w:p>
      <w:pPr>
        <w:widowControl/>
        <w:adjustRightInd w:val="0"/>
        <w:snapToGrid w:val="0"/>
        <w:ind w:right="102" w:firstLine="900" w:firstLineChars="450"/>
        <w:rPr>
          <w:color w:val="000000"/>
          <w:kern w:val="0"/>
          <w:sz w:val="20"/>
          <w:szCs w:val="20"/>
        </w:rPr>
      </w:pPr>
      <w:r>
        <w:rPr>
          <w:rFonts w:hAnsi="宋体"/>
          <w:color w:val="000000"/>
          <w:kern w:val="0"/>
          <w:sz w:val="20"/>
          <w:szCs w:val="20"/>
        </w:rPr>
        <w:t>注：本表反映部门本年度的总收支和年末结转结余情况。</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pPr>
        <w:widowControl/>
        <w:adjustRightInd w:val="0"/>
        <w:snapToGrid w:val="0"/>
        <w:ind w:right="7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widowControl/>
        <w:adjustRightInd w:val="0"/>
        <w:snapToGrid w:val="0"/>
        <w:ind w:firstLine="600" w:firstLineChars="3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int="eastAsia"/>
          <w:color w:val="000000"/>
          <w:kern w:val="0"/>
          <w:sz w:val="20"/>
          <w:szCs w:val="20"/>
          <w:lang w:eastAsia="zh-CN"/>
        </w:rPr>
        <w:t>开发区</w:t>
      </w:r>
      <w:r>
        <w:rPr>
          <w:rFonts w:eastAsia="宋体"/>
          <w:color w:val="000000"/>
          <w:kern w:val="0"/>
          <w:sz w:val="20"/>
          <w:szCs w:val="20"/>
        </w:rPr>
        <w:t xml:space="preserve"> </w:t>
      </w:r>
      <w:r>
        <w:rPr>
          <w:rFonts w:hint="eastAsia"/>
          <w:color w:val="000000"/>
          <w:kern w:val="0"/>
          <w:sz w:val="20"/>
          <w:szCs w:val="20"/>
          <w:lang w:eastAsia="zh-CN"/>
        </w:rPr>
        <w:t>社会事业局</w:t>
      </w:r>
      <w:r>
        <w:rPr>
          <w:rFonts w:eastAsia="宋体"/>
          <w:color w:val="000000"/>
          <w:kern w:val="0"/>
          <w:sz w:val="20"/>
          <w:szCs w:val="20"/>
        </w:rPr>
        <w:t xml:space="preserve">                </w:t>
      </w:r>
      <w:r>
        <w:rPr>
          <w:rFonts w:hint="eastAsia"/>
          <w:color w:val="000000"/>
          <w:kern w:val="0"/>
          <w:sz w:val="20"/>
          <w:szCs w:val="20"/>
          <w:lang w:val="en-US" w:eastAsia="zh-CN"/>
        </w:rPr>
        <w:t xml:space="preserve"> </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2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1"/>
        <w:gridCol w:w="338"/>
        <w:gridCol w:w="1897"/>
        <w:gridCol w:w="1073"/>
        <w:gridCol w:w="1149"/>
        <w:gridCol w:w="1702"/>
        <w:gridCol w:w="1416"/>
        <w:gridCol w:w="1453"/>
        <w:gridCol w:w="1670"/>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3296" w:type="dxa"/>
            <w:gridSpan w:val="3"/>
            <w:tcBorders>
              <w:top w:val="single" w:color="auto" w:sz="8" w:space="0"/>
              <w:left w:val="single" w:color="auto" w:sz="8" w:space="0"/>
              <w:bottom w:val="single" w:color="auto" w:sz="4" w:space="0"/>
              <w:right w:val="nil"/>
            </w:tcBorders>
            <w:shd w:val="clear" w:color="000000" w:fill="FFFFFF"/>
            <w:vAlign w:val="center"/>
          </w:tcPr>
          <w:p>
            <w:pPr>
              <w:widowControl/>
              <w:ind w:firstLine="87"/>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07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本年收入合计</w:t>
            </w:r>
          </w:p>
        </w:tc>
        <w:tc>
          <w:tcPr>
            <w:tcW w:w="11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财政拨款收入</w:t>
            </w:r>
          </w:p>
        </w:tc>
        <w:tc>
          <w:tcPr>
            <w:tcW w:w="170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061"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rPr>
                <w:rFonts w:eastAsia="宋体"/>
                <w:kern w:val="0"/>
                <w:sz w:val="24"/>
                <w:szCs w:val="24"/>
              </w:rPr>
            </w:pPr>
            <w:r>
              <w:rPr>
                <w:rFonts w:hAnsi="宋体" w:eastAsia="宋体"/>
                <w:kern w:val="0"/>
                <w:sz w:val="24"/>
                <w:szCs w:val="24"/>
              </w:rPr>
              <w:t>功能分类科目编码</w:t>
            </w:r>
          </w:p>
        </w:tc>
        <w:tc>
          <w:tcPr>
            <w:tcW w:w="2235"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07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061"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22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07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3296" w:type="dxa"/>
            <w:gridSpan w:val="3"/>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07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14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70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widowControl/>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3296" w:type="dxa"/>
            <w:gridSpan w:val="3"/>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0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269.1</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269.1</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atLeast"/>
          <w:jc w:val="center"/>
        </w:trPr>
        <w:tc>
          <w:tcPr>
            <w:tcW w:w="1399"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val="en-US" w:eastAsia="zh-CN"/>
              </w:rPr>
              <w:t>2010303</w:t>
            </w:r>
          </w:p>
        </w:tc>
        <w:tc>
          <w:tcPr>
            <w:tcW w:w="1897" w:type="dxa"/>
            <w:tcBorders>
              <w:top w:val="nil"/>
              <w:left w:val="nil"/>
              <w:bottom w:val="single" w:color="auto" w:sz="4" w:space="0"/>
              <w:right w:val="single" w:color="auto" w:sz="4" w:space="0"/>
            </w:tcBorders>
            <w:shd w:val="clear" w:color="000000" w:fill="FFFFFF"/>
            <w:vAlign w:val="center"/>
          </w:tcPr>
          <w:p>
            <w:pPr>
              <w:widowControl/>
              <w:jc w:val="left"/>
              <w:rPr>
                <w:rFonts w:hint="eastAsia" w:eastAsia="宋体"/>
                <w:kern w:val="0"/>
                <w:sz w:val="24"/>
                <w:szCs w:val="24"/>
                <w:lang w:eastAsia="zh-CN"/>
              </w:rPr>
            </w:pPr>
            <w:r>
              <w:rPr>
                <w:rFonts w:hint="eastAsia"/>
                <w:kern w:val="0"/>
                <w:sz w:val="24"/>
                <w:szCs w:val="24"/>
                <w:lang w:eastAsia="zh-CN"/>
              </w:rPr>
              <w:t>行政机关事务</w:t>
            </w:r>
          </w:p>
        </w:tc>
        <w:tc>
          <w:tcPr>
            <w:tcW w:w="10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117.08</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117.08</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1399"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hint="eastAsia" w:eastAsia="宋体"/>
                <w:kern w:val="0"/>
                <w:sz w:val="24"/>
                <w:szCs w:val="24"/>
                <w:lang w:val="en-US" w:eastAsia="zh-CN"/>
              </w:rPr>
            </w:pPr>
          </w:p>
        </w:tc>
        <w:tc>
          <w:tcPr>
            <w:tcW w:w="1897"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eastAsia="zh-CN"/>
              </w:rPr>
              <w:t>机关服务</w:t>
            </w:r>
          </w:p>
        </w:tc>
        <w:tc>
          <w:tcPr>
            <w:tcW w:w="1073" w:type="dxa"/>
            <w:tcBorders>
              <w:top w:val="nil"/>
              <w:left w:val="nil"/>
              <w:bottom w:val="single" w:color="auto" w:sz="4" w:space="0"/>
              <w:right w:val="single" w:color="auto" w:sz="4" w:space="0"/>
            </w:tcBorders>
            <w:vAlign w:val="center"/>
          </w:tcPr>
          <w:p>
            <w:pPr>
              <w:widowControl/>
              <w:jc w:val="right"/>
              <w:rPr>
                <w:rFonts w:eastAsia="华文中宋"/>
                <w:kern w:val="0"/>
                <w:sz w:val="24"/>
                <w:szCs w:val="24"/>
              </w:rPr>
            </w:pPr>
            <w:r>
              <w:rPr>
                <w:rFonts w:hint="eastAsia" w:hAnsi="华文中宋" w:eastAsia="华文中宋"/>
                <w:kern w:val="0"/>
                <w:sz w:val="24"/>
                <w:szCs w:val="24"/>
                <w:lang w:val="en-US" w:eastAsia="zh-CN"/>
              </w:rPr>
              <w:t>152.02</w:t>
            </w:r>
            <w:r>
              <w:rPr>
                <w:rFonts w:hAnsi="华文中宋" w:eastAsia="华文中宋"/>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152.02</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99"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97"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0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99"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97"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0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99"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97"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0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99" w:type="dxa"/>
            <w:gridSpan w:val="2"/>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97" w:type="dxa"/>
            <w:tcBorders>
              <w:top w:val="nil"/>
              <w:left w:val="nil"/>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07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注：本表反映部门本年度取得的各项收入情况。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r>
        <w:rPr>
          <w:rFonts w:eastAsia="方正小标宋简体"/>
          <w:sz w:val="36"/>
          <w:szCs w:val="36"/>
        </w:rPr>
        <w:t>支出决算总表</w:t>
      </w:r>
    </w:p>
    <w:p>
      <w:pPr>
        <w:widowControl/>
        <w:adjustRightInd w:val="0"/>
        <w:snapToGrid w:val="0"/>
        <w:ind w:right="6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widowControl/>
        <w:tabs>
          <w:tab w:val="left" w:pos="14034"/>
        </w:tabs>
        <w:adjustRightInd w:val="0"/>
        <w:snapToGrid w:val="0"/>
        <w:ind w:right="395" w:firstLine="500" w:firstLineChars="250"/>
        <w:rPr>
          <w:rFonts w:eastAsia="宋体"/>
          <w:color w:val="000000"/>
          <w:kern w:val="0"/>
          <w:sz w:val="20"/>
          <w:szCs w:val="20"/>
        </w:rPr>
      </w:pPr>
      <w:r>
        <w:rPr>
          <w:rFonts w:hAnsi="宋体" w:eastAsia="宋体"/>
          <w:color w:val="000000"/>
          <w:kern w:val="0"/>
          <w:sz w:val="20"/>
          <w:szCs w:val="20"/>
        </w:rPr>
        <w:t>部门</w:t>
      </w:r>
      <w:r>
        <w:rPr>
          <w:rFonts w:hint="eastAsia" w:hAnsi="宋体"/>
          <w:color w:val="000000"/>
          <w:kern w:val="0"/>
          <w:sz w:val="20"/>
          <w:szCs w:val="20"/>
          <w:lang w:eastAsia="zh-CN"/>
        </w:rPr>
        <w:t>：</w:t>
      </w:r>
      <w:r>
        <w:rPr>
          <w:rFonts w:eastAsia="宋体"/>
          <w:color w:val="000000"/>
          <w:kern w:val="0"/>
          <w:sz w:val="20"/>
          <w:szCs w:val="20"/>
        </w:rPr>
        <w:t xml:space="preserve"> </w:t>
      </w:r>
      <w:r>
        <w:rPr>
          <w:rFonts w:hint="eastAsia"/>
          <w:color w:val="000000"/>
          <w:kern w:val="0"/>
          <w:sz w:val="20"/>
          <w:szCs w:val="20"/>
          <w:lang w:eastAsia="zh-CN"/>
        </w:rPr>
        <w:t>开发区社会事业局</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54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
        <w:gridCol w:w="375"/>
        <w:gridCol w:w="1785"/>
        <w:gridCol w:w="1545"/>
        <w:gridCol w:w="1814"/>
        <w:gridCol w:w="1625"/>
        <w:gridCol w:w="1917"/>
        <w:gridCol w:w="1529"/>
        <w:gridCol w:w="1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3119" w:type="dxa"/>
            <w:gridSpan w:val="3"/>
            <w:tcBorders>
              <w:top w:val="single" w:color="auto" w:sz="8" w:space="0"/>
              <w:left w:val="single" w:color="auto" w:sz="8" w:space="0"/>
              <w:bottom w:val="single" w:color="auto" w:sz="4" w:space="0"/>
              <w:right w:val="nil"/>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54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上缴上级支出</w:t>
            </w:r>
          </w:p>
        </w:tc>
        <w:tc>
          <w:tcPr>
            <w:tcW w:w="1529"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经营支出</w:t>
            </w:r>
          </w:p>
        </w:tc>
        <w:tc>
          <w:tcPr>
            <w:tcW w:w="1992"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34" w:type="dxa"/>
            <w:gridSpan w:val="2"/>
            <w:vMerge w:val="restart"/>
            <w:tcBorders>
              <w:top w:val="single" w:color="auto" w:sz="4" w:space="0"/>
              <w:left w:val="single" w:color="auto" w:sz="8" w:space="0"/>
              <w:bottom w:val="single" w:color="000000" w:sz="4" w:space="0"/>
              <w:right w:val="nil"/>
            </w:tcBorders>
            <w:shd w:val="clear" w:color="000000" w:fill="FFFFFF"/>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78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5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2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9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34" w:type="dxa"/>
            <w:gridSpan w:val="2"/>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785"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2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9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3119" w:type="dxa"/>
            <w:gridSpan w:val="3"/>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54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52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992"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3119" w:type="dxa"/>
            <w:gridSpan w:val="3"/>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545"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269.1</w:t>
            </w:r>
            <w:r>
              <w:rPr>
                <w:rFonts w:hAnsi="宋体" w:eastAsia="宋体"/>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269.1</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959"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val="en-US" w:eastAsia="zh-CN"/>
              </w:rPr>
              <w:t>2010303</w:t>
            </w:r>
          </w:p>
        </w:tc>
        <w:tc>
          <w:tcPr>
            <w:tcW w:w="2160" w:type="dxa"/>
            <w:gridSpan w:val="2"/>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kern w:val="0"/>
                <w:sz w:val="20"/>
                <w:szCs w:val="20"/>
                <w:lang w:eastAsia="zh-CN"/>
              </w:rPr>
              <w:t>行政机关服务</w:t>
            </w:r>
          </w:p>
        </w:tc>
        <w:tc>
          <w:tcPr>
            <w:tcW w:w="1545" w:type="dxa"/>
            <w:tcBorders>
              <w:top w:val="nil"/>
              <w:left w:val="nil"/>
              <w:bottom w:val="single" w:color="auto" w:sz="4" w:space="0"/>
              <w:right w:val="single" w:color="auto" w:sz="4" w:space="0"/>
            </w:tcBorders>
            <w:shd w:val="clear" w:color="000000" w:fill="FFFFFF"/>
            <w:textDirection w:val="lrTb"/>
            <w:vAlign w:val="center"/>
          </w:tcPr>
          <w:p>
            <w:pPr>
              <w:widowControl/>
              <w:jc w:val="right"/>
              <w:rPr>
                <w:rFonts w:eastAsia="宋体"/>
                <w:kern w:val="0"/>
                <w:sz w:val="24"/>
                <w:szCs w:val="24"/>
              </w:rPr>
            </w:pPr>
            <w:r>
              <w:rPr>
                <w:rFonts w:hint="eastAsia" w:hAnsi="宋体"/>
                <w:kern w:val="0"/>
                <w:sz w:val="24"/>
                <w:szCs w:val="24"/>
                <w:lang w:val="en-US" w:eastAsia="zh-CN"/>
              </w:rPr>
              <w:t>117.08</w:t>
            </w: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000000" w:fill="FFFFFF"/>
            <w:textDirection w:val="lrTb"/>
            <w:vAlign w:val="center"/>
          </w:tcPr>
          <w:p>
            <w:pPr>
              <w:widowControl/>
              <w:jc w:val="right"/>
              <w:rPr>
                <w:rFonts w:eastAsia="宋体"/>
                <w:kern w:val="0"/>
                <w:sz w:val="24"/>
                <w:szCs w:val="24"/>
              </w:rPr>
            </w:pPr>
            <w:r>
              <w:rPr>
                <w:rFonts w:hint="eastAsia" w:hAnsi="宋体"/>
                <w:kern w:val="0"/>
                <w:sz w:val="24"/>
                <w:szCs w:val="24"/>
                <w:lang w:val="en-US" w:eastAsia="zh-CN"/>
              </w:rPr>
              <w:t>117.08</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59"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int="eastAsia"/>
                <w:kern w:val="0"/>
                <w:sz w:val="24"/>
                <w:szCs w:val="24"/>
                <w:lang w:val="en-US" w:eastAsia="zh-CN"/>
              </w:rPr>
              <w:t>20103</w:t>
            </w:r>
          </w:p>
        </w:tc>
        <w:tc>
          <w:tcPr>
            <w:tcW w:w="2160" w:type="dxa"/>
            <w:gridSpan w:val="2"/>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行政事务</w:t>
            </w:r>
          </w:p>
        </w:tc>
        <w:tc>
          <w:tcPr>
            <w:tcW w:w="1545" w:type="dxa"/>
            <w:tcBorders>
              <w:top w:val="nil"/>
              <w:left w:val="nil"/>
              <w:bottom w:val="single" w:color="auto" w:sz="4" w:space="0"/>
              <w:right w:val="single" w:color="auto" w:sz="4" w:space="0"/>
            </w:tcBorders>
            <w:shd w:val="clear" w:color="000000" w:fill="FFFFFF"/>
            <w:textDirection w:val="lrTb"/>
            <w:vAlign w:val="center"/>
          </w:tcPr>
          <w:p>
            <w:pPr>
              <w:widowControl/>
              <w:jc w:val="right"/>
              <w:rPr>
                <w:rFonts w:eastAsia="宋体"/>
                <w:kern w:val="0"/>
                <w:sz w:val="24"/>
                <w:szCs w:val="24"/>
              </w:rPr>
            </w:pPr>
            <w:r>
              <w:rPr>
                <w:rFonts w:hint="eastAsia" w:hAnsi="华文中宋" w:eastAsia="华文中宋"/>
                <w:kern w:val="0"/>
                <w:sz w:val="24"/>
                <w:szCs w:val="24"/>
                <w:lang w:val="en-US" w:eastAsia="zh-CN"/>
              </w:rPr>
              <w:t>152.02</w:t>
            </w:r>
            <w:r>
              <w:rPr>
                <w:rFonts w:hAnsi="华文中宋" w:eastAsia="华文中宋"/>
                <w:kern w:val="0"/>
                <w:sz w:val="24"/>
                <w:szCs w:val="24"/>
              </w:rPr>
              <w:t>　</w:t>
            </w:r>
          </w:p>
        </w:tc>
        <w:tc>
          <w:tcPr>
            <w:tcW w:w="1814" w:type="dxa"/>
            <w:tcBorders>
              <w:top w:val="nil"/>
              <w:left w:val="nil"/>
              <w:bottom w:val="single" w:color="auto" w:sz="4" w:space="0"/>
              <w:right w:val="single" w:color="auto" w:sz="4" w:space="0"/>
            </w:tcBorders>
            <w:shd w:val="clear" w:color="000000" w:fill="FFFFFF"/>
            <w:textDirection w:val="lrTb"/>
            <w:vAlign w:val="center"/>
          </w:tcPr>
          <w:p>
            <w:pPr>
              <w:widowControl/>
              <w:jc w:val="right"/>
              <w:rPr>
                <w:rFonts w:eastAsia="宋体"/>
                <w:kern w:val="0"/>
                <w:sz w:val="24"/>
                <w:szCs w:val="24"/>
              </w:rPr>
            </w:pPr>
            <w:r>
              <w:rPr>
                <w:rFonts w:hint="eastAsia" w:hAnsi="华文中宋" w:eastAsia="华文中宋"/>
                <w:kern w:val="0"/>
                <w:sz w:val="24"/>
                <w:szCs w:val="24"/>
                <w:lang w:val="en-US" w:eastAsia="zh-CN"/>
              </w:rPr>
              <w:t>152.02</w:t>
            </w:r>
            <w:r>
              <w:rPr>
                <w:rFonts w:hAnsi="华文中宋" w:eastAsia="华文中宋"/>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59"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160"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5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59"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160"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5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59"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160"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5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59" w:type="dxa"/>
            <w:tcBorders>
              <w:top w:val="single" w:color="auto" w:sz="4" w:space="0"/>
              <w:left w:val="single" w:color="auto" w:sz="8" w:space="0"/>
              <w:bottom w:val="single" w:color="auto" w:sz="8"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160" w:type="dxa"/>
            <w:gridSpan w:val="2"/>
            <w:tcBorders>
              <w:top w:val="nil"/>
              <w:left w:val="single" w:color="auto" w:sz="4"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54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600" w:firstLineChars="300"/>
        <w:rPr>
          <w:sz w:val="20"/>
          <w:szCs w:val="20"/>
        </w:rPr>
      </w:pPr>
      <w:r>
        <w:rPr>
          <w:sz w:val="20"/>
          <w:szCs w:val="20"/>
        </w:rPr>
        <w:t>注：本表反映部门本年度取得的各项支出情况。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pPr>
        <w:widowControl/>
        <w:adjustRightInd w:val="0"/>
        <w:snapToGrid w:val="0"/>
        <w:ind w:right="83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hint="eastAsia"/>
          <w:color w:val="000000"/>
          <w:kern w:val="0"/>
          <w:sz w:val="20"/>
          <w:szCs w:val="20"/>
          <w:lang w:eastAsia="zh-CN"/>
        </w:rPr>
        <w:t>开发区</w:t>
      </w:r>
      <w:r>
        <w:rPr>
          <w:rFonts w:eastAsia="宋体"/>
          <w:color w:val="000000"/>
          <w:kern w:val="0"/>
          <w:sz w:val="22"/>
        </w:rPr>
        <w:t xml:space="preserve"> </w:t>
      </w:r>
      <w:r>
        <w:rPr>
          <w:rFonts w:hint="eastAsia"/>
          <w:color w:val="000000"/>
          <w:kern w:val="0"/>
          <w:sz w:val="20"/>
          <w:szCs w:val="20"/>
          <w:lang w:eastAsia="zh-CN"/>
        </w:rPr>
        <w:t>社会事业局</w:t>
      </w:r>
      <w:r>
        <w:rPr>
          <w:rFonts w:eastAsia="宋体"/>
          <w:color w:val="000000"/>
          <w:kern w:val="0"/>
          <w:sz w:val="20"/>
          <w:szCs w:val="20"/>
        </w:rPr>
        <w:t xml:space="preserve"> </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84"/>
        <w:gridCol w:w="709"/>
        <w:gridCol w:w="851"/>
        <w:gridCol w:w="2409"/>
        <w:gridCol w:w="993"/>
        <w:gridCol w:w="992"/>
        <w:gridCol w:w="1559"/>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269.1</w:t>
            </w: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kern w:val="0"/>
                <w:sz w:val="22"/>
                <w:lang w:val="en-US" w:eastAsia="zh-CN"/>
              </w:rPr>
              <w:t>269.1</w:t>
            </w: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16</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3</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17</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4</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18</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19</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6</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20</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7</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eastAsia="宋体"/>
                <w:kern w:val="0"/>
                <w:sz w:val="24"/>
                <w:szCs w:val="24"/>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21</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8</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22</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9</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269.1</w:t>
            </w: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23</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r>
              <w:rPr>
                <w:rFonts w:hint="eastAsia" w:hAnsi="宋体"/>
                <w:kern w:val="0"/>
                <w:sz w:val="22"/>
                <w:lang w:val="en-US" w:eastAsia="zh-CN"/>
              </w:rPr>
              <w:t>269.1</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24</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nil"/>
              <w:right w:val="nil"/>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12</w:t>
            </w:r>
          </w:p>
        </w:tc>
        <w:tc>
          <w:tcPr>
            <w:tcW w:w="851" w:type="dxa"/>
            <w:tcBorders>
              <w:top w:val="nil"/>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26</w:t>
            </w:r>
          </w:p>
        </w:tc>
        <w:tc>
          <w:tcPr>
            <w:tcW w:w="992" w:type="dxa"/>
            <w:tcBorders>
              <w:top w:val="nil"/>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single" w:color="auto" w:sz="4" w:space="0"/>
              <w:left w:val="single" w:color="auto" w:sz="8" w:space="0"/>
              <w:bottom w:val="nil"/>
              <w:right w:val="nil"/>
            </w:tcBorders>
            <w:shd w:val="clear" w:color="auto" w:fill="auto"/>
            <w:vAlign w:val="center"/>
          </w:tcPr>
          <w:p>
            <w:pPr>
              <w:widowControl/>
              <w:jc w:val="center"/>
              <w:rPr>
                <w:rFonts w:eastAsia="宋体"/>
                <w:kern w:val="0"/>
                <w:sz w:val="22"/>
              </w:rPr>
            </w:pPr>
            <w:r>
              <w:rPr>
                <w:rFonts w:hAnsi="宋体" w:eastAsia="宋体"/>
                <w:kern w:val="0"/>
                <w:sz w:val="22"/>
              </w:rPr>
              <w:t>　</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13</w:t>
            </w:r>
          </w:p>
        </w:tc>
        <w:tc>
          <w:tcPr>
            <w:tcW w:w="851" w:type="dxa"/>
            <w:tcBorders>
              <w:top w:val="single" w:color="auto" w:sz="4" w:space="0"/>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27</w:t>
            </w:r>
          </w:p>
        </w:tc>
        <w:tc>
          <w:tcPr>
            <w:tcW w:w="992" w:type="dxa"/>
            <w:tcBorders>
              <w:top w:val="single" w:color="auto" w:sz="4" w:space="0"/>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14</w:t>
            </w:r>
          </w:p>
        </w:tc>
        <w:tc>
          <w:tcPr>
            <w:tcW w:w="851"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269.1</w:t>
            </w:r>
            <w:r>
              <w:rPr>
                <w:rFonts w:hAnsi="宋体" w:eastAsia="宋体"/>
                <w:kern w:val="0"/>
                <w:sz w:val="22"/>
              </w:rPr>
              <w:t>　</w:t>
            </w:r>
          </w:p>
        </w:tc>
        <w:tc>
          <w:tcPr>
            <w:tcW w:w="2409" w:type="dxa"/>
            <w:tcBorders>
              <w:top w:val="single" w:color="auto" w:sz="4" w:space="0"/>
              <w:left w:val="nil"/>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28</w:t>
            </w:r>
          </w:p>
        </w:tc>
        <w:tc>
          <w:tcPr>
            <w:tcW w:w="992" w:type="dxa"/>
            <w:tcBorders>
              <w:top w:val="single" w:color="auto" w:sz="4" w:space="0"/>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r>
              <w:rPr>
                <w:rFonts w:hint="eastAsia" w:hAnsi="宋体"/>
                <w:kern w:val="0"/>
                <w:sz w:val="22"/>
                <w:lang w:val="en-US" w:eastAsia="zh-CN"/>
              </w:rPr>
              <w:t>269.1</w:t>
            </w:r>
          </w:p>
        </w:tc>
        <w:tc>
          <w:tcPr>
            <w:tcW w:w="1559" w:type="dxa"/>
            <w:tcBorders>
              <w:top w:val="nil"/>
              <w:left w:val="single" w:color="auto" w:sz="4" w:space="0"/>
              <w:bottom w:val="single" w:color="auto" w:sz="8"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single" w:color="auto" w:sz="8"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bl>
    <w:p>
      <w:pPr>
        <w:adjustRightInd w:val="0"/>
        <w:snapToGrid w:val="0"/>
        <w:ind w:firstLine="700" w:firstLineChars="350"/>
        <w:rPr>
          <w:sz w:val="20"/>
          <w:szCs w:val="20"/>
        </w:rPr>
      </w:pPr>
      <w:r>
        <w:rPr>
          <w:sz w:val="20"/>
          <w:szCs w:val="20"/>
        </w:rPr>
        <w:t>注：本表反映部门本年度一般公共预算财政拨款和政府性基金预算财政拨款的总收支和年末结转结余情况。</w:t>
      </w:r>
    </w:p>
    <w:p>
      <w:pPr>
        <w:widowControl/>
        <w:adjustRightInd w:val="0"/>
        <w:snapToGrid w:val="0"/>
        <w:ind w:right="100"/>
        <w:jc w:val="center"/>
        <w:rPr>
          <w:rFonts w:eastAsia="方正小标宋简体"/>
          <w:sz w:val="36"/>
          <w:szCs w:val="36"/>
        </w:rPr>
      </w:pPr>
    </w:p>
    <w:p>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pPr>
        <w:widowControl/>
        <w:adjustRightInd w:val="0"/>
        <w:snapToGrid w:val="0"/>
        <w:ind w:right="72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widowControl/>
        <w:adjustRightInd w:val="0"/>
        <w:snapToGrid w:val="0"/>
        <w:ind w:firstLine="700" w:firstLineChars="35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int="eastAsia"/>
          <w:color w:val="000000"/>
          <w:kern w:val="0"/>
          <w:sz w:val="20"/>
          <w:szCs w:val="20"/>
          <w:lang w:eastAsia="zh-CN"/>
        </w:rPr>
        <w:t>开发区社会事业局</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pPr w:leftFromText="180" w:rightFromText="180" w:vertAnchor="text" w:horzAnchor="page" w:tblpX="1091" w:tblpY="263"/>
        <w:tblOverlap w:val="never"/>
        <w:tblW w:w="158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0"/>
        <w:gridCol w:w="2771"/>
        <w:gridCol w:w="2389"/>
        <w:gridCol w:w="3920"/>
        <w:gridCol w:w="2998"/>
        <w:gridCol w:w="2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39" w:type="dxa"/>
          <w:trHeight w:val="405" w:hRule="atLeast"/>
        </w:trPr>
        <w:tc>
          <w:tcPr>
            <w:tcW w:w="3891"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389"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39" w:type="dxa"/>
          <w:trHeight w:val="495" w:hRule="atLeast"/>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2771"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2389"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39" w:type="dxa"/>
          <w:trHeight w:val="360" w:hRule="atLeast"/>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2771"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389"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39" w:type="dxa"/>
          <w:trHeight w:val="450" w:hRule="atLeast"/>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2771"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389"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39" w:type="dxa"/>
          <w:trHeight w:val="450" w:hRule="atLeast"/>
        </w:trPr>
        <w:tc>
          <w:tcPr>
            <w:tcW w:w="3891"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2389"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639" w:type="dxa"/>
          <w:trHeight w:val="450" w:hRule="atLeast"/>
        </w:trPr>
        <w:tc>
          <w:tcPr>
            <w:tcW w:w="3891"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2389"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269.1</w:t>
            </w:r>
            <w:r>
              <w:rPr>
                <w:rFonts w:hAnsi="宋体" w:eastAsia="宋体"/>
                <w:kern w:val="0"/>
                <w:sz w:val="24"/>
                <w:szCs w:val="24"/>
              </w:rPr>
              <w:t>　</w:t>
            </w:r>
          </w:p>
        </w:tc>
        <w:tc>
          <w:tcPr>
            <w:tcW w:w="3920"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269.1</w:t>
            </w: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val="en-US" w:eastAsia="zh-CN"/>
              </w:rPr>
              <w:t>2010303</w:t>
            </w:r>
          </w:p>
        </w:tc>
        <w:tc>
          <w:tcPr>
            <w:tcW w:w="2771"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hint="eastAsia" w:eastAsia="宋体"/>
                <w:kern w:val="0"/>
                <w:sz w:val="20"/>
                <w:szCs w:val="20"/>
                <w:lang w:eastAsia="zh-CN"/>
              </w:rPr>
            </w:pPr>
            <w:r>
              <w:rPr>
                <w:rFonts w:hint="eastAsia"/>
                <w:kern w:val="0"/>
                <w:sz w:val="20"/>
                <w:szCs w:val="20"/>
                <w:lang w:eastAsia="zh-CN"/>
              </w:rPr>
              <w:t>行政机关服务</w:t>
            </w:r>
          </w:p>
        </w:tc>
        <w:tc>
          <w:tcPr>
            <w:tcW w:w="2389" w:type="dxa"/>
            <w:tcBorders>
              <w:top w:val="nil"/>
              <w:left w:val="nil"/>
              <w:bottom w:val="single" w:color="auto" w:sz="4" w:space="0"/>
              <w:right w:val="single" w:color="auto" w:sz="4" w:space="0"/>
            </w:tcBorders>
            <w:shd w:val="clear" w:color="000000" w:fill="FFFFFF"/>
            <w:textDirection w:val="lrTb"/>
            <w:vAlign w:val="center"/>
          </w:tcPr>
          <w:p>
            <w:pPr>
              <w:widowControl/>
              <w:jc w:val="right"/>
              <w:rPr>
                <w:rFonts w:eastAsia="宋体"/>
                <w:kern w:val="0"/>
                <w:sz w:val="24"/>
                <w:szCs w:val="24"/>
              </w:rPr>
            </w:pPr>
            <w:r>
              <w:rPr>
                <w:rFonts w:hint="eastAsia" w:hAnsi="宋体"/>
                <w:kern w:val="0"/>
                <w:sz w:val="24"/>
                <w:szCs w:val="24"/>
                <w:lang w:val="en-US" w:eastAsia="zh-CN"/>
              </w:rPr>
              <w:t>117.08</w:t>
            </w: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000000" w:fill="FFFFFF"/>
            <w:textDirection w:val="lrTb"/>
            <w:vAlign w:val="center"/>
          </w:tcPr>
          <w:p>
            <w:pPr>
              <w:widowControl/>
              <w:jc w:val="right"/>
              <w:rPr>
                <w:rFonts w:eastAsia="宋体"/>
                <w:kern w:val="0"/>
                <w:sz w:val="24"/>
                <w:szCs w:val="24"/>
              </w:rPr>
            </w:pPr>
            <w:r>
              <w:rPr>
                <w:rFonts w:hint="eastAsia" w:hAnsi="宋体"/>
                <w:kern w:val="0"/>
                <w:sz w:val="24"/>
                <w:szCs w:val="24"/>
                <w:lang w:val="en-US" w:eastAsia="zh-CN"/>
              </w:rPr>
              <w:t>117.08</w:t>
            </w:r>
            <w:r>
              <w:rPr>
                <w:rFonts w:hAnsi="宋体" w:eastAsia="宋体"/>
                <w:kern w:val="0"/>
                <w:sz w:val="24"/>
                <w:szCs w:val="24"/>
              </w:rPr>
              <w:t>　</w:t>
            </w:r>
          </w:p>
        </w:tc>
        <w:tc>
          <w:tcPr>
            <w:tcW w:w="2998" w:type="dxa"/>
            <w:tcBorders>
              <w:top w:val="nil"/>
              <w:left w:val="nil"/>
              <w:bottom w:val="single" w:color="auto" w:sz="4" w:space="0"/>
              <w:right w:val="single" w:color="auto" w:sz="8" w:space="0"/>
            </w:tcBorders>
            <w:textDirection w:val="lrTb"/>
            <w:vAlign w:val="center"/>
          </w:tcPr>
          <w:p>
            <w:pPr>
              <w:widowControl/>
              <w:jc w:val="right"/>
              <w:rPr>
                <w:rFonts w:eastAsia="宋体"/>
                <w:kern w:val="0"/>
                <w:sz w:val="24"/>
                <w:szCs w:val="24"/>
              </w:rPr>
            </w:pPr>
          </w:p>
        </w:tc>
        <w:tc>
          <w:tcPr>
            <w:tcW w:w="2639" w:type="dxa"/>
            <w:textDirection w:val="lrTb"/>
            <w:vAlign w:val="center"/>
          </w:tcPr>
          <w:p>
            <w:pPr>
              <w:widowControl/>
              <w:jc w:val="right"/>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hint="eastAsia" w:eastAsia="宋体"/>
                <w:kern w:val="0"/>
                <w:sz w:val="24"/>
                <w:szCs w:val="24"/>
                <w:lang w:val="en-US" w:eastAsia="zh-CN"/>
              </w:rPr>
            </w:pPr>
            <w:r>
              <w:rPr>
                <w:rFonts w:hint="eastAsia"/>
                <w:kern w:val="0"/>
                <w:sz w:val="24"/>
                <w:szCs w:val="24"/>
                <w:lang w:val="en-US" w:eastAsia="zh-CN"/>
              </w:rPr>
              <w:t>20103</w:t>
            </w:r>
          </w:p>
        </w:tc>
        <w:tc>
          <w:tcPr>
            <w:tcW w:w="2771"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行政事务</w:t>
            </w:r>
          </w:p>
        </w:tc>
        <w:tc>
          <w:tcPr>
            <w:tcW w:w="2389" w:type="dxa"/>
            <w:tcBorders>
              <w:top w:val="nil"/>
              <w:left w:val="nil"/>
              <w:bottom w:val="single" w:color="auto" w:sz="4" w:space="0"/>
              <w:right w:val="single" w:color="auto" w:sz="4" w:space="0"/>
            </w:tcBorders>
            <w:shd w:val="clear" w:color="000000" w:fill="FFFFFF"/>
            <w:textDirection w:val="lrTb"/>
            <w:vAlign w:val="center"/>
          </w:tcPr>
          <w:p>
            <w:pPr>
              <w:widowControl/>
              <w:jc w:val="right"/>
              <w:rPr>
                <w:rFonts w:eastAsia="宋体"/>
                <w:kern w:val="0"/>
                <w:sz w:val="24"/>
                <w:szCs w:val="24"/>
              </w:rPr>
            </w:pPr>
            <w:r>
              <w:rPr>
                <w:rFonts w:hint="eastAsia" w:hAnsi="华文中宋" w:eastAsia="华文中宋"/>
                <w:kern w:val="0"/>
                <w:sz w:val="24"/>
                <w:szCs w:val="24"/>
                <w:lang w:val="en-US" w:eastAsia="zh-CN"/>
              </w:rPr>
              <w:t>152.02</w:t>
            </w:r>
            <w:r>
              <w:rPr>
                <w:rFonts w:hAnsi="华文中宋" w:eastAsia="华文中宋"/>
                <w:kern w:val="0"/>
                <w:sz w:val="24"/>
                <w:szCs w:val="24"/>
              </w:rPr>
              <w:t>　</w:t>
            </w:r>
          </w:p>
        </w:tc>
        <w:tc>
          <w:tcPr>
            <w:tcW w:w="3920" w:type="dxa"/>
            <w:tcBorders>
              <w:top w:val="nil"/>
              <w:left w:val="nil"/>
              <w:bottom w:val="single" w:color="auto" w:sz="4" w:space="0"/>
              <w:right w:val="single" w:color="auto" w:sz="4" w:space="0"/>
            </w:tcBorders>
            <w:shd w:val="clear" w:color="000000" w:fill="FFFFFF"/>
            <w:textDirection w:val="lrTb"/>
            <w:vAlign w:val="center"/>
          </w:tcPr>
          <w:p>
            <w:pPr>
              <w:widowControl/>
              <w:jc w:val="right"/>
              <w:rPr>
                <w:rFonts w:eastAsia="宋体"/>
                <w:kern w:val="0"/>
                <w:sz w:val="24"/>
                <w:szCs w:val="24"/>
              </w:rPr>
            </w:pPr>
            <w:r>
              <w:rPr>
                <w:rFonts w:hint="eastAsia" w:hAnsi="华文中宋" w:eastAsia="华文中宋"/>
                <w:kern w:val="0"/>
                <w:sz w:val="24"/>
                <w:szCs w:val="24"/>
                <w:lang w:val="en-US" w:eastAsia="zh-CN"/>
              </w:rPr>
              <w:t>152.02</w:t>
            </w:r>
            <w:r>
              <w:rPr>
                <w:rFonts w:hAnsi="华文中宋" w:eastAsia="华文中宋"/>
                <w:kern w:val="0"/>
                <w:sz w:val="24"/>
                <w:szCs w:val="24"/>
              </w:rPr>
              <w:t>　</w:t>
            </w:r>
          </w:p>
        </w:tc>
        <w:tc>
          <w:tcPr>
            <w:tcW w:w="2998" w:type="dxa"/>
            <w:tcBorders>
              <w:top w:val="nil"/>
              <w:left w:val="nil"/>
              <w:bottom w:val="single" w:color="auto" w:sz="4" w:space="0"/>
              <w:right w:val="single" w:color="auto" w:sz="8" w:space="0"/>
            </w:tcBorders>
            <w:textDirection w:val="lrTb"/>
            <w:vAlign w:val="center"/>
          </w:tcPr>
          <w:p>
            <w:pPr>
              <w:widowControl/>
              <w:jc w:val="right"/>
              <w:rPr>
                <w:rFonts w:eastAsia="宋体"/>
                <w:kern w:val="0"/>
                <w:sz w:val="24"/>
                <w:szCs w:val="24"/>
              </w:rPr>
            </w:pPr>
          </w:p>
        </w:tc>
        <w:tc>
          <w:tcPr>
            <w:tcW w:w="2639" w:type="dxa"/>
            <w:textDirection w:val="lrTb"/>
            <w:vAlign w:val="center"/>
          </w:tcPr>
          <w:p>
            <w:pPr>
              <w:widowControl/>
              <w:jc w:val="right"/>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39" w:type="dxa"/>
          <w:trHeight w:val="450" w:hRule="atLeast"/>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2771"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389"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39" w:type="dxa"/>
          <w:trHeight w:val="450" w:hRule="atLeast"/>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2771"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389"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39" w:type="dxa"/>
          <w:trHeight w:val="450" w:hRule="atLeast"/>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2771"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389"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639" w:type="dxa"/>
          <w:trHeight w:val="450" w:hRule="atLeast"/>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2771"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389"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39" w:type="dxa"/>
          <w:trHeight w:val="450" w:hRule="atLeast"/>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hAnsi="宋体" w:eastAsia="宋体"/>
                <w:kern w:val="0"/>
                <w:sz w:val="24"/>
                <w:szCs w:val="24"/>
              </w:rPr>
            </w:pPr>
          </w:p>
        </w:tc>
        <w:tc>
          <w:tcPr>
            <w:tcW w:w="2771" w:type="dxa"/>
            <w:tcBorders>
              <w:top w:val="nil"/>
              <w:left w:val="nil"/>
              <w:bottom w:val="single" w:color="auto" w:sz="8" w:space="0"/>
              <w:right w:val="single" w:color="auto" w:sz="4" w:space="0"/>
            </w:tcBorders>
            <w:vAlign w:val="center"/>
          </w:tcPr>
          <w:p>
            <w:pPr>
              <w:widowControl/>
              <w:jc w:val="left"/>
              <w:rPr>
                <w:rFonts w:hAnsi="宋体" w:eastAsia="宋体"/>
                <w:kern w:val="0"/>
                <w:sz w:val="24"/>
                <w:szCs w:val="24"/>
              </w:rPr>
            </w:pPr>
          </w:p>
        </w:tc>
        <w:tc>
          <w:tcPr>
            <w:tcW w:w="2389" w:type="dxa"/>
            <w:tcBorders>
              <w:top w:val="nil"/>
              <w:left w:val="nil"/>
              <w:bottom w:val="single" w:color="auto" w:sz="8" w:space="0"/>
              <w:right w:val="single" w:color="auto" w:sz="4" w:space="0"/>
            </w:tcBorders>
            <w:vAlign w:val="center"/>
          </w:tcPr>
          <w:p>
            <w:pPr>
              <w:widowControl/>
              <w:jc w:val="left"/>
              <w:rPr>
                <w:rFonts w:hAnsi="宋体" w:eastAsia="宋体"/>
                <w:kern w:val="0"/>
                <w:sz w:val="24"/>
                <w:szCs w:val="24"/>
              </w:rPr>
            </w:pPr>
          </w:p>
        </w:tc>
        <w:tc>
          <w:tcPr>
            <w:tcW w:w="3920" w:type="dxa"/>
            <w:tcBorders>
              <w:top w:val="nil"/>
              <w:left w:val="nil"/>
              <w:bottom w:val="single" w:color="auto" w:sz="8" w:space="0"/>
              <w:right w:val="single" w:color="auto" w:sz="4" w:space="0"/>
            </w:tcBorders>
            <w:vAlign w:val="center"/>
          </w:tcPr>
          <w:p>
            <w:pPr>
              <w:widowControl/>
              <w:jc w:val="left"/>
              <w:rPr>
                <w:rFonts w:hAnsi="宋体" w:eastAsia="宋体"/>
                <w:kern w:val="0"/>
                <w:sz w:val="24"/>
                <w:szCs w:val="24"/>
              </w:rPr>
            </w:pPr>
          </w:p>
        </w:tc>
        <w:tc>
          <w:tcPr>
            <w:tcW w:w="2998" w:type="dxa"/>
            <w:tcBorders>
              <w:top w:val="nil"/>
              <w:left w:val="nil"/>
              <w:bottom w:val="single" w:color="auto" w:sz="8" w:space="0"/>
              <w:right w:val="single" w:color="auto" w:sz="8" w:space="0"/>
            </w:tcBorders>
            <w:vAlign w:val="center"/>
          </w:tcPr>
          <w:p>
            <w:pPr>
              <w:widowControl/>
              <w:jc w:val="left"/>
              <w:rPr>
                <w:rFonts w:hAnsi="宋体" w:eastAsia="宋体"/>
                <w:kern w:val="0"/>
                <w:sz w:val="24"/>
                <w:szCs w:val="24"/>
              </w:rPr>
            </w:pPr>
          </w:p>
        </w:tc>
      </w:tr>
    </w:tbl>
    <w:p>
      <w:pPr>
        <w:adjustRightInd w:val="0"/>
        <w:snapToGrid w:val="0"/>
        <w:ind w:firstLine="700" w:firstLineChars="350"/>
        <w:rPr>
          <w:sz w:val="20"/>
          <w:szCs w:val="20"/>
        </w:rPr>
      </w:pPr>
      <w:r>
        <w:rPr>
          <w:sz w:val="20"/>
          <w:szCs w:val="20"/>
        </w:rPr>
        <w:t>注：本表反映部门本年度一般公共预算财政拨款实际支出情况。</w:t>
      </w:r>
    </w:p>
    <w:p>
      <w:pPr>
        <w:spacing w:line="580" w:lineRule="exact"/>
        <w:ind w:firstLine="640"/>
        <w:rPr>
          <w:szCs w:val="32"/>
        </w:rPr>
      </w:pPr>
    </w:p>
    <w:p>
      <w:pPr>
        <w:spacing w:line="580" w:lineRule="exact"/>
        <w:ind w:firstLine="640"/>
        <w:rPr>
          <w:szCs w:val="32"/>
        </w:rPr>
      </w:pPr>
    </w:p>
    <w:p>
      <w:pPr>
        <w:spacing w:line="580" w:lineRule="exact"/>
        <w:ind w:firstLine="720"/>
        <w:rPr>
          <w:rFonts w:eastAsia="方正小标宋简体"/>
          <w:sz w:val="36"/>
          <w:szCs w:val="36"/>
        </w:rPr>
      </w:pPr>
    </w:p>
    <w:p>
      <w:pPr>
        <w:spacing w:line="580" w:lineRule="exact"/>
        <w:ind w:firstLine="720"/>
        <w:jc w:val="center"/>
        <w:rPr>
          <w:rFonts w:eastAsia="方正小标宋简体"/>
          <w:sz w:val="36"/>
          <w:szCs w:val="36"/>
        </w:rPr>
      </w:pPr>
    </w:p>
    <w:p>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widowControl/>
        <w:adjustRightInd w:val="0"/>
        <w:snapToGrid w:val="0"/>
        <w:ind w:firstLine="748" w:firstLineChars="34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int="eastAsia"/>
          <w:color w:val="000000"/>
          <w:kern w:val="0"/>
          <w:sz w:val="22"/>
          <w:lang w:eastAsia="zh-CN"/>
        </w:rPr>
        <w:t>开发区社会事业局</w:t>
      </w:r>
      <w:r>
        <w:rPr>
          <w:rFonts w:eastAsia="宋体"/>
          <w:color w:val="000000"/>
          <w:kern w:val="0"/>
          <w:sz w:val="22"/>
        </w:rPr>
        <w:t xml:space="preserve">                                                                                          </w:t>
      </w:r>
      <w:r>
        <w:rPr>
          <w:rFonts w:hAnsi="宋体" w:eastAsia="宋体"/>
          <w:color w:val="000000"/>
          <w:kern w:val="0"/>
          <w:sz w:val="22"/>
        </w:rPr>
        <w:t>单位：万元</w:t>
      </w:r>
    </w:p>
    <w:tbl>
      <w:tblPr>
        <w:tblStyle w:val="22"/>
        <w:tblW w:w="14686"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3"/>
        <w:gridCol w:w="1100"/>
        <w:gridCol w:w="3030"/>
        <w:gridCol w:w="3358"/>
        <w:gridCol w:w="3109"/>
        <w:gridCol w:w="3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2083"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03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358"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人员经费</w:t>
            </w:r>
          </w:p>
        </w:tc>
        <w:tc>
          <w:tcPr>
            <w:tcW w:w="3109"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公用经费</w:t>
            </w:r>
          </w:p>
        </w:tc>
        <w:tc>
          <w:tcPr>
            <w:tcW w:w="3106" w:type="dxa"/>
            <w:vMerge w:val="restart"/>
            <w:tcBorders>
              <w:top w:val="single" w:color="auto" w:sz="4" w:space="0"/>
              <w:left w:val="single" w:color="auto" w:sz="4" w:space="0"/>
              <w:right w:val="single" w:color="auto" w:sz="4" w:space="0"/>
            </w:tcBorders>
            <w:textDirection w:val="lrTb"/>
            <w:vAlign w:val="center"/>
          </w:tcPr>
          <w:p>
            <w:pPr>
              <w:rPr>
                <w:rFonts w:hint="eastAsia" w:eastAsia="宋体"/>
                <w:lang w:eastAsia="zh-CN"/>
              </w:rPr>
            </w:pPr>
            <w:r>
              <w:rPr>
                <w:rFonts w:hint="eastAsia"/>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经济分类科目编码</w:t>
            </w:r>
          </w:p>
        </w:tc>
        <w:tc>
          <w:tcPr>
            <w:tcW w:w="1100"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03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35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109"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c>
          <w:tcPr>
            <w:tcW w:w="3106" w:type="dxa"/>
            <w:vMerge w:val="continue"/>
            <w:tcBorders>
              <w:left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083"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03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358"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3109"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c>
          <w:tcPr>
            <w:tcW w:w="3106" w:type="dxa"/>
            <w:tcBorders>
              <w:top w:val="single" w:color="auto" w:sz="4" w:space="0"/>
              <w:left w:val="nil"/>
              <w:bottom w:val="single" w:color="auto" w:sz="4" w:space="0"/>
              <w:right w:val="single" w:color="auto" w:sz="8" w:space="0"/>
            </w:tcBorders>
            <w:vAlign w:val="center"/>
          </w:tcPr>
          <w:p>
            <w:pPr>
              <w:widowControl/>
              <w:jc w:val="center"/>
              <w:rPr>
                <w:rFonts w:hint="eastAsia" w:eastAsia="宋体"/>
                <w:kern w:val="0"/>
                <w:sz w:val="24"/>
                <w:szCs w:val="24"/>
                <w:lang w:val="en-US" w:eastAsia="zh-CN"/>
              </w:rPr>
            </w:pPr>
            <w:r>
              <w:rPr>
                <w:rFonts w:hint="eastAsia"/>
                <w:kern w:val="0"/>
                <w:sz w:val="24"/>
                <w:szCs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083"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3030" w:type="dxa"/>
            <w:tcBorders>
              <w:top w:val="nil"/>
              <w:left w:val="nil"/>
              <w:bottom w:val="single" w:color="auto" w:sz="4" w:space="0"/>
              <w:right w:val="single" w:color="auto" w:sz="4" w:space="0"/>
            </w:tcBorders>
            <w:vAlign w:val="center"/>
          </w:tcPr>
          <w:p>
            <w:pPr>
              <w:widowControl/>
              <w:jc w:val="center"/>
              <w:rPr>
                <w:rFonts w:hint="eastAsia" w:eastAsia="宋体"/>
                <w:kern w:val="0"/>
                <w:sz w:val="24"/>
                <w:szCs w:val="24"/>
                <w:lang w:eastAsia="zh-CN"/>
              </w:rPr>
            </w:pPr>
            <w:r>
              <w:rPr>
                <w:rFonts w:hint="eastAsia" w:hAnsi="宋体"/>
                <w:kern w:val="0"/>
                <w:sz w:val="24"/>
                <w:szCs w:val="24"/>
                <w:lang w:val="en-US" w:eastAsia="zh-CN"/>
              </w:rPr>
              <w:t>269.1</w:t>
            </w:r>
          </w:p>
        </w:tc>
        <w:tc>
          <w:tcPr>
            <w:tcW w:w="3358"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106.28</w:t>
            </w:r>
          </w:p>
        </w:tc>
        <w:tc>
          <w:tcPr>
            <w:tcW w:w="3109"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int="eastAsia" w:hAnsi="宋体"/>
                <w:kern w:val="0"/>
                <w:sz w:val="24"/>
                <w:szCs w:val="24"/>
                <w:lang w:val="en-US" w:eastAsia="zh-CN"/>
              </w:rPr>
              <w:t>10.8</w:t>
            </w:r>
          </w:p>
        </w:tc>
        <w:tc>
          <w:tcPr>
            <w:tcW w:w="3106" w:type="dxa"/>
            <w:tcBorders>
              <w:top w:val="nil"/>
              <w:left w:val="nil"/>
              <w:bottom w:val="single" w:color="auto" w:sz="4" w:space="0"/>
              <w:right w:val="single" w:color="auto" w:sz="8" w:space="0"/>
            </w:tcBorders>
            <w:vAlign w:val="center"/>
          </w:tcPr>
          <w:p>
            <w:pPr>
              <w:widowControl/>
              <w:jc w:val="center"/>
              <w:rPr>
                <w:rFonts w:hint="eastAsia" w:hAnsi="宋体" w:eastAsia="宋体"/>
                <w:kern w:val="0"/>
                <w:sz w:val="24"/>
                <w:szCs w:val="24"/>
                <w:lang w:val="en-US" w:eastAsia="zh-CN"/>
              </w:rPr>
            </w:pPr>
            <w:r>
              <w:rPr>
                <w:rFonts w:hint="eastAsia" w:hAnsi="宋体"/>
                <w:kern w:val="0"/>
                <w:sz w:val="24"/>
                <w:szCs w:val="24"/>
                <w:lang w:val="en-US" w:eastAsia="zh-CN"/>
              </w:rPr>
              <w:t>152.02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03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358"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109"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c>
          <w:tcPr>
            <w:tcW w:w="3106" w:type="dxa"/>
            <w:tcBorders>
              <w:top w:val="nil"/>
              <w:left w:val="nil"/>
              <w:bottom w:val="single" w:color="auto" w:sz="4" w:space="0"/>
              <w:right w:val="single" w:color="auto" w:sz="8" w:space="0"/>
            </w:tcBorders>
            <w:vAlign w:val="center"/>
          </w:tcPr>
          <w:p>
            <w:pPr>
              <w:widowControl/>
              <w:jc w:val="left"/>
              <w:rPr>
                <w:rFonts w:hAnsi="宋体"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03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358"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109"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c>
          <w:tcPr>
            <w:tcW w:w="3106" w:type="dxa"/>
            <w:tcBorders>
              <w:top w:val="nil"/>
              <w:left w:val="nil"/>
              <w:bottom w:val="single" w:color="auto" w:sz="4" w:space="0"/>
              <w:right w:val="single" w:color="auto" w:sz="8" w:space="0"/>
            </w:tcBorders>
            <w:vAlign w:val="center"/>
          </w:tcPr>
          <w:p>
            <w:pPr>
              <w:widowControl/>
              <w:jc w:val="left"/>
              <w:rPr>
                <w:rFonts w:hAnsi="宋体"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03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358"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109"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c>
          <w:tcPr>
            <w:tcW w:w="3106" w:type="dxa"/>
            <w:tcBorders>
              <w:top w:val="nil"/>
              <w:left w:val="nil"/>
              <w:bottom w:val="single" w:color="auto" w:sz="4" w:space="0"/>
              <w:right w:val="single" w:color="auto" w:sz="8" w:space="0"/>
            </w:tcBorders>
            <w:vAlign w:val="center"/>
          </w:tcPr>
          <w:p>
            <w:pPr>
              <w:widowControl/>
              <w:jc w:val="left"/>
              <w:rPr>
                <w:rFonts w:hAnsi="宋体"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03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358"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109"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c>
          <w:tcPr>
            <w:tcW w:w="3106" w:type="dxa"/>
            <w:tcBorders>
              <w:top w:val="nil"/>
              <w:left w:val="nil"/>
              <w:bottom w:val="single" w:color="auto" w:sz="4" w:space="0"/>
              <w:right w:val="single" w:color="auto" w:sz="8" w:space="0"/>
            </w:tcBorders>
            <w:vAlign w:val="center"/>
          </w:tcPr>
          <w:p>
            <w:pPr>
              <w:widowControl/>
              <w:jc w:val="left"/>
              <w:rPr>
                <w:rFonts w:hAnsi="宋体"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03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358"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109"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c>
          <w:tcPr>
            <w:tcW w:w="3106" w:type="dxa"/>
            <w:tcBorders>
              <w:top w:val="nil"/>
              <w:left w:val="nil"/>
              <w:bottom w:val="single" w:color="auto" w:sz="4" w:space="0"/>
              <w:right w:val="single" w:color="auto" w:sz="8" w:space="0"/>
            </w:tcBorders>
            <w:vAlign w:val="center"/>
          </w:tcPr>
          <w:p>
            <w:pPr>
              <w:widowControl/>
              <w:jc w:val="left"/>
              <w:rPr>
                <w:rFonts w:hAnsi="宋体"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83"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0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03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358"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109"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c>
          <w:tcPr>
            <w:tcW w:w="3106" w:type="dxa"/>
            <w:tcBorders>
              <w:top w:val="nil"/>
              <w:left w:val="nil"/>
              <w:bottom w:val="single" w:color="auto" w:sz="8" w:space="0"/>
              <w:right w:val="single" w:color="auto" w:sz="8" w:space="0"/>
            </w:tcBorders>
            <w:vAlign w:val="center"/>
          </w:tcPr>
          <w:p>
            <w:pPr>
              <w:widowControl/>
              <w:jc w:val="left"/>
              <w:rPr>
                <w:rFonts w:hAnsi="宋体" w:eastAsia="宋体"/>
                <w:kern w:val="0"/>
                <w:sz w:val="24"/>
                <w:szCs w:val="24"/>
              </w:rPr>
            </w:pPr>
          </w:p>
        </w:tc>
      </w:tr>
    </w:tbl>
    <w:p>
      <w:pPr>
        <w:adjustRightInd w:val="0"/>
        <w:snapToGrid w:val="0"/>
        <w:ind w:firstLine="700" w:firstLineChars="350"/>
        <w:rPr>
          <w:b/>
          <w:sz w:val="20"/>
          <w:szCs w:val="20"/>
        </w:rPr>
      </w:pPr>
      <w:r>
        <w:rPr>
          <w:sz w:val="20"/>
          <w:szCs w:val="20"/>
        </w:rPr>
        <w:t>注：本表反映部门本年度一般公共预算财政拨款基本支出明细情况。</w:t>
      </w:r>
    </w:p>
    <w:p>
      <w:pPr>
        <w:spacing w:line="580" w:lineRule="exact"/>
        <w:ind w:firstLine="640"/>
        <w:rPr>
          <w:szCs w:val="32"/>
        </w:rPr>
      </w:pPr>
    </w:p>
    <w:p>
      <w:pPr>
        <w:spacing w:line="580" w:lineRule="exact"/>
        <w:ind w:firstLine="640"/>
        <w:rPr>
          <w:szCs w:val="32"/>
        </w:rPr>
      </w:pPr>
    </w:p>
    <w:p>
      <w:pPr>
        <w:spacing w:line="580" w:lineRule="exact"/>
        <w:ind w:firstLine="720"/>
        <w:jc w:val="center"/>
        <w:rPr>
          <w:rFonts w:eastAsia="方正小标宋简体"/>
          <w:sz w:val="36"/>
          <w:szCs w:val="36"/>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一般公共预算财政拨款“三公”经费支出决算表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int="eastAsia"/>
          <w:color w:val="000000"/>
          <w:kern w:val="0"/>
          <w:sz w:val="22"/>
          <w:lang w:eastAsia="zh-CN"/>
        </w:rPr>
        <w:t>开发区</w:t>
      </w:r>
      <w:r>
        <w:rPr>
          <w:rFonts w:eastAsia="宋体"/>
          <w:color w:val="000000"/>
          <w:kern w:val="0"/>
          <w:sz w:val="22"/>
        </w:rPr>
        <w:t xml:space="preserve"> </w:t>
      </w:r>
      <w:r>
        <w:rPr>
          <w:rFonts w:hint="eastAsia"/>
          <w:color w:val="000000"/>
          <w:kern w:val="0"/>
          <w:sz w:val="22"/>
          <w:lang w:eastAsia="zh-CN"/>
        </w:rPr>
        <w:t>社会事业局</w:t>
      </w:r>
      <w:r>
        <w:rPr>
          <w:rFonts w:eastAsia="宋体"/>
          <w:color w:val="000000"/>
          <w:kern w:val="0"/>
          <w:sz w:val="20"/>
          <w:szCs w:val="20"/>
        </w:rPr>
        <w:t xml:space="preserve"> </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1134"/>
        <w:gridCol w:w="851"/>
        <w:gridCol w:w="1134"/>
        <w:gridCol w:w="1275"/>
        <w:gridCol w:w="1418"/>
        <w:gridCol w:w="850"/>
        <w:gridCol w:w="1134"/>
        <w:gridCol w:w="1134"/>
        <w:gridCol w:w="1276"/>
        <w:gridCol w:w="1276"/>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6536" w:type="dxa"/>
            <w:gridSpan w:val="6"/>
            <w:tcBorders>
              <w:top w:val="single" w:color="auto" w:sz="8" w:space="0"/>
              <w:left w:val="single" w:color="auto" w:sz="8" w:space="0"/>
              <w:bottom w:val="single" w:color="auto" w:sz="4" w:space="0"/>
              <w:right w:val="single" w:color="000000" w:sz="4" w:space="0"/>
            </w:tcBorders>
            <w:vAlign w:val="center"/>
          </w:tcPr>
          <w:p>
            <w:pPr>
              <w:widowControl/>
              <w:ind w:firstLine="440"/>
              <w:jc w:val="center"/>
              <w:rPr>
                <w:rFonts w:eastAsia="宋体"/>
                <w:kern w:val="0"/>
                <w:sz w:val="22"/>
              </w:rPr>
            </w:pPr>
            <w:r>
              <w:rPr>
                <w:rFonts w:eastAsia="宋体"/>
                <w:kern w:val="0"/>
                <w:sz w:val="22"/>
              </w:rPr>
              <w:t>2015</w:t>
            </w:r>
            <w:r>
              <w:rPr>
                <w:rFonts w:hAnsi="宋体" w:eastAsia="宋体"/>
                <w:kern w:val="0"/>
                <w:sz w:val="22"/>
              </w:rPr>
              <w:t>年度预算数</w:t>
            </w:r>
          </w:p>
        </w:tc>
        <w:tc>
          <w:tcPr>
            <w:tcW w:w="6662" w:type="dxa"/>
            <w:gridSpan w:val="6"/>
            <w:tcBorders>
              <w:top w:val="single" w:color="auto" w:sz="8" w:space="0"/>
              <w:left w:val="nil"/>
              <w:bottom w:val="single" w:color="auto" w:sz="4" w:space="0"/>
              <w:right w:val="single" w:color="000000" w:sz="8" w:space="0"/>
            </w:tcBorders>
            <w:vAlign w:val="center"/>
          </w:tcPr>
          <w:p>
            <w:pPr>
              <w:widowControl/>
              <w:jc w:val="center"/>
              <w:rPr>
                <w:rFonts w:eastAsia="宋体"/>
                <w:kern w:val="0"/>
                <w:sz w:val="22"/>
              </w:rPr>
            </w:pPr>
            <w:r>
              <w:rPr>
                <w:rFonts w:eastAsia="宋体"/>
                <w:kern w:val="0"/>
                <w:sz w:val="22"/>
              </w:rPr>
              <w:t>2015</w:t>
            </w:r>
            <w:r>
              <w:rPr>
                <w:rFonts w:hAnsi="宋体" w:eastAsia="宋体"/>
                <w:kern w:val="0"/>
                <w:sz w:val="22"/>
              </w:rPr>
              <w:t>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724" w:type="dxa"/>
            <w:vMerge w:val="restart"/>
            <w:tcBorders>
              <w:top w:val="nil"/>
              <w:left w:val="single" w:color="auto" w:sz="8"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1418"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公务接待费</w:t>
            </w:r>
          </w:p>
        </w:tc>
        <w:tc>
          <w:tcPr>
            <w:tcW w:w="850" w:type="dxa"/>
            <w:vMerge w:val="restart"/>
            <w:tcBorders>
              <w:top w:val="nil"/>
              <w:left w:val="nil"/>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vAlign w:val="center"/>
          </w:tcPr>
          <w:p>
            <w:pPr>
              <w:widowControl/>
              <w:jc w:val="center"/>
              <w:rPr>
                <w:rFonts w:eastAsia="宋体"/>
                <w:kern w:val="0"/>
                <w:sz w:val="22"/>
              </w:rPr>
            </w:pPr>
            <w:r>
              <w:rPr>
                <w:rFonts w:hAnsi="宋体" w:eastAsia="宋体"/>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2"/>
              </w:rPr>
            </w:pPr>
          </w:p>
        </w:tc>
        <w:tc>
          <w:tcPr>
            <w:tcW w:w="850" w:type="dxa"/>
            <w:vMerge w:val="continue"/>
            <w:tcBorders>
              <w:top w:val="nil"/>
              <w:left w:val="nil"/>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widowControl/>
              <w:jc w:val="left"/>
              <w:rPr>
                <w:rFonts w:eastAsia="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724" w:type="dxa"/>
            <w:tcBorders>
              <w:top w:val="nil"/>
              <w:left w:val="single" w:color="auto" w:sz="8" w:space="0"/>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5</w:t>
            </w:r>
          </w:p>
        </w:tc>
        <w:tc>
          <w:tcPr>
            <w:tcW w:w="1418"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6</w:t>
            </w:r>
          </w:p>
        </w:tc>
        <w:tc>
          <w:tcPr>
            <w:tcW w:w="850"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eastAsia="宋体"/>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jc w:val="center"/>
        </w:trPr>
        <w:tc>
          <w:tcPr>
            <w:tcW w:w="724" w:type="dxa"/>
            <w:tcBorders>
              <w:top w:val="nil"/>
              <w:left w:val="single" w:color="auto" w:sz="8" w:space="0"/>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10.8</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0</w:t>
            </w:r>
          </w:p>
        </w:tc>
        <w:tc>
          <w:tcPr>
            <w:tcW w:w="851"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10.8</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0</w:t>
            </w:r>
          </w:p>
        </w:tc>
        <w:tc>
          <w:tcPr>
            <w:tcW w:w="1275" w:type="dxa"/>
            <w:tcBorders>
              <w:top w:val="nil"/>
              <w:left w:val="nil"/>
              <w:bottom w:val="single" w:color="auto" w:sz="8" w:space="0"/>
              <w:right w:val="single" w:color="auto" w:sz="4" w:space="0"/>
            </w:tcBorders>
            <w:vAlign w:val="center"/>
          </w:tcPr>
          <w:p>
            <w:pPr>
              <w:widowControl/>
              <w:jc w:val="left"/>
              <w:rPr>
                <w:rFonts w:hint="eastAsia" w:eastAsia="宋体"/>
                <w:kern w:val="0"/>
                <w:sz w:val="22"/>
                <w:lang w:eastAsia="zh-CN"/>
              </w:rPr>
            </w:pPr>
            <w:r>
              <w:rPr>
                <w:rFonts w:hint="eastAsia" w:hAnsi="宋体"/>
                <w:kern w:val="0"/>
                <w:sz w:val="22"/>
                <w:lang w:val="en-US" w:eastAsia="zh-CN"/>
              </w:rPr>
              <w:t>8.8</w:t>
            </w:r>
          </w:p>
        </w:tc>
        <w:tc>
          <w:tcPr>
            <w:tcW w:w="1418"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2</w:t>
            </w:r>
          </w:p>
        </w:tc>
        <w:tc>
          <w:tcPr>
            <w:tcW w:w="850"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10.8</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0</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10.8</w:t>
            </w:r>
          </w:p>
        </w:tc>
        <w:tc>
          <w:tcPr>
            <w:tcW w:w="1276"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0</w:t>
            </w:r>
          </w:p>
        </w:tc>
        <w:tc>
          <w:tcPr>
            <w:tcW w:w="1276" w:type="dxa"/>
            <w:tcBorders>
              <w:top w:val="nil"/>
              <w:left w:val="nil"/>
              <w:bottom w:val="single" w:color="auto" w:sz="8" w:space="0"/>
              <w:right w:val="nil"/>
            </w:tcBorders>
            <w:vAlign w:val="center"/>
          </w:tcPr>
          <w:p>
            <w:pPr>
              <w:widowControl/>
              <w:jc w:val="left"/>
              <w:rPr>
                <w:rFonts w:hint="eastAsia" w:eastAsia="宋体"/>
                <w:kern w:val="0"/>
                <w:sz w:val="22"/>
                <w:lang w:eastAsia="zh-CN"/>
              </w:rPr>
            </w:pPr>
            <w:r>
              <w:rPr>
                <w:rFonts w:hint="eastAsia" w:hAnsi="宋体"/>
                <w:kern w:val="0"/>
                <w:sz w:val="22"/>
                <w:lang w:val="en-US" w:eastAsia="zh-CN"/>
              </w:rPr>
              <w:t>8.8</w:t>
            </w:r>
          </w:p>
        </w:tc>
        <w:tc>
          <w:tcPr>
            <w:tcW w:w="992" w:type="dxa"/>
            <w:tcBorders>
              <w:top w:val="nil"/>
              <w:left w:val="single" w:color="auto" w:sz="4" w:space="0"/>
              <w:bottom w:val="single" w:color="auto" w:sz="8" w:space="0"/>
              <w:right w:val="single" w:color="auto" w:sz="8" w:space="0"/>
            </w:tcBorders>
            <w:vAlign w:val="center"/>
          </w:tcPr>
          <w:p>
            <w:pPr>
              <w:widowControl/>
              <w:jc w:val="left"/>
              <w:rPr>
                <w:rFonts w:hint="eastAsia" w:eastAsia="宋体"/>
                <w:kern w:val="0"/>
                <w:sz w:val="22"/>
                <w:lang w:eastAsia="zh-CN"/>
              </w:rPr>
            </w:pPr>
            <w:r>
              <w:rPr>
                <w:rFonts w:hint="eastAsia" w:hAnsi="宋体"/>
                <w:kern w:val="0"/>
                <w:sz w:val="22"/>
                <w:lang w:val="en-US" w:eastAsia="zh-CN"/>
              </w:rPr>
              <w:t>2</w:t>
            </w:r>
          </w:p>
        </w:tc>
      </w:tr>
    </w:tbl>
    <w:p>
      <w:pPr>
        <w:adjustRightInd w:val="0"/>
        <w:snapToGrid w:val="0"/>
        <w:ind w:firstLine="700" w:firstLineChars="350"/>
        <w:rPr>
          <w:sz w:val="20"/>
          <w:szCs w:val="20"/>
        </w:rPr>
      </w:pPr>
      <w:r>
        <w:rPr>
          <w:sz w:val="20"/>
          <w:szCs w:val="20"/>
        </w:rPr>
        <w:t>注：2015年度预算数为“三公”经费年初预算数，决算数是包括当年一般公共预算财政拨款和以前年度结转资金安排的实际支出。</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政府性基金预算财政拨款收入支出决算表</w:t>
      </w:r>
    </w:p>
    <w:p>
      <w:pPr>
        <w:widowControl/>
        <w:adjustRightInd w:val="0"/>
        <w:snapToGrid w:val="0"/>
        <w:ind w:right="94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widowControl/>
        <w:adjustRightInd w:val="0"/>
        <w:snapToGrid w:val="0"/>
        <w:ind w:firstLine="880" w:firstLineChars="40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22"/>
        <w:tblW w:w="127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6"/>
        <w:gridCol w:w="1320"/>
        <w:gridCol w:w="2000"/>
        <w:gridCol w:w="1140"/>
        <w:gridCol w:w="1120"/>
        <w:gridCol w:w="1360"/>
        <w:gridCol w:w="1480"/>
        <w:gridCol w:w="2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3246" w:type="dxa"/>
            <w:gridSpan w:val="2"/>
            <w:tcBorders>
              <w:top w:val="nil"/>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1000" w:firstLineChars="500"/>
        <w:rPr>
          <w:sz w:val="20"/>
          <w:szCs w:val="20"/>
        </w:rPr>
      </w:pPr>
      <w:r>
        <w:rPr>
          <w:sz w:val="20"/>
          <w:szCs w:val="20"/>
        </w:rPr>
        <w:t>注：本表反映部门本年度政府性基金预算财政拨款收入支出及结转和结余情况。</w:t>
      </w:r>
    </w:p>
    <w:p>
      <w:pPr>
        <w:adjustRightInd w:val="0"/>
        <w:snapToGrid w:val="0"/>
        <w:ind w:firstLine="1000" w:firstLineChars="500"/>
        <w:rPr>
          <w:sz w:val="20"/>
          <w:szCs w:val="20"/>
        </w:rPr>
        <w:sectPr>
          <w:pgSz w:w="16838" w:h="11906" w:orient="landscape"/>
          <w:pgMar w:top="1134" w:right="1134" w:bottom="1134" w:left="1134" w:header="510" w:footer="992" w:gutter="0"/>
          <w:cols w:space="720" w:num="1"/>
          <w:docGrid w:linePitch="435" w:charSpace="0"/>
        </w:sectPr>
      </w:pPr>
    </w:p>
    <w:p>
      <w:pPr>
        <w:widowControl/>
        <w:adjustRightInd w:val="0"/>
        <w:snapToGrid w:val="0"/>
        <w:spacing w:line="360" w:lineRule="auto"/>
        <w:ind w:firstLine="640"/>
        <w:jc w:val="left"/>
        <w:rPr>
          <w:rFonts w:eastAsia="黑体"/>
          <w:kern w:val="0"/>
          <w:szCs w:val="32"/>
        </w:rPr>
      </w:pPr>
      <w:r>
        <w:rPr>
          <w:rFonts w:eastAsia="黑体"/>
          <w:kern w:val="0"/>
          <w:szCs w:val="32"/>
        </w:rPr>
        <w:t>附件2</w:t>
      </w:r>
    </w:p>
    <w:p>
      <w:pPr>
        <w:adjustRightInd w:val="0"/>
        <w:snapToGrid w:val="0"/>
        <w:spacing w:line="360" w:lineRule="auto"/>
        <w:jc w:val="center"/>
        <w:rPr>
          <w:rFonts w:eastAsia="方正小标宋简体"/>
          <w:sz w:val="36"/>
          <w:szCs w:val="36"/>
        </w:rPr>
      </w:pPr>
      <w:r>
        <w:rPr>
          <w:rFonts w:eastAsia="方正小标宋简体"/>
          <w:sz w:val="36"/>
          <w:szCs w:val="36"/>
        </w:rPr>
        <w:t>部门决算公开情况统计表</w:t>
      </w:r>
    </w:p>
    <w:tbl>
      <w:tblPr>
        <w:tblStyle w:val="22"/>
        <w:tblW w:w="85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48"/>
        <w:gridCol w:w="2771"/>
        <w:gridCol w:w="3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 w:hRule="atLeast"/>
        </w:trPr>
        <w:tc>
          <w:tcPr>
            <w:tcW w:w="2548" w:type="dxa"/>
            <w:tcBorders>
              <w:top w:val="single" w:color="auto" w:sz="4" w:space="0"/>
              <w:left w:val="single" w:color="auto" w:sz="4" w:space="0"/>
              <w:bottom w:val="single" w:color="auto" w:sz="4" w:space="0"/>
              <w:right w:val="single" w:color="auto" w:sz="4" w:space="0"/>
            </w:tcBorders>
            <w:vAlign w:val="center"/>
          </w:tcPr>
          <w:p>
            <w:pPr>
              <w:widowControl/>
              <w:ind w:firstLine="145" w:firstLineChars="69"/>
              <w:jc w:val="center"/>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vAlign w:val="center"/>
          </w:tcPr>
          <w:p>
            <w:pPr>
              <w:widowControl/>
              <w:ind w:firstLine="640"/>
              <w:jc w:val="center"/>
              <w:rPr>
                <w:b/>
                <w:bCs/>
                <w:kern w:val="0"/>
                <w:szCs w:val="32"/>
              </w:rPr>
            </w:pP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vAlign w:val="center"/>
          </w:tcPr>
          <w:p>
            <w:pPr>
              <w:ind w:firstLine="640"/>
              <w:jc w:val="center"/>
              <w:rPr>
                <w:b/>
                <w:bCs/>
                <w:kern w:val="0"/>
                <w:szCs w:val="32"/>
              </w:rPr>
            </w:pPr>
            <w:r>
              <w:rPr>
                <w:rFonts w:hAnsi="宋体"/>
                <w:b/>
                <w:bCs/>
                <w:kern w:val="0"/>
                <w:szCs w:val="32"/>
              </w:rPr>
              <w:t>公开网址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 w:hRule="atLeast"/>
        </w:trPr>
        <w:tc>
          <w:tcPr>
            <w:tcW w:w="2548" w:type="dxa"/>
            <w:tcBorders>
              <w:top w:val="single" w:color="auto" w:sz="4" w:space="0"/>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ind w:firstLine="480"/>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ind w:firstLine="480"/>
              <w:jc w:val="center"/>
              <w:rPr>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 w:hRule="atLeast"/>
        </w:trPr>
        <w:tc>
          <w:tcPr>
            <w:tcW w:w="2548" w:type="dxa"/>
            <w:tcBorders>
              <w:top w:val="nil"/>
              <w:left w:val="single" w:color="auto" w:sz="4" w:space="0"/>
              <w:bottom w:val="single" w:color="auto"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8" w:hRule="atLeast"/>
        </w:trPr>
        <w:tc>
          <w:tcPr>
            <w:tcW w:w="8532" w:type="dxa"/>
            <w:gridSpan w:val="3"/>
            <w:tcBorders>
              <w:top w:val="nil"/>
              <w:left w:val="single" w:color="auto" w:sz="4" w:space="0"/>
              <w:bottom w:val="single" w:color="000000" w:sz="4" w:space="0"/>
              <w:right w:val="single" w:color="auto" w:sz="4" w:space="0"/>
            </w:tcBorders>
            <w:vAlign w:val="center"/>
          </w:tcPr>
          <w:p>
            <w:pPr>
              <w:ind w:firstLine="480"/>
              <w:rPr>
                <w:kern w:val="0"/>
                <w:sz w:val="24"/>
              </w:rPr>
            </w:pPr>
            <w:r>
              <w:rPr>
                <w:rFonts w:hAnsi="宋体"/>
                <w:kern w:val="0"/>
                <w:sz w:val="24"/>
              </w:rPr>
              <w:t>备注：网址应细化至底层地址，错误格式如：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w:t>
            </w:r>
            <w:r>
              <w:rPr>
                <w:rFonts w:hAnsi="宋体"/>
                <w:kern w:val="0"/>
                <w:sz w:val="24"/>
              </w:rPr>
              <w:t>正确格式如：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/index,php?m=content&amp;c=index&amp;id=5831</w:t>
            </w:r>
          </w:p>
        </w:tc>
      </w:tr>
    </w:tbl>
    <w:p/>
    <w:sectPr>
      <w:footerReference r:id="rId5"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auto"/>
    <w:pitch w:val="default"/>
    <w:sig w:usb0="61007A87" w:usb1="80000000" w:usb2="00000008" w:usb3="00000000" w:csb0="200101FF" w:csb1="2028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2047CC"/>
    <w:rsid w:val="065779DA"/>
    <w:rsid w:val="10FF5004"/>
    <w:rsid w:val="1B0D1B8B"/>
    <w:rsid w:val="22B00755"/>
    <w:rsid w:val="29A64605"/>
    <w:rsid w:val="2A7E0DD0"/>
    <w:rsid w:val="3176793E"/>
    <w:rsid w:val="33B83168"/>
    <w:rsid w:val="358F3C9B"/>
    <w:rsid w:val="36136E96"/>
    <w:rsid w:val="38423A25"/>
    <w:rsid w:val="39AA6E9B"/>
    <w:rsid w:val="3AB56097"/>
    <w:rsid w:val="41DB35FD"/>
    <w:rsid w:val="4EBB2294"/>
    <w:rsid w:val="5A712127"/>
    <w:rsid w:val="5C0B1731"/>
    <w:rsid w:val="688E1DEF"/>
    <w:rsid w:val="76F60225"/>
    <w:rsid w:val="7D8260B2"/>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0"/>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31"/>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32"/>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3"/>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4"/>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5"/>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6"/>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7"/>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8"/>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unhideWhenUsed/>
    <w:uiPriority w:val="1"/>
  </w:style>
  <w:style w:type="table" w:default="1" w:styleId="22">
    <w:name w:val="Normal Table"/>
    <w:unhideWhenUsed/>
    <w:uiPriority w:val="99"/>
    <w:tblPr>
      <w:tblLayout w:type="fixed"/>
      <w:tblCellMar>
        <w:top w:w="0" w:type="dxa"/>
        <w:left w:w="108" w:type="dxa"/>
        <w:bottom w:w="0" w:type="dxa"/>
        <w:right w:w="108" w:type="dxa"/>
      </w:tblCellMar>
    </w:tblPr>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50"/>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9"/>
    <w:unhideWhenUsed/>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9"/>
    <w:unhideWhenUsed/>
    <w:uiPriority w:val="0"/>
    <w:pPr>
      <w:tabs>
        <w:tab w:val="center" w:pos="4153"/>
        <w:tab w:val="right" w:pos="8306"/>
      </w:tabs>
      <w:snapToGrid w:val="0"/>
      <w:jc w:val="left"/>
    </w:pPr>
    <w:rPr>
      <w:sz w:val="18"/>
      <w:szCs w:val="18"/>
    </w:rPr>
  </w:style>
  <w:style w:type="paragraph" w:styleId="15">
    <w:name w:val="header"/>
    <w:basedOn w:val="1"/>
    <w:link w:val="28"/>
    <w:unhideWhenUsed/>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1"/>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40"/>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uiPriority w:val="99"/>
    <w:rPr>
      <w:color w:val="0000FF"/>
      <w:u w:val="single"/>
    </w:rPr>
  </w:style>
  <w:style w:type="paragraph" w:customStyle="1" w:styleId="23">
    <w:name w:val="List Paragraph"/>
    <w:basedOn w:val="1"/>
    <w:qFormat/>
    <w:uiPriority w:val="34"/>
    <w:pPr>
      <w:ind w:firstLine="420" w:firstLineChars="200"/>
    </w:pPr>
  </w:style>
  <w:style w:type="paragraph" w:customStyle="1" w:styleId="24">
    <w:name w:val="No Spacing"/>
    <w:link w:val="42"/>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5">
    <w:name w:val="Quote"/>
    <w:basedOn w:val="1"/>
    <w:next w:val="1"/>
    <w:link w:val="43"/>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paragraph" w:customStyle="1" w:styleId="26">
    <w:name w:val="Intense Quote"/>
    <w:basedOn w:val="1"/>
    <w:next w:val="1"/>
    <w:link w:val="44"/>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paragraph" w:customStyle="1" w:styleId="27">
    <w:name w:val="TOC Heading"/>
    <w:basedOn w:val="2"/>
    <w:next w:val="1"/>
    <w:qFormat/>
    <w:uiPriority w:val="39"/>
    <w:pPr>
      <w:spacing w:before="340" w:after="330" w:line="578" w:lineRule="atLeast"/>
      <w:outlineLvl w:val="9"/>
    </w:pPr>
    <w:rPr>
      <w:rFonts w:eastAsia="仿宋_GB2312"/>
      <w:sz w:val="44"/>
    </w:rPr>
  </w:style>
  <w:style w:type="character" w:customStyle="1" w:styleId="28">
    <w:name w:val="页眉 Char Char"/>
    <w:basedOn w:val="18"/>
    <w:link w:val="15"/>
    <w:uiPriority w:val="0"/>
    <w:rPr>
      <w:sz w:val="18"/>
      <w:szCs w:val="18"/>
    </w:rPr>
  </w:style>
  <w:style w:type="character" w:customStyle="1" w:styleId="29">
    <w:name w:val="页脚 Char Char"/>
    <w:basedOn w:val="18"/>
    <w:link w:val="14"/>
    <w:uiPriority w:val="0"/>
    <w:rPr>
      <w:sz w:val="18"/>
      <w:szCs w:val="18"/>
    </w:rPr>
  </w:style>
  <w:style w:type="character" w:customStyle="1" w:styleId="30">
    <w:name w:val="标题 1 Char Char"/>
    <w:basedOn w:val="18"/>
    <w:link w:val="2"/>
    <w:uiPriority w:val="9"/>
    <w:rPr>
      <w:rFonts w:ascii="Times New Roman" w:hAnsi="Times New Roman" w:eastAsia="黑体" w:cs="Times New Roman"/>
      <w:bCs/>
      <w:kern w:val="44"/>
      <w:sz w:val="32"/>
      <w:szCs w:val="44"/>
    </w:rPr>
  </w:style>
  <w:style w:type="character" w:customStyle="1" w:styleId="31">
    <w:name w:val="标题 2 Char Char"/>
    <w:basedOn w:val="18"/>
    <w:link w:val="3"/>
    <w:uiPriority w:val="9"/>
    <w:rPr>
      <w:rFonts w:ascii="Times New Roman" w:hAnsi="Times New Roman" w:eastAsia="仿宋_GB2312" w:cs="Times New Roman"/>
      <w:b/>
      <w:bCs/>
      <w:kern w:val="0"/>
      <w:sz w:val="32"/>
      <w:szCs w:val="32"/>
    </w:rPr>
  </w:style>
  <w:style w:type="character" w:customStyle="1" w:styleId="32">
    <w:name w:val="标题 3 Char Char"/>
    <w:basedOn w:val="18"/>
    <w:link w:val="4"/>
    <w:uiPriority w:val="9"/>
    <w:rPr>
      <w:rFonts w:ascii="Times New Roman" w:hAnsi="Times New Roman" w:eastAsia="仿宋_GB2312" w:cs="Times New Roman"/>
      <w:b/>
      <w:bCs/>
      <w:kern w:val="0"/>
      <w:sz w:val="32"/>
      <w:szCs w:val="32"/>
    </w:rPr>
  </w:style>
  <w:style w:type="character" w:customStyle="1" w:styleId="33">
    <w:name w:val="标题 4 Char Char"/>
    <w:basedOn w:val="18"/>
    <w:link w:val="5"/>
    <w:uiPriority w:val="9"/>
    <w:rPr>
      <w:rFonts w:ascii="Cambria" w:hAnsi="Cambria" w:eastAsia="宋体" w:cs="Times New Roman"/>
      <w:b/>
      <w:bCs/>
      <w:kern w:val="0"/>
      <w:sz w:val="28"/>
      <w:szCs w:val="28"/>
    </w:rPr>
  </w:style>
  <w:style w:type="character" w:customStyle="1" w:styleId="34">
    <w:name w:val="标题 5 Char Char"/>
    <w:basedOn w:val="18"/>
    <w:link w:val="6"/>
    <w:uiPriority w:val="9"/>
    <w:rPr>
      <w:rFonts w:ascii="Times New Roman" w:hAnsi="Times New Roman" w:eastAsia="仿宋_GB2312" w:cs="Times New Roman"/>
      <w:b/>
      <w:bCs/>
      <w:kern w:val="0"/>
      <w:sz w:val="28"/>
      <w:szCs w:val="28"/>
    </w:rPr>
  </w:style>
  <w:style w:type="character" w:customStyle="1" w:styleId="35">
    <w:name w:val="标题 6 Char Char"/>
    <w:basedOn w:val="18"/>
    <w:link w:val="7"/>
    <w:uiPriority w:val="9"/>
    <w:rPr>
      <w:rFonts w:ascii="Cambria" w:hAnsi="Cambria" w:eastAsia="宋体" w:cs="Times New Roman"/>
      <w:b/>
      <w:bCs/>
      <w:kern w:val="0"/>
      <w:sz w:val="24"/>
      <w:szCs w:val="24"/>
    </w:rPr>
  </w:style>
  <w:style w:type="character" w:customStyle="1" w:styleId="36">
    <w:name w:val="标题 7 Char Char"/>
    <w:basedOn w:val="18"/>
    <w:link w:val="8"/>
    <w:uiPriority w:val="9"/>
    <w:rPr>
      <w:rFonts w:ascii="Times New Roman" w:hAnsi="Times New Roman" w:eastAsia="仿宋_GB2312" w:cs="Times New Roman"/>
      <w:b/>
      <w:bCs/>
      <w:kern w:val="0"/>
      <w:sz w:val="24"/>
      <w:szCs w:val="24"/>
    </w:rPr>
  </w:style>
  <w:style w:type="character" w:customStyle="1" w:styleId="37">
    <w:name w:val="标题 8 Char Char"/>
    <w:basedOn w:val="18"/>
    <w:link w:val="9"/>
    <w:uiPriority w:val="9"/>
    <w:rPr>
      <w:rFonts w:ascii="Cambria" w:hAnsi="Cambria" w:eastAsia="宋体" w:cs="Times New Roman"/>
      <w:kern w:val="0"/>
      <w:sz w:val="24"/>
      <w:szCs w:val="24"/>
    </w:rPr>
  </w:style>
  <w:style w:type="character" w:customStyle="1" w:styleId="38">
    <w:name w:val="标题 9 Char Char"/>
    <w:basedOn w:val="18"/>
    <w:link w:val="10"/>
    <w:uiPriority w:val="9"/>
    <w:rPr>
      <w:rFonts w:ascii="Cambria" w:hAnsi="Cambria" w:eastAsia="宋体" w:cs="Times New Roman"/>
      <w:kern w:val="0"/>
      <w:sz w:val="20"/>
      <w:szCs w:val="21"/>
    </w:rPr>
  </w:style>
  <w:style w:type="character" w:customStyle="1" w:styleId="39">
    <w:name w:val="批注框文本 Char Char"/>
    <w:basedOn w:val="18"/>
    <w:link w:val="13"/>
    <w:uiPriority w:val="99"/>
    <w:rPr>
      <w:rFonts w:ascii="Calibri" w:hAnsi="Calibri" w:eastAsia="宋体" w:cs="Times New Roman"/>
      <w:sz w:val="18"/>
      <w:szCs w:val="18"/>
    </w:rPr>
  </w:style>
  <w:style w:type="character" w:customStyle="1" w:styleId="40">
    <w:name w:val="标题 Char Char"/>
    <w:basedOn w:val="18"/>
    <w:link w:val="17"/>
    <w:uiPriority w:val="10"/>
    <w:rPr>
      <w:rFonts w:ascii="Times New Roman" w:hAnsi="Times New Roman" w:eastAsia="黑体" w:cs="Times New Roman"/>
      <w:b/>
      <w:bCs/>
      <w:kern w:val="0"/>
      <w:sz w:val="36"/>
      <w:szCs w:val="32"/>
    </w:rPr>
  </w:style>
  <w:style w:type="character" w:customStyle="1" w:styleId="41">
    <w:name w:val="副标题 Char Char"/>
    <w:basedOn w:val="18"/>
    <w:link w:val="16"/>
    <w:uiPriority w:val="11"/>
    <w:rPr>
      <w:rFonts w:ascii="Cambria" w:hAnsi="Cambria" w:eastAsia="宋体" w:cs="Times New Roman"/>
      <w:b/>
      <w:bCs/>
      <w:kern w:val="28"/>
      <w:sz w:val="32"/>
      <w:szCs w:val="32"/>
    </w:rPr>
  </w:style>
  <w:style w:type="character" w:customStyle="1" w:styleId="42">
    <w:name w:val="无间隔 Char"/>
    <w:link w:val="24"/>
    <w:uiPriority w:val="1"/>
    <w:rPr>
      <w:rFonts w:ascii="Times New Roman" w:hAnsi="Times New Roman" w:eastAsia="仿宋_GB2312" w:cs="Times New Roman"/>
      <w:kern w:val="0"/>
      <w:sz w:val="32"/>
      <w:szCs w:val="20"/>
    </w:rPr>
  </w:style>
  <w:style w:type="character" w:customStyle="1" w:styleId="43">
    <w:name w:val="引用 Char"/>
    <w:basedOn w:val="18"/>
    <w:link w:val="25"/>
    <w:uiPriority w:val="29"/>
    <w:rPr>
      <w:rFonts w:ascii="Times New Roman" w:hAnsi="Times New Roman" w:eastAsia="仿宋_GB2312" w:cs="Times New Roman"/>
      <w:i/>
      <w:iCs/>
      <w:color w:val="000000"/>
      <w:kern w:val="0"/>
      <w:sz w:val="32"/>
      <w:szCs w:val="20"/>
    </w:rPr>
  </w:style>
  <w:style w:type="character" w:customStyle="1" w:styleId="44">
    <w:name w:val="明显引用 Char"/>
    <w:basedOn w:val="18"/>
    <w:link w:val="26"/>
    <w:uiPriority w:val="30"/>
    <w:rPr>
      <w:rFonts w:ascii="Times New Roman" w:hAnsi="Times New Roman" w:eastAsia="仿宋_GB2312" w:cs="Times New Roman"/>
      <w:b/>
      <w:bCs/>
      <w:i/>
      <w:iCs/>
      <w:color w:val="4F81BD"/>
      <w:kern w:val="0"/>
      <w:sz w:val="32"/>
      <w:szCs w:val="20"/>
    </w:rPr>
  </w:style>
  <w:style w:type="character" w:customStyle="1" w:styleId="45">
    <w:name w:val="Subtle Emphasis"/>
    <w:qFormat/>
    <w:uiPriority w:val="19"/>
    <w:rPr>
      <w:i/>
      <w:iCs/>
      <w:color w:val="808080"/>
    </w:rPr>
  </w:style>
  <w:style w:type="character" w:customStyle="1" w:styleId="46">
    <w:name w:val="Intense Emphasis"/>
    <w:qFormat/>
    <w:uiPriority w:val="21"/>
    <w:rPr>
      <w:b/>
      <w:bCs/>
      <w:i/>
      <w:iCs/>
      <w:color w:val="4F81BD"/>
    </w:rPr>
  </w:style>
  <w:style w:type="character" w:customStyle="1" w:styleId="47">
    <w:name w:val="Subtle Reference"/>
    <w:qFormat/>
    <w:uiPriority w:val="31"/>
    <w:rPr>
      <w:smallCaps/>
      <w:color w:val="C0504D"/>
      <w:u w:val="single"/>
    </w:rPr>
  </w:style>
  <w:style w:type="character" w:customStyle="1" w:styleId="48">
    <w:name w:val="Intense Reference"/>
    <w:qFormat/>
    <w:uiPriority w:val="32"/>
    <w:rPr>
      <w:b/>
      <w:bCs/>
      <w:smallCaps/>
      <w:color w:val="C0504D"/>
      <w:spacing w:val="5"/>
      <w:u w:val="single"/>
    </w:rPr>
  </w:style>
  <w:style w:type="character" w:customStyle="1" w:styleId="49">
    <w:name w:val="Book Title"/>
    <w:qFormat/>
    <w:uiPriority w:val="33"/>
    <w:rPr>
      <w:b/>
      <w:bCs/>
      <w:smallCaps/>
      <w:spacing w:val="5"/>
    </w:rPr>
  </w:style>
  <w:style w:type="character" w:customStyle="1" w:styleId="50">
    <w:name w:val="正文文本 Char Char"/>
    <w:basedOn w:val="18"/>
    <w:link w:val="12"/>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1077</Words>
  <Characters>6144</Characters>
  <Lines>51</Lines>
  <Paragraphs>14</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Administrator</cp:lastModifiedBy>
  <cp:lastPrinted>2016-12-23T09:02:16Z</cp:lastPrinted>
  <dcterms:modified xsi:type="dcterms:W3CDTF">2016-12-23T09:45:19Z</dcterms:modified>
  <dc:title>2015年度市级部门决算公开参考格式</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