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w:t>
      </w:r>
      <w:r>
        <w:rPr>
          <w:rFonts w:hint="eastAsia" w:ascii="方正小标宋简体" w:eastAsia="方正小标宋简体"/>
          <w:sz w:val="36"/>
          <w:szCs w:val="36"/>
          <w:lang w:eastAsia="zh-CN"/>
        </w:rPr>
        <w:t>综治办</w:t>
      </w:r>
      <w:r>
        <w:rPr>
          <w:rFonts w:hint="eastAsia" w:ascii="方正小标宋简体" w:eastAsia="方正小标宋简体"/>
          <w:sz w:val="36"/>
          <w:szCs w:val="36"/>
        </w:rPr>
        <w:t>部门决算公开</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cs="黑体"/>
          <w:sz w:val="32"/>
          <w:szCs w:val="32"/>
          <w:lang w:eastAsia="zh-CN"/>
        </w:rPr>
        <w:t>综治办</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cs="黑体"/>
          <w:spacing w:val="-32"/>
          <w:sz w:val="32"/>
          <w:szCs w:val="32"/>
          <w:lang w:eastAsia="zh-CN"/>
        </w:rPr>
        <w:t>综治</w:t>
      </w:r>
      <w:r>
        <w:rPr>
          <w:rFonts w:hint="eastAsia" w:ascii="仿宋" w:hAnsi="仿宋" w:eastAsia="仿宋"/>
          <w:sz w:val="32"/>
          <w:szCs w:val="32"/>
          <w:lang w:val="en-US" w:eastAsia="zh-CN"/>
        </w:rPr>
        <w:t>办</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cs="黑体"/>
          <w:spacing w:val="-38"/>
          <w:sz w:val="32"/>
          <w:szCs w:val="32"/>
          <w:lang w:eastAsia="zh-CN"/>
        </w:rPr>
        <w:t>综治</w:t>
      </w:r>
      <w:r>
        <w:rPr>
          <w:rFonts w:hint="eastAsia" w:ascii="仿宋" w:hAnsi="仿宋" w:eastAsia="仿宋"/>
          <w:sz w:val="32"/>
          <w:szCs w:val="32"/>
          <w:lang w:val="en-US" w:eastAsia="zh-CN"/>
        </w:rPr>
        <w:t>办</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综治办</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综治办</w:t>
      </w:r>
      <w:r>
        <w:rPr>
          <w:rFonts w:hint="eastAsia" w:ascii="仿宋" w:hAnsi="仿宋" w:eastAsia="仿宋"/>
          <w:sz w:val="32"/>
          <w:szCs w:val="32"/>
        </w:rPr>
        <w:t>主要职责</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（一</w:t>
      </w:r>
      <w:r>
        <w:rPr>
          <w:rFonts w:hint="eastAsia" w:ascii="仿宋" w:hAnsi="仿宋" w:eastAsia="仿宋" w:cs="Courier New"/>
          <w:kern w:val="0"/>
          <w:sz w:val="32"/>
          <w:szCs w:val="32"/>
          <w:lang w:eastAsia="zh-CN"/>
        </w:rPr>
        <w:t>）、贯彻执行党的路线方针政策和省委市委及党工委的决策和部署，统一政法各部门的思想和行动，支持监督政法各部门依法行政职权，严格</w:t>
      </w:r>
      <w:r>
        <w:rPr>
          <w:rFonts w:hint="eastAsia" w:ascii="仿宋" w:hAnsi="仿宋" w:eastAsia="仿宋" w:cs="Courier New"/>
          <w:kern w:val="0"/>
          <w:sz w:val="32"/>
          <w:szCs w:val="32"/>
          <w:lang w:val="en-US" w:eastAsia="zh-CN"/>
        </w:rPr>
        <w:t>公正执法；领导组织协调全区综治平安建设、防范处理邪教、维护大局稳定、禁毒等工作。</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综治办</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hint="eastAsia" w:ascii="仿宋" w:hAnsi="仿宋" w:eastAsia="仿宋"/>
          <w:sz w:val="32"/>
          <w:szCs w:val="32"/>
        </w:rPr>
      </w:pPr>
      <w:r>
        <w:rPr>
          <w:rFonts w:hint="eastAsia" w:ascii="仿宋" w:hAnsi="仿宋" w:eastAsia="仿宋"/>
          <w:spacing w:val="2"/>
          <w:lang w:eastAsia="zh-CN"/>
        </w:rPr>
        <w:t>综治办</w:t>
      </w:r>
      <w:bookmarkStart w:id="0" w:name="_GoBack"/>
      <w:bookmarkEnd w:id="0"/>
      <w:r>
        <w:rPr>
          <w:rFonts w:hint="eastAsia" w:ascii="仿宋" w:hAnsi="仿宋" w:eastAsia="仿宋"/>
          <w:spacing w:val="2"/>
        </w:rPr>
        <w:t>机关本级</w:t>
      </w:r>
      <w:r>
        <w:rPr>
          <w:rFonts w:hint="eastAsia" w:ascii="仿宋" w:hAnsi="仿宋" w:eastAsia="仿宋"/>
          <w:spacing w:val="-1"/>
        </w:rPr>
        <w:t>决算。</w:t>
      </w: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综治办</w:t>
      </w:r>
      <w:r>
        <w:rPr>
          <w:rFonts w:hint="eastAsia" w:ascii="仿宋" w:hAnsi="仿宋" w:eastAsia="仿宋"/>
          <w:sz w:val="32"/>
          <w:szCs w:val="32"/>
        </w:rPr>
        <w:t>2015年度部门决算表</w:t>
      </w: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综治办</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综治办</w:t>
      </w:r>
      <w:r>
        <w:rPr>
          <w:rFonts w:hint="eastAsia" w:ascii="仿宋" w:hAnsi="仿宋" w:eastAsia="仿宋" w:cs="Courier New"/>
          <w:sz w:val="32"/>
          <w:szCs w:val="32"/>
        </w:rPr>
        <w:t>2015年收入总计</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万元，与2014年相比，收、支总计各减少</w:t>
      </w:r>
      <w:r>
        <w:rPr>
          <w:rFonts w:hint="eastAsia" w:ascii="仿宋" w:hAnsi="仿宋" w:eastAsia="仿宋" w:cs="Courier New"/>
          <w:sz w:val="32"/>
          <w:szCs w:val="32"/>
          <w:lang w:val="en-US" w:eastAsia="zh-CN"/>
        </w:rPr>
        <w:t>9.26</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3.6</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三公经费的减少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cs="Courier New"/>
          <w:sz w:val="32"/>
          <w:szCs w:val="32"/>
          <w:lang w:val="en-US" w:eastAsia="zh-CN"/>
        </w:rPr>
        <w:t>综治办</w:t>
      </w:r>
      <w:r>
        <w:rPr>
          <w:rFonts w:hint="eastAsia" w:ascii="仿宋" w:hAnsi="仿宋" w:eastAsia="仿宋"/>
          <w:sz w:val="32"/>
          <w:szCs w:val="32"/>
        </w:rPr>
        <w:t>本年收入合计</w:t>
      </w:r>
      <w:r>
        <w:rPr>
          <w:rFonts w:hint="eastAsia" w:ascii="仿宋" w:hAnsi="仿宋" w:eastAsia="仿宋"/>
          <w:sz w:val="32"/>
          <w:szCs w:val="32"/>
          <w:lang w:val="en-US" w:eastAsia="zh-CN"/>
        </w:rPr>
        <w:t>253.01</w:t>
      </w:r>
      <w:r>
        <w:rPr>
          <w:rFonts w:hint="eastAsia" w:ascii="仿宋" w:hAnsi="仿宋" w:eastAsia="仿宋"/>
          <w:sz w:val="32"/>
          <w:szCs w:val="32"/>
        </w:rPr>
        <w:t>万元，其中：财政拨款收入</w:t>
      </w:r>
      <w:r>
        <w:rPr>
          <w:rFonts w:hint="eastAsia" w:ascii="仿宋" w:hAnsi="仿宋" w:eastAsia="仿宋"/>
          <w:sz w:val="32"/>
          <w:szCs w:val="32"/>
          <w:lang w:val="en-US" w:eastAsia="zh-CN"/>
        </w:rPr>
        <w:t>253.01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综治办</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综治办</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年相比，财政拨款收、支总计各减少</w:t>
      </w:r>
      <w:r>
        <w:rPr>
          <w:rFonts w:hint="eastAsia" w:ascii="仿宋" w:hAnsi="仿宋" w:eastAsia="仿宋" w:cs="Courier New"/>
          <w:sz w:val="32"/>
          <w:szCs w:val="32"/>
          <w:lang w:val="en-US" w:eastAsia="zh-CN"/>
        </w:rPr>
        <w:t>9.26</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3.6</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三公经费的减少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rPr>
          <w:rFonts w:ascii="仿宋" w:hAnsi="仿宋" w:eastAsia="仿宋" w:cs="Courier New"/>
          <w:sz w:val="32"/>
          <w:szCs w:val="32"/>
        </w:rPr>
      </w:pPr>
      <w:r>
        <w:rPr>
          <w:rFonts w:hint="eastAsia" w:ascii="仿宋" w:hAnsi="仿宋" w:eastAsia="仿宋" w:cs="Courier New"/>
          <w:sz w:val="32"/>
          <w:szCs w:val="32"/>
          <w:lang w:val="en-US" w:eastAsia="zh-CN"/>
        </w:rPr>
        <w:t xml:space="preserve">    </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 w:hAnsi="仿宋" w:eastAsia="仿宋" w:cs="Courier New"/>
          <w:sz w:val="32"/>
          <w:szCs w:val="32"/>
          <w:lang w:val="en-US" w:eastAsia="zh-CN"/>
        </w:rPr>
        <w:t>一般公共服务</w:t>
      </w:r>
      <w:r>
        <w:rPr>
          <w:rFonts w:hint="eastAsia" w:ascii="仿宋" w:hAnsi="仿宋" w:eastAsia="仿宋" w:cs="Courier New"/>
          <w:sz w:val="32"/>
          <w:szCs w:val="32"/>
        </w:rPr>
        <w:t>支出</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lang w:val="en-US" w:eastAsia="zh-CN"/>
        </w:rPr>
        <w:t>一般公共服务支出</w:t>
      </w:r>
      <w:r>
        <w:rPr>
          <w:rFonts w:hint="eastAsia" w:ascii="仿宋" w:hAnsi="仿宋" w:eastAsia="仿宋" w:cs="Courier New"/>
          <w:sz w:val="32"/>
          <w:szCs w:val="32"/>
        </w:rPr>
        <w:t>财政事务（款）。年初预算为</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253.01</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 xml:space="preserve">   </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253.01</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169.46</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社会保障缴费、绩效工资、其他工资福利</w:t>
      </w:r>
      <w:r>
        <w:rPr>
          <w:rFonts w:ascii="仿宋" w:hAnsi="仿宋" w:eastAsia="仿宋" w:cs="Courier New"/>
          <w:kern w:val="2"/>
        </w:rPr>
        <w:t xml:space="preserve"> </w:t>
      </w:r>
      <w:r>
        <w:rPr>
          <w:rFonts w:hint="eastAsia" w:ascii="仿宋" w:hAnsi="仿宋" w:eastAsia="仿宋" w:cs="Courier New"/>
          <w:kern w:val="2"/>
        </w:rPr>
        <w:t>支出、退休费、住房公积金、其他对个人和家庭的补助支出；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83.55</w:t>
      </w:r>
      <w:r>
        <w:rPr>
          <w:rFonts w:hint="eastAsia" w:ascii="仿宋" w:hAnsi="仿宋" w:eastAsia="仿宋" w:cs="Courier New"/>
          <w:kern w:val="2"/>
        </w:rPr>
        <w:t>万元，主要包括：办公费、印刷费、咨询费、手续费、水费、电费、邮电费、差旅费、维</w:t>
      </w:r>
      <w:r>
        <w:rPr>
          <w:rFonts w:ascii="仿宋" w:hAnsi="仿宋" w:eastAsia="仿宋" w:cs="Courier New"/>
          <w:kern w:val="2"/>
        </w:rPr>
        <w:t xml:space="preserve"> </w:t>
      </w:r>
      <w:r>
        <w:rPr>
          <w:rFonts w:hint="eastAsia" w:ascii="仿宋" w:hAnsi="仿宋" w:eastAsia="仿宋" w:cs="Courier New"/>
          <w:kern w:val="2"/>
        </w:rPr>
        <w:t>修（护）费、租赁费、培训费、公务接待费、专用材料费、劳务费、其他交通费用、其他商品和服务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综治办</w:t>
      </w:r>
      <w:r>
        <w:rPr>
          <w:rFonts w:hint="eastAsia" w:ascii="仿宋" w:hAnsi="仿宋" w:eastAsia="仿宋" w:cs="Courier New"/>
          <w:kern w:val="2"/>
        </w:rPr>
        <w:t>2015 年“三公”经费财政拨款支出预算为</w:t>
      </w:r>
      <w:r>
        <w:rPr>
          <w:rFonts w:hint="eastAsia" w:ascii="仿宋" w:hAnsi="仿宋" w:eastAsia="仿宋" w:cs="Courier New"/>
          <w:kern w:val="2"/>
          <w:lang w:val="en-US" w:eastAsia="zh-CN"/>
        </w:rPr>
        <w:t>18.56</w:t>
      </w:r>
      <w:r>
        <w:rPr>
          <w:rFonts w:hint="eastAsia" w:ascii="仿宋" w:hAnsi="仿宋" w:eastAsia="仿宋" w:cs="Courier New"/>
          <w:kern w:val="2"/>
        </w:rPr>
        <w:t>万元，支出决算为</w:t>
      </w:r>
      <w:r>
        <w:rPr>
          <w:rFonts w:hint="eastAsia" w:ascii="仿宋" w:hAnsi="仿宋" w:eastAsia="仿宋" w:cs="Courier New"/>
          <w:kern w:val="2"/>
          <w:lang w:val="en-US" w:eastAsia="zh-CN"/>
        </w:rPr>
        <w:t>16.47</w:t>
      </w:r>
      <w:r>
        <w:rPr>
          <w:rFonts w:hint="eastAsia" w:ascii="仿宋" w:hAnsi="仿宋" w:eastAsia="仿宋" w:cs="Courier New"/>
          <w:kern w:val="2"/>
        </w:rPr>
        <w:t>万元，完成预算的</w:t>
      </w:r>
      <w:r>
        <w:rPr>
          <w:rFonts w:hint="eastAsia" w:ascii="仿宋" w:hAnsi="仿宋" w:eastAsia="仿宋" w:cs="Courier New"/>
          <w:kern w:val="2"/>
          <w:lang w:val="en-US" w:eastAsia="zh-CN"/>
        </w:rPr>
        <w:t>89</w:t>
      </w:r>
      <w:r>
        <w:rPr>
          <w:rFonts w:hint="eastAsia" w:ascii="仿宋" w:hAnsi="仿宋" w:eastAsia="仿宋" w:cs="Courier New"/>
          <w:kern w:val="2"/>
        </w:rPr>
        <w:t>%，，主要原因：</w:t>
      </w:r>
      <w:r>
        <w:rPr>
          <w:rFonts w:hint="eastAsia" w:ascii="仿宋" w:hAnsi="仿宋" w:eastAsia="仿宋" w:cs="Courier New"/>
          <w:kern w:val="2"/>
          <w:lang w:eastAsia="zh-CN"/>
        </w:rPr>
        <w:t>三公经费减少</w:t>
      </w:r>
      <w:r>
        <w:rPr>
          <w:rFonts w:hint="eastAsia" w:ascii="仿宋" w:hAnsi="仿宋" w:eastAsia="仿宋" w:cs="Courier New"/>
          <w:kern w:val="2"/>
        </w:rPr>
        <w:t>。2015年“三公”经费财政拨款支出决算数比 2014 年增加（减少）</w:t>
      </w:r>
      <w:r>
        <w:rPr>
          <w:rFonts w:hint="eastAsia" w:ascii="仿宋" w:hAnsi="仿宋" w:eastAsia="仿宋" w:cs="Courier New"/>
          <w:kern w:val="2"/>
          <w:lang w:val="en-US" w:eastAsia="zh-CN"/>
        </w:rPr>
        <w:t>17.66</w:t>
      </w:r>
      <w:r>
        <w:rPr>
          <w:rFonts w:hint="eastAsia" w:ascii="仿宋" w:hAnsi="仿宋" w:eastAsia="仿宋" w:cs="Courier New"/>
          <w:kern w:val="2"/>
        </w:rPr>
        <w:t>万元，增长（下降）  %，主要原因：</w:t>
      </w:r>
      <w:r>
        <w:rPr>
          <w:rFonts w:hint="eastAsia" w:ascii="仿宋" w:hAnsi="仿宋" w:eastAsia="仿宋" w:cs="Courier New"/>
          <w:kern w:val="2"/>
          <w:lang w:eastAsia="zh-CN"/>
        </w:rPr>
        <w:t>三公经费减少</w:t>
      </w:r>
      <w:r>
        <w:rPr>
          <w:rFonts w:hint="eastAsia" w:ascii="仿宋" w:hAnsi="仿宋" w:eastAsia="仿宋" w:cs="Courier New"/>
          <w:kern w:val="2"/>
        </w:rPr>
        <w:t>。具体支出情况如下：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 xml:space="preserve">  万元，</w:t>
      </w:r>
      <w:r>
        <w:rPr>
          <w:rFonts w:hint="eastAsia" w:ascii="仿宋" w:hAnsi="仿宋" w:eastAsia="仿宋" w:cs="Courier New"/>
          <w:kern w:val="2"/>
        </w:rPr>
        <w:t>完成预算的   %，主要用于单位工作人员公务出国（境）的住宿费、旅费、伙食补助费、杂费、培训费等支出。全年安排因公出国（境）团组   个，全年因公出国（境）累计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lang w:val="en-US" w:eastAsia="zh-CN"/>
        </w:rPr>
        <w:t>15.23</w:t>
      </w:r>
      <w:r>
        <w:rPr>
          <w:rFonts w:hint="eastAsia" w:ascii="仿宋" w:hAnsi="仿宋" w:eastAsia="仿宋"/>
        </w:rPr>
        <w:t>万</w:t>
      </w:r>
      <w:r>
        <w:rPr>
          <w:rFonts w:hint="eastAsia" w:ascii="仿宋" w:hAnsi="仿宋" w:eastAsia="仿宋" w:cs="Courier New"/>
          <w:kern w:val="2"/>
        </w:rPr>
        <w:t>元，完成预算的</w:t>
      </w:r>
      <w:r>
        <w:rPr>
          <w:rFonts w:hint="eastAsia" w:ascii="仿宋" w:hAnsi="仿宋" w:eastAsia="仿宋" w:cs="Courier New"/>
          <w:kern w:val="2"/>
          <w:lang w:val="en-US" w:eastAsia="zh-CN"/>
        </w:rPr>
        <w:t>89</w:t>
      </w:r>
      <w:r>
        <w:rPr>
          <w:rFonts w:hint="eastAsia" w:ascii="仿宋" w:hAnsi="仿宋" w:eastAsia="仿宋" w:cs="Courier New"/>
          <w:kern w:val="2"/>
        </w:rPr>
        <w:t>%，其中，公务用车购置费  万元，购置  辆车；公务用车运行维护费</w:t>
      </w:r>
      <w:r>
        <w:rPr>
          <w:rFonts w:hint="eastAsia" w:ascii="仿宋" w:hAnsi="仿宋" w:eastAsia="仿宋" w:cs="Courier New"/>
          <w:kern w:val="2"/>
          <w:lang w:val="en-US" w:eastAsia="zh-CN"/>
        </w:rPr>
        <w:t>15.23</w:t>
      </w:r>
      <w:r>
        <w:rPr>
          <w:rFonts w:hint="eastAsia" w:ascii="仿宋" w:hAnsi="仿宋" w:eastAsia="仿宋" w:cs="Courier New"/>
          <w:kern w:val="2"/>
        </w:rPr>
        <w:t>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w:t>
      </w:r>
      <w:r>
        <w:rPr>
          <w:rFonts w:hint="eastAsia" w:ascii="仿宋" w:hAnsi="仿宋" w:eastAsia="仿宋" w:cs="Courier New"/>
          <w:kern w:val="2"/>
          <w:lang w:val="en-US" w:eastAsia="zh-CN"/>
        </w:rPr>
        <w:t>17.66</w:t>
      </w:r>
      <w:r>
        <w:rPr>
          <w:rFonts w:hint="eastAsia" w:ascii="仿宋" w:hAnsi="仿宋" w:eastAsia="仿宋" w:cs="Courier New"/>
          <w:kern w:val="2"/>
        </w:rPr>
        <w:t>万元，增长（下降）  %，主要原因：</w:t>
      </w:r>
      <w:r>
        <w:rPr>
          <w:rFonts w:hint="eastAsia" w:ascii="仿宋" w:hAnsi="仿宋" w:eastAsia="仿宋" w:cs="Courier New"/>
          <w:kern w:val="2"/>
          <w:lang w:eastAsia="zh-CN"/>
        </w:rPr>
        <w:t>三公经费减少</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lang w:val="en-US" w:eastAsia="zh-CN"/>
        </w:rPr>
        <w:t>1.24</w:t>
      </w:r>
      <w:r>
        <w:rPr>
          <w:rFonts w:hint="eastAsia" w:ascii="仿宋" w:hAnsi="仿宋" w:eastAsia="仿宋" w:cs="Courier New"/>
          <w:kern w:val="2"/>
        </w:rPr>
        <w:t>万元，完成预算的</w:t>
      </w:r>
      <w:r>
        <w:rPr>
          <w:rFonts w:hint="eastAsia" w:ascii="仿宋" w:hAnsi="仿宋" w:eastAsia="仿宋" w:cs="Courier New"/>
          <w:kern w:val="2"/>
          <w:lang w:val="en-US" w:eastAsia="zh-CN"/>
        </w:rPr>
        <w:t>100</w:t>
      </w:r>
      <w:r>
        <w:rPr>
          <w:rFonts w:hint="eastAsia" w:ascii="仿宋" w:hAnsi="仿宋" w:eastAsia="仿宋" w:cs="Courier New"/>
          <w:kern w:val="2"/>
        </w:rPr>
        <w:t>%，主要用于按规定开支的各类公务接待（含外宾接待）支出。2015 年共接待</w:t>
      </w:r>
      <w:r>
        <w:rPr>
          <w:rFonts w:hint="eastAsia" w:ascii="仿宋" w:hAnsi="仿宋" w:eastAsia="仿宋" w:cs="Courier New"/>
          <w:kern w:val="2"/>
          <w:lang w:val="en-US" w:eastAsia="zh-CN"/>
        </w:rPr>
        <w:t>300</w:t>
      </w:r>
      <w:r>
        <w:rPr>
          <w:rFonts w:hint="eastAsia" w:ascii="仿宋" w:hAnsi="仿宋" w:eastAsia="仿宋" w:cs="Courier New"/>
          <w:kern w:val="2"/>
        </w:rPr>
        <w:t>批次、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w:t>
      </w:r>
      <w:r>
        <w:rPr>
          <w:rFonts w:hint="eastAsia" w:ascii="仿宋" w:hAnsi="仿宋" w:eastAsia="仿宋" w:cs="Courier New"/>
          <w:kern w:val="2"/>
          <w:lang w:val="en-US" w:eastAsia="zh-CN"/>
        </w:rPr>
        <w:t>0.11</w:t>
      </w:r>
      <w:r>
        <w:rPr>
          <w:rFonts w:hint="eastAsia" w:ascii="仿宋" w:hAnsi="仿宋" w:eastAsia="仿宋" w:cs="Courier New"/>
          <w:kern w:val="2"/>
        </w:rPr>
        <w:t>万元，增长（下降）  %，主要原因：</w:t>
      </w:r>
      <w:r>
        <w:rPr>
          <w:rFonts w:hint="eastAsia" w:ascii="仿宋" w:hAnsi="仿宋" w:eastAsia="仿宋" w:cs="Courier New"/>
          <w:kern w:val="2"/>
          <w:lang w:eastAsia="zh-CN"/>
        </w:rPr>
        <w:t>三公经费控制</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××局2015年府性基金预算财政拨款支出年初预算为  万元，支出决算为  万元，完成年初预算的  </w:t>
      </w:r>
      <w:r>
        <w:rPr>
          <w:rFonts w:ascii="仿宋" w:hAnsi="仿宋" w:eastAsia="仿宋" w:cs="Courier New"/>
          <w:kern w:val="2"/>
        </w:rPr>
        <w:t>%</w:t>
      </w:r>
      <w:r>
        <w:rPr>
          <w:rFonts w:hint="eastAsia" w:ascii="仿宋" w:hAnsi="仿宋" w:eastAsia="仿宋" w:cs="Courier New"/>
          <w:kern w:val="2"/>
        </w:rPr>
        <w:t>。支出具体情况如下：……。</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综治办</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83.55</w:t>
      </w:r>
      <w:r>
        <w:rPr>
          <w:rFonts w:hint="eastAsia" w:ascii="仿宋" w:hAnsi="仿宋" w:eastAsia="仿宋" w:cs="Courier New"/>
          <w:kern w:val="2"/>
        </w:rPr>
        <w:t>万元，比</w:t>
      </w:r>
      <w:r>
        <w:rPr>
          <w:rFonts w:ascii="仿宋" w:hAnsi="仿宋" w:eastAsia="仿宋" w:cs="Courier New"/>
          <w:kern w:val="2"/>
        </w:rPr>
        <w:t xml:space="preserve"> 2014</w:t>
      </w:r>
      <w:r>
        <w:rPr>
          <w:rFonts w:hint="eastAsia" w:ascii="仿宋" w:hAnsi="仿宋" w:eastAsia="仿宋" w:cs="Courier New"/>
          <w:kern w:val="2"/>
        </w:rPr>
        <w:t>年减</w:t>
      </w:r>
      <w:r>
        <w:rPr>
          <w:rFonts w:hint="eastAsia" w:ascii="仿宋" w:hAnsi="仿宋" w:eastAsia="仿宋" w:cs="Courier New"/>
          <w:kern w:val="2"/>
          <w:lang w:val="en-US" w:eastAsia="zh-CN"/>
        </w:rPr>
        <w:t>57</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eastAsia="zh-CN"/>
        </w:rPr>
        <w:t>项目减少</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 xml:space="preserve">年政府采购支出总额 万元，其中：政府采购货物支出  万元，政府采购工程支出 万元，政府采购服务支出  万元。授予中小企业合同金额 万元，占政府采购支出总额的  </w:t>
      </w:r>
      <w:r>
        <w:rPr>
          <w:rFonts w:ascii="仿宋" w:hAnsi="仿宋" w:eastAsia="仿宋" w:cs="Courier New"/>
          <w:kern w:val="2"/>
        </w:rPr>
        <w:t>%</w:t>
      </w:r>
      <w:r>
        <w:rPr>
          <w:rFonts w:hint="eastAsia" w:ascii="仿宋" w:hAnsi="仿宋" w:eastAsia="仿宋" w:cs="Courier New"/>
          <w:kern w:val="2"/>
        </w:rPr>
        <w:t>，其中：授予小微企业合同金额 万元，占政府采购支出总额的</w:t>
      </w:r>
      <w:r>
        <w:rPr>
          <w:rFonts w:ascii="仿宋" w:hAnsi="仿宋" w:eastAsia="仿宋" w:cs="Courier New"/>
          <w:kern w:val="2"/>
        </w:rPr>
        <w:t xml:space="preserve"> </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日，××局共有车辆  辆，其中，一般公务用车  辆，一般执法执勤用车  辆，特种专业技术用车  辆，其他用车XX辆，其他用车主要是……；；单位价值</w:t>
      </w:r>
      <w:r>
        <w:rPr>
          <w:rFonts w:ascii="仿宋" w:hAnsi="仿宋" w:eastAsia="仿宋" w:cs="Courier New"/>
          <w:kern w:val="2"/>
        </w:rPr>
        <w:t xml:space="preserve"> 200</w:t>
      </w:r>
      <w:r>
        <w:rPr>
          <w:rFonts w:hint="eastAsia" w:ascii="仿宋" w:hAnsi="仿宋" w:eastAsia="仿宋" w:cs="Courier New"/>
          <w:kern w:val="2"/>
        </w:rPr>
        <w:t>万元以上大型设备  台（套）。</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（四）关于预算绩效管理工作开展情况说明。</w:t>
      </w:r>
    </w:p>
    <w:p>
      <w:pPr>
        <w:pStyle w:val="12"/>
        <w:kinsoku w:val="0"/>
        <w:overflowPunct w:val="0"/>
        <w:snapToGrid w:val="0"/>
        <w:spacing w:line="360" w:lineRule="auto"/>
        <w:ind w:left="0" w:firstLine="640" w:firstLineChars="200"/>
        <w:jc w:val="both"/>
        <w:rPr>
          <w:rFonts w:hint="eastAsia" w:ascii="仿宋" w:hAnsi="仿宋" w:eastAsia="仿宋" w:cs="黑体"/>
          <w:sz w:val="32"/>
          <w:szCs w:val="32"/>
          <w:lang w:eastAsia="zh-CN"/>
        </w:rPr>
      </w:pPr>
      <w:r>
        <w:rPr>
          <w:rFonts w:ascii="仿宋" w:hAnsi="仿宋" w:eastAsia="仿宋" w:cs="Courier New"/>
          <w:kern w:val="2"/>
        </w:rPr>
        <w:t xml:space="preserve">2015 </w:t>
      </w:r>
      <w:r>
        <w:rPr>
          <w:rFonts w:hint="eastAsia" w:ascii="仿宋" w:hAnsi="仿宋" w:eastAsia="仿宋" w:cs="Courier New"/>
          <w:kern w:val="2"/>
        </w:rPr>
        <w:t>年，××局共组织对</w:t>
      </w:r>
      <w:r>
        <w:rPr>
          <w:rFonts w:ascii="仿宋" w:hAnsi="仿宋" w:eastAsia="仿宋" w:cs="Courier New"/>
          <w:kern w:val="2"/>
        </w:rPr>
        <w:t xml:space="preserve"> </w:t>
      </w:r>
      <w:r>
        <w:rPr>
          <w:rFonts w:hint="eastAsia" w:ascii="仿宋" w:hAnsi="仿宋" w:eastAsia="仿宋" w:cs="Courier New"/>
          <w:kern w:val="2"/>
        </w:rPr>
        <w:t xml:space="preserve"> 个项目进行了预算绩效评价，涉及一般公共预算当年财政拨款  万元。绩效评价结果概况说明：……。</w:t>
      </w:r>
    </w:p>
    <w:p>
      <w:pPr>
        <w:kinsoku w:val="0"/>
        <w:overflowPunct w:val="0"/>
        <w:adjustRightInd w:val="0"/>
        <w:snapToGrid w:val="0"/>
        <w:spacing w:line="360" w:lineRule="auto"/>
        <w:ind w:right="521"/>
        <w:jc w:val="center"/>
        <w:rPr>
          <w:rFonts w:hint="eastAsia" w:ascii="仿宋" w:hAnsi="仿宋" w:eastAsia="仿宋" w:cs="黑体"/>
          <w:sz w:val="32"/>
          <w:szCs w:val="32"/>
          <w:lang w:eastAsia="zh-CN"/>
        </w:rPr>
      </w:pPr>
    </w:p>
    <w:p>
      <w:pPr>
        <w:kinsoku w:val="0"/>
        <w:overflowPunct w:val="0"/>
        <w:adjustRightInd w:val="0"/>
        <w:snapToGrid w:val="0"/>
        <w:spacing w:line="360" w:lineRule="auto"/>
        <w:ind w:right="521"/>
        <w:jc w:val="both"/>
        <w:rPr>
          <w:rFonts w:hint="eastAsia" w:ascii="仿宋" w:hAnsi="仿宋" w:eastAsia="仿宋" w:cs="黑体"/>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3" w:type="default"/>
          <w:footerReference r:id="rId4" w:type="default"/>
          <w:pgSz w:w="11906" w:h="16838"/>
          <w:pgMar w:top="1134" w:right="1134" w:bottom="1134" w:left="1134" w:header="510" w:footer="992" w:gutter="0"/>
          <w:cols w:space="425"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9"/>
        <w:gridCol w:w="616"/>
        <w:gridCol w:w="1075"/>
        <w:gridCol w:w="4607"/>
        <w:gridCol w:w="595"/>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val="en-US" w:eastAsia="zh-CN"/>
              </w:rPr>
              <w:t>七、城乡社区支出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b/>
                <w:bCs/>
                <w:kern w:val="0"/>
                <w:sz w:val="22"/>
              </w:rPr>
            </w:pPr>
            <w:r>
              <w:rPr>
                <w:rFonts w:hint="eastAsia" w:hAnsi="宋体"/>
                <w:b w:val="0"/>
                <w:bCs w:val="0"/>
                <w:kern w:val="0"/>
                <w:sz w:val="22"/>
                <w:lang w:val="en-US" w:eastAsia="zh-CN"/>
              </w:rPr>
              <w:t>253.01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right"/>
              <w:rPr>
                <w:rFonts w:eastAsia="宋体"/>
                <w:b/>
                <w:bCs/>
                <w:kern w:val="0"/>
                <w:sz w:val="22"/>
              </w:rPr>
            </w:pPr>
            <w:r>
              <w:rPr>
                <w:rFonts w:hint="eastAsia" w:hAnsi="宋体"/>
                <w:b w:val="0"/>
                <w:bCs w:val="0"/>
                <w:kern w:val="0"/>
                <w:sz w:val="22"/>
                <w:lang w:val="en-US" w:eastAsia="zh-CN"/>
              </w:rPr>
              <w:t>253.01</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253.01</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253.01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253.01</w:t>
            </w: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253.01</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lang w:val="en-US"/>
              </w:rPr>
            </w:pPr>
            <w:r>
              <w:rPr>
                <w:rFonts w:hint="eastAsia" w:hAnsi="宋体"/>
                <w:kern w:val="0"/>
                <w:sz w:val="22"/>
                <w:lang w:val="en-US" w:eastAsia="zh-CN"/>
              </w:rPr>
              <w:t>253.01</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eastAsia="宋体"/>
                <w:kern w:val="0"/>
                <w:sz w:val="24"/>
                <w:szCs w:val="24"/>
                <w:lang w:eastAsia="zh-CN"/>
              </w:rPr>
            </w:pPr>
            <w:r>
              <w:rPr>
                <w:rFonts w:hint="eastAsia"/>
                <w:kern w:val="0"/>
                <w:sz w:val="24"/>
                <w:szCs w:val="24"/>
                <w:lang w:val="en-US" w:eastAsia="zh-CN"/>
              </w:rPr>
              <w:t>七、城乡社区支出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253.01</w:t>
            </w: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1240"/>
        <w:gridCol w:w="3920"/>
        <w:gridCol w:w="3920"/>
        <w:gridCol w:w="2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253.01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253.01</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0"/>
        <w:gridCol w:w="1254"/>
        <w:gridCol w:w="3453"/>
        <w:gridCol w:w="3827"/>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253.01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169.46</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83.55</w:t>
            </w: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134"/>
        <w:gridCol w:w="851"/>
        <w:gridCol w:w="1134"/>
        <w:gridCol w:w="1275"/>
        <w:gridCol w:w="1239"/>
        <w:gridCol w:w="1029"/>
        <w:gridCol w:w="1134"/>
        <w:gridCol w:w="1134"/>
        <w:gridCol w:w="1276"/>
        <w:gridCol w:w="1276"/>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6357"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841"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23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1029"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23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1029"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239"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1029"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39"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029"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164500</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152300</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152300</w:t>
            </w:r>
          </w:p>
        </w:tc>
        <w:tc>
          <w:tcPr>
            <w:tcW w:w="992" w:type="dxa"/>
            <w:tcBorders>
              <w:top w:val="nil"/>
              <w:left w:val="single" w:color="auto" w:sz="4" w:space="0"/>
              <w:bottom w:val="single" w:color="auto" w:sz="8" w:space="0"/>
              <w:right w:val="single" w:color="auto" w:sz="8" w:space="0"/>
            </w:tcBorders>
            <w:vAlign w:val="center"/>
          </w:tcPr>
          <w:p>
            <w:pPr>
              <w:widowControl/>
              <w:jc w:val="left"/>
              <w:rPr>
                <w:rFonts w:hint="eastAsia" w:eastAsia="宋体"/>
                <w:kern w:val="0"/>
                <w:sz w:val="22"/>
                <w:lang w:eastAsia="zh-CN"/>
              </w:rPr>
            </w:pPr>
            <w:r>
              <w:rPr>
                <w:rFonts w:hint="eastAsia" w:hAnsi="宋体"/>
                <w:kern w:val="0"/>
                <w:sz w:val="22"/>
                <w:lang w:val="en-US" w:eastAsia="zh-CN"/>
              </w:rPr>
              <w:t>12350</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Style w:val="22"/>
        <w:tblW w:w="8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8"/>
        <w:gridCol w:w="2771"/>
        <w:gridCol w:w="3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7D325F"/>
    <w:rsid w:val="1B603080"/>
    <w:rsid w:val="2EF10E99"/>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0"/>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1"/>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2"/>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3"/>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4"/>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5"/>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6"/>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7"/>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8"/>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0"/>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9"/>
    <w:unhideWhenUsed/>
    <w:qFormat/>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1"/>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40"/>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qFormat/>
    <w:uiPriority w:val="99"/>
    <w:rPr>
      <w:color w:val="0000FF"/>
      <w:u w:val="single"/>
    </w:rPr>
  </w:style>
  <w:style w:type="paragraph" w:customStyle="1" w:styleId="23">
    <w:name w:val="List Paragraph"/>
    <w:basedOn w:val="1"/>
    <w:qFormat/>
    <w:uiPriority w:val="34"/>
    <w:pPr>
      <w:ind w:firstLine="420" w:firstLineChars="200"/>
    </w:pPr>
  </w:style>
  <w:style w:type="paragraph" w:customStyle="1" w:styleId="24">
    <w:name w:val="No Spacing"/>
    <w:link w:val="42"/>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
    <w:name w:val="Quote"/>
    <w:basedOn w:val="1"/>
    <w:next w:val="1"/>
    <w:link w:val="43"/>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6">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7">
    <w:name w:val="TOC Heading"/>
    <w:basedOn w:val="2"/>
    <w:next w:val="1"/>
    <w:qFormat/>
    <w:uiPriority w:val="39"/>
    <w:pPr>
      <w:spacing w:before="340" w:after="330" w:line="578" w:lineRule="atLeast"/>
      <w:outlineLvl w:val="9"/>
    </w:pPr>
    <w:rPr>
      <w:rFonts w:eastAsia="仿宋_GB2312"/>
      <w:sz w:val="44"/>
    </w:rPr>
  </w:style>
  <w:style w:type="character" w:customStyle="1" w:styleId="28">
    <w:name w:val="页眉 Char Char"/>
    <w:basedOn w:val="18"/>
    <w:link w:val="15"/>
    <w:qFormat/>
    <w:uiPriority w:val="0"/>
    <w:rPr>
      <w:sz w:val="18"/>
      <w:szCs w:val="18"/>
    </w:rPr>
  </w:style>
  <w:style w:type="character" w:customStyle="1" w:styleId="29">
    <w:name w:val="页脚 Char Char"/>
    <w:basedOn w:val="18"/>
    <w:link w:val="14"/>
    <w:qFormat/>
    <w:uiPriority w:val="0"/>
    <w:rPr>
      <w:sz w:val="18"/>
      <w:szCs w:val="18"/>
    </w:rPr>
  </w:style>
  <w:style w:type="character" w:customStyle="1" w:styleId="30">
    <w:name w:val="标题 1 Char Char"/>
    <w:basedOn w:val="18"/>
    <w:link w:val="2"/>
    <w:qFormat/>
    <w:uiPriority w:val="9"/>
    <w:rPr>
      <w:rFonts w:ascii="Times New Roman" w:hAnsi="Times New Roman" w:eastAsia="黑体" w:cs="Times New Roman"/>
      <w:bCs/>
      <w:kern w:val="44"/>
      <w:sz w:val="32"/>
      <w:szCs w:val="44"/>
    </w:rPr>
  </w:style>
  <w:style w:type="character" w:customStyle="1" w:styleId="31">
    <w:name w:val="标题 2 Char Char"/>
    <w:basedOn w:val="18"/>
    <w:link w:val="3"/>
    <w:qFormat/>
    <w:uiPriority w:val="9"/>
    <w:rPr>
      <w:rFonts w:ascii="Times New Roman" w:hAnsi="Times New Roman" w:eastAsia="仿宋_GB2312" w:cs="Times New Roman"/>
      <w:b/>
      <w:bCs/>
      <w:kern w:val="0"/>
      <w:sz w:val="32"/>
      <w:szCs w:val="32"/>
    </w:rPr>
  </w:style>
  <w:style w:type="character" w:customStyle="1" w:styleId="32">
    <w:name w:val="标题 3 Char Char"/>
    <w:basedOn w:val="18"/>
    <w:link w:val="4"/>
    <w:qFormat/>
    <w:uiPriority w:val="9"/>
    <w:rPr>
      <w:rFonts w:ascii="Times New Roman" w:hAnsi="Times New Roman" w:eastAsia="仿宋_GB2312" w:cs="Times New Roman"/>
      <w:b/>
      <w:bCs/>
      <w:kern w:val="0"/>
      <w:sz w:val="32"/>
      <w:szCs w:val="32"/>
    </w:rPr>
  </w:style>
  <w:style w:type="character" w:customStyle="1" w:styleId="33">
    <w:name w:val="标题 4 Char Char"/>
    <w:basedOn w:val="18"/>
    <w:link w:val="5"/>
    <w:qFormat/>
    <w:uiPriority w:val="9"/>
    <w:rPr>
      <w:rFonts w:ascii="Cambria" w:hAnsi="Cambria" w:eastAsia="宋体" w:cs="Times New Roman"/>
      <w:b/>
      <w:bCs/>
      <w:kern w:val="0"/>
      <w:sz w:val="28"/>
      <w:szCs w:val="28"/>
    </w:rPr>
  </w:style>
  <w:style w:type="character" w:customStyle="1" w:styleId="34">
    <w:name w:val="标题 5 Char Char"/>
    <w:basedOn w:val="18"/>
    <w:link w:val="6"/>
    <w:qFormat/>
    <w:uiPriority w:val="9"/>
    <w:rPr>
      <w:rFonts w:ascii="Times New Roman" w:hAnsi="Times New Roman" w:eastAsia="仿宋_GB2312" w:cs="Times New Roman"/>
      <w:b/>
      <w:bCs/>
      <w:kern w:val="0"/>
      <w:sz w:val="28"/>
      <w:szCs w:val="28"/>
    </w:rPr>
  </w:style>
  <w:style w:type="character" w:customStyle="1" w:styleId="35">
    <w:name w:val="标题 6 Char Char"/>
    <w:basedOn w:val="18"/>
    <w:link w:val="7"/>
    <w:qFormat/>
    <w:uiPriority w:val="9"/>
    <w:rPr>
      <w:rFonts w:ascii="Cambria" w:hAnsi="Cambria" w:eastAsia="宋体" w:cs="Times New Roman"/>
      <w:b/>
      <w:bCs/>
      <w:kern w:val="0"/>
      <w:sz w:val="24"/>
      <w:szCs w:val="24"/>
    </w:rPr>
  </w:style>
  <w:style w:type="character" w:customStyle="1" w:styleId="36">
    <w:name w:val="标题 7 Char Char"/>
    <w:basedOn w:val="18"/>
    <w:link w:val="8"/>
    <w:qFormat/>
    <w:uiPriority w:val="9"/>
    <w:rPr>
      <w:rFonts w:ascii="Times New Roman" w:hAnsi="Times New Roman" w:eastAsia="仿宋_GB2312" w:cs="Times New Roman"/>
      <w:b/>
      <w:bCs/>
      <w:kern w:val="0"/>
      <w:sz w:val="24"/>
      <w:szCs w:val="24"/>
    </w:rPr>
  </w:style>
  <w:style w:type="character" w:customStyle="1" w:styleId="37">
    <w:name w:val="标题 8 Char Char"/>
    <w:basedOn w:val="18"/>
    <w:link w:val="9"/>
    <w:qFormat/>
    <w:uiPriority w:val="9"/>
    <w:rPr>
      <w:rFonts w:ascii="Cambria" w:hAnsi="Cambria" w:eastAsia="宋体" w:cs="Times New Roman"/>
      <w:kern w:val="0"/>
      <w:sz w:val="24"/>
      <w:szCs w:val="24"/>
    </w:rPr>
  </w:style>
  <w:style w:type="character" w:customStyle="1" w:styleId="38">
    <w:name w:val="标题 9 Char Char"/>
    <w:basedOn w:val="18"/>
    <w:link w:val="10"/>
    <w:qFormat/>
    <w:uiPriority w:val="9"/>
    <w:rPr>
      <w:rFonts w:ascii="Cambria" w:hAnsi="Cambria" w:eastAsia="宋体" w:cs="Times New Roman"/>
      <w:kern w:val="0"/>
      <w:sz w:val="20"/>
      <w:szCs w:val="21"/>
    </w:rPr>
  </w:style>
  <w:style w:type="character" w:customStyle="1" w:styleId="39">
    <w:name w:val="批注框文本 Char Char"/>
    <w:basedOn w:val="18"/>
    <w:link w:val="13"/>
    <w:qFormat/>
    <w:uiPriority w:val="99"/>
    <w:rPr>
      <w:rFonts w:ascii="Calibri" w:hAnsi="Calibri" w:eastAsia="宋体" w:cs="Times New Roman"/>
      <w:sz w:val="18"/>
      <w:szCs w:val="18"/>
    </w:rPr>
  </w:style>
  <w:style w:type="character" w:customStyle="1" w:styleId="40">
    <w:name w:val="标题 Char Char"/>
    <w:basedOn w:val="18"/>
    <w:link w:val="17"/>
    <w:uiPriority w:val="10"/>
    <w:rPr>
      <w:rFonts w:ascii="Times New Roman" w:hAnsi="Times New Roman" w:eastAsia="黑体" w:cs="Times New Roman"/>
      <w:b/>
      <w:bCs/>
      <w:kern w:val="0"/>
      <w:sz w:val="36"/>
      <w:szCs w:val="32"/>
    </w:rPr>
  </w:style>
  <w:style w:type="character" w:customStyle="1" w:styleId="41">
    <w:name w:val="副标题 Char Char"/>
    <w:basedOn w:val="18"/>
    <w:link w:val="16"/>
    <w:qFormat/>
    <w:uiPriority w:val="11"/>
    <w:rPr>
      <w:rFonts w:ascii="Cambria" w:hAnsi="Cambria" w:eastAsia="宋体" w:cs="Times New Roman"/>
      <w:b/>
      <w:bCs/>
      <w:kern w:val="28"/>
      <w:sz w:val="32"/>
      <w:szCs w:val="32"/>
    </w:rPr>
  </w:style>
  <w:style w:type="character" w:customStyle="1" w:styleId="42">
    <w:name w:val="无间隔 Char"/>
    <w:link w:val="24"/>
    <w:qFormat/>
    <w:uiPriority w:val="1"/>
    <w:rPr>
      <w:rFonts w:ascii="Times New Roman" w:hAnsi="Times New Roman" w:eastAsia="仿宋_GB2312" w:cs="Times New Roman"/>
      <w:kern w:val="0"/>
      <w:sz w:val="32"/>
      <w:szCs w:val="20"/>
    </w:rPr>
  </w:style>
  <w:style w:type="character" w:customStyle="1" w:styleId="43">
    <w:name w:val="引用 Char"/>
    <w:basedOn w:val="18"/>
    <w:link w:val="25"/>
    <w:qFormat/>
    <w:uiPriority w:val="29"/>
    <w:rPr>
      <w:rFonts w:ascii="Times New Roman" w:hAnsi="Times New Roman" w:eastAsia="仿宋_GB2312" w:cs="Times New Roman"/>
      <w:i/>
      <w:iCs/>
      <w:color w:val="000000"/>
      <w:kern w:val="0"/>
      <w:sz w:val="32"/>
      <w:szCs w:val="20"/>
    </w:rPr>
  </w:style>
  <w:style w:type="character" w:customStyle="1" w:styleId="44">
    <w:name w:val="明显引用 Char"/>
    <w:basedOn w:val="18"/>
    <w:link w:val="26"/>
    <w:qFormat/>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character" w:customStyle="1" w:styleId="50">
    <w:name w:val="正文文本 Char Char"/>
    <w:basedOn w:val="18"/>
    <w:link w:val="12"/>
    <w:qFormat/>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2016-12-23T03:26:32Z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