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w:t>
      </w:r>
      <w:r>
        <w:rPr>
          <w:rFonts w:hint="eastAsia" w:ascii="方正小标宋简体" w:eastAsia="方正小标宋简体"/>
          <w:sz w:val="36"/>
          <w:szCs w:val="36"/>
          <w:lang w:eastAsia="zh-CN"/>
        </w:rPr>
        <w:t>开发区卫生局</w:t>
      </w:r>
      <w:r>
        <w:rPr>
          <w:rFonts w:hint="eastAsia" w:ascii="方正小标宋简体" w:eastAsia="方正小标宋简体"/>
          <w:sz w:val="36"/>
          <w:szCs w:val="36"/>
        </w:rPr>
        <w:t>部门决算公开</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概况</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卫生</w:t>
      </w:r>
      <w:r>
        <w:rPr>
          <w:rFonts w:hint="eastAsia" w:ascii="仿宋" w:hAnsi="仿宋" w:eastAsia="仿宋"/>
          <w:sz w:val="32"/>
          <w:szCs w:val="32"/>
        </w:rPr>
        <w:t>局主要职责</w:t>
      </w:r>
    </w:p>
    <w:p>
      <w:pPr>
        <w:numPr>
          <w:numId w:val="0"/>
        </w:numPr>
        <w:kinsoku w:val="0"/>
        <w:overflowPunct w:val="0"/>
        <w:adjustRightInd w:val="0"/>
        <w:snapToGrid w:val="0"/>
        <w:spacing w:line="360" w:lineRule="auto"/>
        <w:ind w:right="25"/>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1、按照《医疗机构管理条例》、《医疗机构管理条例实施细则》，稳步推进医疗机构和人员准入、医疗机构年度校验等医政工作。</w:t>
      </w:r>
    </w:p>
    <w:p>
      <w:pPr>
        <w:numPr>
          <w:numId w:val="0"/>
        </w:numPr>
        <w:kinsoku w:val="0"/>
        <w:overflowPunct w:val="0"/>
        <w:adjustRightInd w:val="0"/>
        <w:snapToGrid w:val="0"/>
        <w:spacing w:line="360" w:lineRule="auto"/>
        <w:ind w:right="25"/>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2、落实手足口病、麻疹、艾滋病防控等重点传染病防控工作工作，开展多种形式的健康教育宣传。全面提升基本公共卫生服务能力。</w:t>
      </w:r>
    </w:p>
    <w:p>
      <w:pPr>
        <w:numPr>
          <w:numId w:val="0"/>
        </w:numPr>
        <w:kinsoku w:val="0"/>
        <w:overflowPunct w:val="0"/>
        <w:adjustRightInd w:val="0"/>
        <w:snapToGrid w:val="0"/>
        <w:spacing w:line="360" w:lineRule="auto"/>
        <w:ind w:right="25"/>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3、积极开展爱国卫生运动和病媒生物防制工作。</w:t>
      </w:r>
    </w:p>
    <w:p>
      <w:pPr>
        <w:numPr>
          <w:numId w:val="0"/>
        </w:numPr>
        <w:kinsoku w:val="0"/>
        <w:overflowPunct w:val="0"/>
        <w:adjustRightInd w:val="0"/>
        <w:snapToGrid w:val="0"/>
        <w:spacing w:line="360" w:lineRule="auto"/>
        <w:ind w:right="25"/>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4、全区、乡两级卫生监督协管体系，加强基层卫生监督网底建设。</w:t>
      </w:r>
    </w:p>
    <w:p>
      <w:pPr>
        <w:numPr>
          <w:numId w:val="0"/>
        </w:numPr>
        <w:kinsoku w:val="0"/>
        <w:overflowPunct w:val="0"/>
        <w:adjustRightInd w:val="0"/>
        <w:snapToGrid w:val="0"/>
        <w:spacing w:line="360" w:lineRule="auto"/>
        <w:ind w:right="25"/>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5、对辖区内乡镇卫生院及民营医院营造安全稳定的医疗卫生环境。</w:t>
      </w:r>
    </w:p>
    <w:p>
      <w:pPr>
        <w:numPr>
          <w:numId w:val="0"/>
        </w:numPr>
        <w:kinsoku w:val="0"/>
        <w:overflowPunct w:val="0"/>
        <w:adjustRightInd w:val="0"/>
        <w:snapToGrid w:val="0"/>
        <w:spacing w:line="360" w:lineRule="auto"/>
        <w:ind w:right="25"/>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6、成立卫生局文明城市创建工作领导小组承担文明城及卫生城的创建工作。</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二、××局决算单位构成</w:t>
      </w:r>
    </w:p>
    <w:p>
      <w:pPr>
        <w:pStyle w:val="12"/>
        <w:kinsoku w:val="0"/>
        <w:overflowPunct w:val="0"/>
        <w:snapToGrid w:val="0"/>
        <w:spacing w:line="360" w:lineRule="auto"/>
        <w:ind w:left="121" w:right="118" w:firstLine="360"/>
        <w:rPr>
          <w:rFonts w:ascii="仿宋" w:hAnsi="仿宋" w:eastAsia="仿宋"/>
          <w:spacing w:val="-1"/>
        </w:rPr>
      </w:pPr>
      <w:r>
        <w:rPr>
          <w:rFonts w:hint="eastAsia" w:ascii="仿宋" w:hAnsi="仿宋" w:eastAsia="仿宋" w:cs="仿宋_GB2312"/>
          <w:sz w:val="32"/>
          <w:szCs w:val="32"/>
          <w:lang w:val="en-US" w:eastAsia="zh-CN"/>
        </w:rPr>
        <w:t>卫生</w:t>
      </w:r>
      <w:r>
        <w:rPr>
          <w:rFonts w:hint="eastAsia" w:ascii="仿宋" w:hAnsi="仿宋" w:eastAsia="仿宋"/>
        </w:rPr>
        <w:t>局</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w:t>
      </w:r>
      <w:r>
        <w:rPr>
          <w:rFonts w:hint="eastAsia" w:ascii="仿宋" w:hAnsi="仿宋" w:eastAsia="仿宋"/>
        </w:rPr>
        <w:t>局</w:t>
      </w:r>
      <w:r>
        <w:rPr>
          <w:rFonts w:hint="eastAsia" w:ascii="仿宋" w:hAnsi="仿宋" w:eastAsia="仿宋"/>
          <w:spacing w:val="2"/>
        </w:rPr>
        <w:t>机关本级</w:t>
      </w:r>
      <w:r>
        <w:rPr>
          <w:rFonts w:hint="eastAsia" w:ascii="仿宋" w:hAnsi="仿宋" w:eastAsia="仿宋"/>
          <w:spacing w:val="-1"/>
        </w:rPr>
        <w:t>决算。</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cs="仿宋_GB2312"/>
          <w:sz w:val="32"/>
          <w:szCs w:val="32"/>
          <w:lang w:val="en-US" w:eastAsia="zh-CN"/>
        </w:rPr>
        <w:t>卫生</w:t>
      </w:r>
      <w:r>
        <w:rPr>
          <w:rFonts w:hint="eastAsia" w:ascii="仿宋" w:hAnsi="仿宋" w:eastAsia="仿宋"/>
          <w:sz w:val="32"/>
          <w:szCs w:val="32"/>
        </w:rPr>
        <w:t>局2015年度部门决算表</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卫生</w:t>
      </w:r>
      <w:r>
        <w:rPr>
          <w:rFonts w:hint="eastAsia" w:ascii="仿宋" w:hAnsi="仿宋" w:eastAsia="仿宋" w:cs="Courier New"/>
          <w:sz w:val="32"/>
          <w:szCs w:val="32"/>
        </w:rPr>
        <w:t>局2015年收入总计</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万元，与2014年相比，收、支总计各增加（减少）   万元，增长（下降）  %。主要原因：……。</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lang w:val="en-US" w:eastAsia="zh-CN"/>
        </w:rPr>
      </w:pPr>
      <w:r>
        <w:rPr>
          <w:rFonts w:hint="eastAsia" w:ascii="仿宋" w:hAnsi="仿宋" w:eastAsia="仿宋"/>
          <w:sz w:val="32"/>
          <w:szCs w:val="32"/>
        </w:rPr>
        <w:t>本年收入合计</w:t>
      </w:r>
      <w:r>
        <w:rPr>
          <w:rFonts w:hint="eastAsia" w:ascii="仿宋" w:hAnsi="仿宋" w:eastAsia="仿宋"/>
          <w:sz w:val="32"/>
          <w:szCs w:val="32"/>
          <w:lang w:val="en-US" w:eastAsia="zh-CN"/>
        </w:rPr>
        <w:t>662.51</w:t>
      </w:r>
      <w:r>
        <w:rPr>
          <w:rFonts w:hint="eastAsia" w:ascii="仿宋" w:hAnsi="仿宋" w:eastAsia="仿宋"/>
          <w:sz w:val="32"/>
          <w:szCs w:val="32"/>
        </w:rPr>
        <w:t>万元，其中：财政拨款收入</w:t>
      </w:r>
      <w:r>
        <w:rPr>
          <w:rFonts w:hint="eastAsia" w:ascii="仿宋" w:hAnsi="仿宋" w:eastAsia="仿宋"/>
          <w:sz w:val="32"/>
          <w:szCs w:val="32"/>
          <w:lang w:val="en-US" w:eastAsia="zh-CN"/>
        </w:rPr>
        <w:t>662.51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val="en-US" w:eastAsia="zh-CN"/>
        </w:rPr>
        <w:t xml:space="preserve">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66.51</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605.57</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91.4</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56.94</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8.6</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 xml:space="preserve">年相比，财政拨款收、支总计各增加（减少）  万元，增长（下降）  </w:t>
      </w:r>
      <w:r>
        <w:rPr>
          <w:rFonts w:ascii="仿宋" w:hAnsi="仿宋" w:eastAsia="仿宋" w:cs="Courier New"/>
          <w:sz w:val="32"/>
          <w:szCs w:val="32"/>
        </w:rPr>
        <w:t>%</w:t>
      </w:r>
      <w:r>
        <w:rPr>
          <w:rFonts w:hint="eastAsia" w:ascii="仿宋" w:hAnsi="仿宋" w:eastAsia="仿宋" w:cs="Courier New"/>
          <w:sz w:val="32"/>
          <w:szCs w:val="32"/>
        </w:rPr>
        <w:t>。主要原因：……。</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hint="eastAsia" w:ascii="仿宋" w:hAnsi="仿宋" w:eastAsia="仿宋" w:cs="Courier New"/>
          <w:sz w:val="32"/>
          <w:szCs w:val="32"/>
        </w:rPr>
      </w:pP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。主要用于以下方面：一般公共服务（类）支出</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rPr>
        <w:t>一般公共服务（类）</w:t>
      </w:r>
      <w:r>
        <w:rPr>
          <w:rFonts w:hint="eastAsia" w:ascii="仿宋" w:hAnsi="仿宋" w:eastAsia="仿宋" w:cs="Courier New"/>
          <w:sz w:val="32"/>
          <w:szCs w:val="32"/>
        </w:rPr>
        <w:t>财政事务（款）</w:t>
      </w:r>
      <w:r>
        <w:rPr>
          <w:rFonts w:hint="eastAsia" w:ascii="仿宋" w:hAnsi="仿宋" w:eastAsia="仿宋" w:cs="Courier New"/>
          <w:sz w:val="32"/>
          <w:szCs w:val="32"/>
          <w:lang w:val="en-US" w:eastAsia="zh-CN"/>
        </w:rPr>
        <w:t xml:space="preserve"> </w:t>
      </w:r>
      <w:r>
        <w:rPr>
          <w:rFonts w:hint="eastAsia" w:ascii="仿宋" w:hAnsi="仿宋" w:eastAsia="仿宋" w:cs="Courier New"/>
          <w:sz w:val="32"/>
          <w:szCs w:val="32"/>
        </w:rPr>
        <w:t>年初预算为</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662.51</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 xml:space="preserve"> </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605.57</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199.81</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405.76</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r>
        <w:rPr>
          <w:rFonts w:hint="eastAsia" w:ascii="仿宋" w:hAnsi="仿宋" w:eastAsia="仿宋" w:cs="Courier New"/>
          <w:kern w:val="2"/>
          <w:lang w:eastAsia="zh-CN"/>
        </w:rPr>
        <w:t>及对</w:t>
      </w:r>
      <w:r>
        <w:rPr>
          <w:rFonts w:hint="eastAsia" w:ascii="仿宋" w:hAnsi="仿宋" w:eastAsia="仿宋" w:cs="Courier New"/>
          <w:b/>
          <w:bCs/>
          <w:kern w:val="2"/>
          <w:lang w:eastAsia="zh-CN"/>
        </w:rPr>
        <w:t>乡镇卫生院的差额补助</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2015 年“三公”经费财政拨款支出预算为</w:t>
      </w:r>
      <w:r>
        <w:rPr>
          <w:rFonts w:hint="eastAsia" w:ascii="仿宋" w:hAnsi="仿宋" w:eastAsia="仿宋" w:cs="Courier New"/>
          <w:kern w:val="2"/>
          <w:lang w:val="en-US" w:eastAsia="zh-CN"/>
        </w:rPr>
        <w:t xml:space="preserve">  </w:t>
      </w:r>
      <w:r>
        <w:rPr>
          <w:rFonts w:hint="eastAsia" w:ascii="仿宋" w:hAnsi="仿宋" w:eastAsia="仿宋" w:cs="Courier New"/>
          <w:kern w:val="2"/>
        </w:rPr>
        <w:t>万元，支出决算为</w:t>
      </w:r>
      <w:r>
        <w:rPr>
          <w:rFonts w:hint="eastAsia" w:ascii="仿宋" w:hAnsi="仿宋" w:eastAsia="仿宋" w:cs="Courier New"/>
          <w:kern w:val="2"/>
          <w:lang w:val="en-US" w:eastAsia="zh-CN"/>
        </w:rPr>
        <w:t xml:space="preserve">  </w:t>
      </w:r>
      <w:r>
        <w:rPr>
          <w:rFonts w:hint="eastAsia" w:ascii="仿宋" w:hAnsi="仿宋" w:eastAsia="仿宋" w:cs="Courier New"/>
          <w:kern w:val="2"/>
        </w:rPr>
        <w:t>万元，完成预算的</w:t>
      </w:r>
      <w:r>
        <w:rPr>
          <w:rFonts w:hint="eastAsia" w:ascii="仿宋" w:hAnsi="仿宋" w:eastAsia="仿宋" w:cs="Courier New"/>
          <w:kern w:val="2"/>
          <w:lang w:val="en-US" w:eastAsia="zh-CN"/>
        </w:rPr>
        <w:t xml:space="preserve"> </w:t>
      </w:r>
      <w:r>
        <w:rPr>
          <w:rFonts w:hint="eastAsia" w:ascii="仿宋" w:hAnsi="仿宋" w:eastAsia="仿宋" w:cs="Courier New"/>
          <w:kern w:val="2"/>
        </w:rPr>
        <w:t>%，，主要原因：</w:t>
      </w:r>
      <w:r>
        <w:rPr>
          <w:rFonts w:hint="eastAsia" w:ascii="仿宋" w:hAnsi="仿宋" w:eastAsia="仿宋" w:cs="Courier New"/>
          <w:kern w:val="2"/>
          <w:lang w:val="en-US" w:eastAsia="zh-CN"/>
        </w:rPr>
        <w:t>....</w:t>
      </w:r>
      <w:r>
        <w:rPr>
          <w:rFonts w:hint="eastAsia" w:ascii="仿宋" w:hAnsi="仿宋" w:eastAsia="仿宋" w:cs="Courier New"/>
          <w:kern w:val="2"/>
        </w:rPr>
        <w:t>。2015年“三公”经费财政拨款支出决算数比 2014 年减少</w:t>
      </w:r>
      <w:r>
        <w:rPr>
          <w:rFonts w:hint="eastAsia" w:ascii="仿宋" w:hAnsi="仿宋" w:eastAsia="仿宋" w:cs="Courier New"/>
          <w:kern w:val="2"/>
          <w:lang w:val="en-US" w:eastAsia="zh-CN"/>
        </w:rPr>
        <w:t xml:space="preserve"> </w:t>
      </w:r>
      <w:r>
        <w:rPr>
          <w:rFonts w:hint="eastAsia" w:ascii="仿宋" w:hAnsi="仿宋" w:eastAsia="仿宋" w:cs="Courier New"/>
          <w:kern w:val="2"/>
        </w:rPr>
        <w:t>万元，下降</w:t>
      </w:r>
      <w:r>
        <w:rPr>
          <w:rFonts w:hint="eastAsia" w:ascii="仿宋" w:hAnsi="仿宋" w:eastAsia="仿宋" w:cs="Courier New"/>
          <w:kern w:val="2"/>
          <w:lang w:val="en-US" w:eastAsia="zh-CN"/>
        </w:rPr>
        <w:t xml:space="preserve"> </w:t>
      </w:r>
      <w:r>
        <w:rPr>
          <w:rFonts w:hint="eastAsia" w:ascii="仿宋" w:hAnsi="仿宋" w:eastAsia="仿宋" w:cs="Courier New"/>
          <w:kern w:val="2"/>
        </w:rPr>
        <w:t xml:space="preserve"> %，主要原因：</w:t>
      </w:r>
      <w:r>
        <w:rPr>
          <w:rFonts w:hint="eastAsia" w:ascii="仿宋" w:hAnsi="仿宋" w:eastAsia="仿宋" w:cs="Courier New"/>
          <w:kern w:val="2"/>
          <w:lang w:val="en-US" w:eastAsia="zh-CN"/>
        </w:rPr>
        <w:t>....</w:t>
      </w:r>
      <w:r>
        <w:rPr>
          <w:rFonts w:hint="eastAsia" w:ascii="仿宋" w:hAnsi="仿宋" w:eastAsia="仿宋" w:cs="Courier New"/>
          <w:kern w:val="2"/>
        </w:rPr>
        <w:t>。具体支出情况如下：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rPr>
        <w:t xml:space="preserve"> </w:t>
      </w:r>
      <w:r>
        <w:rPr>
          <w:rFonts w:hint="eastAsia" w:ascii="仿宋" w:hAnsi="仿宋" w:eastAsia="仿宋"/>
          <w:spacing w:val="-1"/>
          <w:lang w:val="en-US" w:eastAsia="zh-CN"/>
        </w:rPr>
        <w:t>0</w:t>
      </w:r>
      <w:r>
        <w:rPr>
          <w:rFonts w:hint="eastAsia" w:ascii="仿宋" w:hAnsi="仿宋" w:eastAsia="仿宋"/>
          <w:spacing w:val="-1"/>
        </w:rPr>
        <w:t>万元，</w:t>
      </w:r>
      <w:r>
        <w:rPr>
          <w:rFonts w:hint="eastAsia" w:ascii="仿宋" w:hAnsi="仿宋" w:eastAsia="仿宋" w:cs="Courier New"/>
          <w:kern w:val="2"/>
        </w:rPr>
        <w:t>完成预算的   %，主要用于单位工作人员公务出国（境）的住宿费、旅费、伙食补助费、杂费、培训费等支出。全年安排因公出国（境）团组   个，全年因公出国（境）累计  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lang w:val="en-US" w:eastAsia="zh-CN"/>
        </w:rPr>
        <w:t xml:space="preserve"> </w:t>
      </w:r>
      <w:r>
        <w:rPr>
          <w:rFonts w:hint="eastAsia" w:ascii="仿宋" w:hAnsi="仿宋" w:eastAsia="仿宋"/>
        </w:rPr>
        <w:t>万</w:t>
      </w:r>
      <w:r>
        <w:rPr>
          <w:rFonts w:hint="eastAsia" w:ascii="仿宋" w:hAnsi="仿宋" w:eastAsia="仿宋" w:cs="Courier New"/>
          <w:kern w:val="2"/>
        </w:rPr>
        <w:t>元，完成预算的</w:t>
      </w:r>
      <w:r>
        <w:rPr>
          <w:rFonts w:hint="eastAsia" w:ascii="仿宋" w:hAnsi="仿宋" w:eastAsia="仿宋" w:cs="Courier New"/>
          <w:kern w:val="2"/>
          <w:lang w:val="en-US" w:eastAsia="zh-CN"/>
        </w:rPr>
        <w:t xml:space="preserve"> </w:t>
      </w:r>
      <w:r>
        <w:rPr>
          <w:rFonts w:hint="eastAsia" w:ascii="仿宋" w:hAnsi="仿宋" w:eastAsia="仿宋" w:cs="Courier New"/>
          <w:kern w:val="2"/>
        </w:rPr>
        <w:t>%，其中，公务用车购置费  万元，购置  辆车；公务用车运行维护费</w:t>
      </w:r>
      <w:r>
        <w:rPr>
          <w:rFonts w:hint="eastAsia" w:ascii="仿宋" w:hAnsi="仿宋" w:eastAsia="仿宋" w:cs="Courier New"/>
          <w:kern w:val="2"/>
          <w:lang w:val="en-US" w:eastAsia="zh-CN"/>
        </w:rPr>
        <w:t xml:space="preserve"> </w:t>
      </w:r>
      <w:r>
        <w:rPr>
          <w:rFonts w:hint="eastAsia" w:ascii="仿宋" w:hAnsi="仿宋" w:eastAsia="仿宋" w:cs="Courier New"/>
          <w:kern w:val="2"/>
        </w:rPr>
        <w:t>万元，主要用于开展工作所需公务用车的燃料费、维修费、过路过桥费、保险费、安全奖励费用等支出。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决算数小于年初预算数的主要原因：</w:t>
      </w:r>
      <w:r>
        <w:rPr>
          <w:rFonts w:hint="eastAsia" w:ascii="仿宋" w:hAnsi="仿宋" w:eastAsia="仿宋" w:cs="Courier New"/>
          <w:kern w:val="2"/>
          <w:lang w:eastAsia="zh-CN"/>
        </w:rPr>
        <w:t>节约</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年减少</w:t>
      </w:r>
      <w:r>
        <w:rPr>
          <w:rFonts w:hint="eastAsia" w:ascii="仿宋" w:hAnsi="仿宋" w:eastAsia="仿宋" w:cs="Courier New"/>
          <w:kern w:val="2"/>
          <w:lang w:val="en-US" w:eastAsia="zh-CN"/>
        </w:rPr>
        <w:t xml:space="preserve"> </w:t>
      </w:r>
      <w:r>
        <w:rPr>
          <w:rFonts w:hint="eastAsia" w:ascii="仿宋" w:hAnsi="仿宋" w:eastAsia="仿宋" w:cs="Courier New"/>
          <w:kern w:val="2"/>
        </w:rPr>
        <w:t>万元，下降</w:t>
      </w:r>
      <w:r>
        <w:rPr>
          <w:rFonts w:hint="eastAsia" w:ascii="仿宋" w:hAnsi="仿宋" w:eastAsia="仿宋" w:cs="Courier New"/>
          <w:kern w:val="2"/>
          <w:lang w:val="en-US" w:eastAsia="zh-CN"/>
        </w:rPr>
        <w:t xml:space="preserve"> </w:t>
      </w:r>
      <w:r>
        <w:rPr>
          <w:rFonts w:hint="eastAsia" w:ascii="仿宋" w:hAnsi="仿宋" w:eastAsia="仿宋" w:cs="Courier New"/>
          <w:kern w:val="2"/>
        </w:rPr>
        <w:t>%，主要原因：</w:t>
      </w:r>
      <w:r>
        <w:rPr>
          <w:rFonts w:hint="eastAsia" w:ascii="仿宋" w:hAnsi="仿宋" w:eastAsia="仿宋" w:cs="Courier New"/>
          <w:kern w:val="2"/>
          <w:lang w:eastAsia="zh-CN"/>
        </w:rPr>
        <w:t>节约</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b/>
          <w:spacing w:val="-1"/>
          <w:lang w:val="en-US" w:eastAsia="zh-CN"/>
        </w:rPr>
        <w:t xml:space="preserve"> </w:t>
      </w:r>
      <w:r>
        <w:rPr>
          <w:rFonts w:hint="eastAsia" w:ascii="仿宋" w:hAnsi="仿宋" w:eastAsia="仿宋" w:cs="Courier New"/>
          <w:kern w:val="2"/>
        </w:rPr>
        <w:t>万元，主要用于按规定开支的各类公务接待（含外宾接待）支出。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××局2015年府性基金预算财政拨款支出年初预算为  万元，支出决算为  万元，完成年初预算的  </w:t>
      </w:r>
      <w:r>
        <w:rPr>
          <w:rFonts w:ascii="仿宋" w:hAnsi="仿宋" w:eastAsia="仿宋" w:cs="Courier New"/>
          <w:kern w:val="2"/>
        </w:rPr>
        <w:t>%</w:t>
      </w:r>
      <w:r>
        <w:rPr>
          <w:rFonts w:hint="eastAsia" w:ascii="仿宋" w:hAnsi="仿宋" w:eastAsia="仿宋" w:cs="Courier New"/>
          <w:kern w:val="2"/>
        </w:rPr>
        <w:t>。支出具体情况如下：……。</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 xml:space="preserve"> </w:t>
      </w:r>
      <w:r>
        <w:rPr>
          <w:rFonts w:hint="eastAsia" w:ascii="仿宋" w:hAnsi="仿宋" w:eastAsia="仿宋" w:cs="Courier New"/>
          <w:kern w:val="2"/>
        </w:rPr>
        <w:t>万元，比</w:t>
      </w:r>
      <w:r>
        <w:rPr>
          <w:rFonts w:ascii="仿宋" w:hAnsi="仿宋" w:eastAsia="仿宋" w:cs="Courier New"/>
          <w:kern w:val="2"/>
        </w:rPr>
        <w:t xml:space="preserve"> 2014</w:t>
      </w:r>
      <w:r>
        <w:rPr>
          <w:rFonts w:hint="eastAsia" w:ascii="仿宋" w:hAnsi="仿宋" w:eastAsia="仿宋" w:cs="Courier New"/>
          <w:kern w:val="2"/>
        </w:rPr>
        <w:t xml:space="preserve">年增减  </w:t>
      </w:r>
      <w:r>
        <w:rPr>
          <w:rFonts w:ascii="仿宋" w:hAnsi="仿宋" w:eastAsia="仿宋" w:cs="Courier New"/>
          <w:kern w:val="2"/>
        </w:rPr>
        <w:t>%</w:t>
      </w:r>
      <w:r>
        <w:rPr>
          <w:rFonts w:hint="eastAsia" w:ascii="仿宋" w:hAnsi="仿宋" w:eastAsia="仿宋" w:cs="Courier New"/>
          <w:kern w:val="2"/>
        </w:rPr>
        <w:t>，主要原因：……。</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 xml:space="preserve">年政府采购支出总额 万元，其中：政府采购货物支出  万元，政府采购工程支出 万元，政府采购服务支出  万元。授予中小企业合同金额 万元，占政府采购支出总额的  </w:t>
      </w:r>
      <w:r>
        <w:rPr>
          <w:rFonts w:ascii="仿宋" w:hAnsi="仿宋" w:eastAsia="仿宋" w:cs="Courier New"/>
          <w:kern w:val="2"/>
        </w:rPr>
        <w:t>%</w:t>
      </w:r>
      <w:r>
        <w:rPr>
          <w:rFonts w:hint="eastAsia" w:ascii="仿宋" w:hAnsi="仿宋" w:eastAsia="仿宋" w:cs="Courier New"/>
          <w:kern w:val="2"/>
        </w:rPr>
        <w:t>，其中：授予小微企业合同金额 万元，占政府采购支出总额的</w:t>
      </w:r>
      <w:r>
        <w:rPr>
          <w:rFonts w:ascii="仿宋" w:hAnsi="仿宋" w:eastAsia="仿宋" w:cs="Courier New"/>
          <w:kern w:val="2"/>
        </w:rPr>
        <w:t xml:space="preserve"> </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日，××局共有车辆 辆，其中，一般公务用车  辆，一般执法执勤用车  辆，特种专业技术用车  辆，其他用车XX辆，其他用车主要是……；；单位价值</w:t>
      </w:r>
      <w:r>
        <w:rPr>
          <w:rFonts w:ascii="仿宋" w:hAnsi="仿宋" w:eastAsia="仿宋" w:cs="Courier New"/>
          <w:kern w:val="2"/>
        </w:rPr>
        <w:t xml:space="preserve"> 200</w:t>
      </w:r>
      <w:r>
        <w:rPr>
          <w:rFonts w:hint="eastAsia" w:ascii="仿宋" w:hAnsi="仿宋" w:eastAsia="仿宋" w:cs="Courier New"/>
          <w:kern w:val="2"/>
        </w:rPr>
        <w:t>万元以上大型设备  台（套）。</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（四）关于预算绩效管理工作开展情况说明。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ascii="仿宋" w:hAnsi="仿宋" w:eastAsia="仿宋" w:cs="Courier New"/>
          <w:kern w:val="2"/>
        </w:rPr>
        <w:t xml:space="preserve">2015 </w:t>
      </w:r>
      <w:r>
        <w:rPr>
          <w:rFonts w:hint="eastAsia" w:ascii="仿宋" w:hAnsi="仿宋" w:eastAsia="仿宋" w:cs="Courier New"/>
          <w:kern w:val="2"/>
        </w:rPr>
        <w:t>年，××局共组织对</w:t>
      </w:r>
      <w:r>
        <w:rPr>
          <w:rFonts w:ascii="仿宋" w:hAnsi="仿宋" w:eastAsia="仿宋" w:cs="Courier New"/>
          <w:kern w:val="2"/>
        </w:rPr>
        <w:t xml:space="preserve"> </w:t>
      </w:r>
      <w:r>
        <w:rPr>
          <w:rFonts w:hint="eastAsia" w:ascii="仿宋" w:hAnsi="仿宋" w:eastAsia="仿宋" w:cs="Courier New"/>
          <w:kern w:val="2"/>
        </w:rPr>
        <w:t xml:space="preserve"> 个项目进行了预算绩效评价，涉及一般公共预算当年财政拨款  万元。绩效评价结果概况说明：……。</w:t>
      </w:r>
    </w:p>
    <w:p>
      <w:pPr>
        <w:pStyle w:val="12"/>
        <w:kinsoku w:val="0"/>
        <w:overflowPunct w:val="0"/>
        <w:snapToGrid w:val="0"/>
        <w:spacing w:line="360" w:lineRule="auto"/>
        <w:ind w:left="0" w:firstLine="640" w:firstLineChars="200"/>
        <w:jc w:val="both"/>
        <w:rPr>
          <w:rFonts w:ascii="仿宋" w:hAnsi="仿宋" w:eastAsia="仿宋" w:cs="Courier New"/>
          <w:kern w:val="2"/>
        </w:rPr>
        <w:sectPr>
          <w:headerReference r:id="rId6" w:type="first"/>
          <w:footerReference r:id="rId9" w:type="first"/>
          <w:headerReference r:id="rId4" w:type="default"/>
          <w:footerReference r:id="rId7" w:type="default"/>
          <w:headerReference r:id="rId5" w:type="even"/>
          <w:footerReference r:id="rId8" w:type="even"/>
          <w:pgSz w:w="11905" w:h="16840"/>
          <w:pgMar w:top="1580" w:right="1240" w:bottom="1180" w:left="1400" w:header="0" w:footer="982" w:gutter="0"/>
          <w:cols w:space="720" w:num="1"/>
        </w:sect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pgSz w:w="11906" w:h="16838"/>
          <w:pgMar w:top="1134" w:right="1134" w:bottom="1134" w:left="1134" w:header="510" w:footer="992" w:gutter="0"/>
          <w:cols w:space="425" w:num="1"/>
          <w:docGrid w:linePitch="435"/>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662.51</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eastAsia="zh-CN"/>
              </w:rPr>
              <w:t>社会保障和就业</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145.81</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r>
              <w:rPr>
                <w:rFonts w:hint="eastAsia" w:hAnsi="宋体"/>
                <w:kern w:val="0"/>
                <w:sz w:val="22"/>
                <w:lang w:eastAsia="zh-CN"/>
              </w:rPr>
              <w:t>医疗卫生和计划生育支出</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int="eastAsia" w:hAnsi="宋体"/>
                <w:kern w:val="0"/>
                <w:sz w:val="22"/>
                <w:lang w:val="en-US" w:eastAsia="zh-CN"/>
              </w:rPr>
              <w:t>516.7</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662.51</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662.51</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9"/>
        <w:gridCol w:w="1792"/>
        <w:gridCol w:w="1178"/>
        <w:gridCol w:w="1149"/>
        <w:gridCol w:w="1702"/>
        <w:gridCol w:w="1416"/>
        <w:gridCol w:w="1453"/>
        <w:gridCol w:w="1670"/>
        <w:gridCol w:w="1477"/>
      </w:tblGrid>
      <w:tr>
        <w:trPr>
          <w:trHeight w:val="450" w:hRule="atLeast"/>
          <w:jc w:val="center"/>
        </w:trPr>
        <w:tc>
          <w:tcPr>
            <w:tcW w:w="3191"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178"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7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17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7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7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191"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17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rPr>
          <w:trHeight w:val="450" w:hRule="atLeast"/>
          <w:jc w:val="center"/>
        </w:trPr>
        <w:tc>
          <w:tcPr>
            <w:tcW w:w="3191"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17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662.51</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662.51</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2080502</w:t>
            </w:r>
          </w:p>
        </w:tc>
        <w:tc>
          <w:tcPr>
            <w:tcW w:w="1792"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1"/>
                <w:szCs w:val="21"/>
              </w:rPr>
            </w:pPr>
            <w:r>
              <w:rPr>
                <w:rFonts w:hint="eastAsia" w:hAnsi="宋体"/>
                <w:kern w:val="0"/>
                <w:sz w:val="21"/>
                <w:szCs w:val="21"/>
                <w:lang w:eastAsia="zh-CN"/>
              </w:rPr>
              <w:t>事业单位离退休</w:t>
            </w:r>
          </w:p>
        </w:tc>
        <w:tc>
          <w:tcPr>
            <w:tcW w:w="117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kern w:val="0"/>
                <w:sz w:val="24"/>
                <w:szCs w:val="24"/>
                <w:lang w:val="en-US" w:eastAsia="zh-CN"/>
              </w:rPr>
            </w:pPr>
            <w:r>
              <w:rPr>
                <w:rFonts w:hint="eastAsia"/>
                <w:kern w:val="0"/>
                <w:sz w:val="24"/>
                <w:szCs w:val="24"/>
                <w:lang w:val="en-US" w:eastAsia="zh-CN"/>
              </w:rPr>
              <w:t>2100101</w:t>
            </w:r>
          </w:p>
        </w:tc>
        <w:tc>
          <w:tcPr>
            <w:tcW w:w="1792"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eastAsia="zh-CN"/>
              </w:rPr>
              <w:t>行政运行</w:t>
            </w:r>
          </w:p>
        </w:tc>
        <w:tc>
          <w:tcPr>
            <w:tcW w:w="1178"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int="eastAsia" w:hAnsi="华文中宋" w:eastAsia="华文中宋"/>
                <w:kern w:val="0"/>
                <w:sz w:val="24"/>
                <w:szCs w:val="24"/>
                <w:lang w:val="en-US" w:eastAsia="zh-CN"/>
              </w:rPr>
              <w:t>76.55</w:t>
            </w: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76.55</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2100302</w:t>
            </w:r>
          </w:p>
        </w:tc>
        <w:tc>
          <w:tcPr>
            <w:tcW w:w="1792"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eastAsia="zh-CN"/>
              </w:rPr>
              <w:t>乡镇卫生院</w:t>
            </w:r>
          </w:p>
        </w:tc>
        <w:tc>
          <w:tcPr>
            <w:tcW w:w="117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2100399</w:t>
            </w:r>
          </w:p>
        </w:tc>
        <w:tc>
          <w:tcPr>
            <w:tcW w:w="1792" w:type="dxa"/>
            <w:tcBorders>
              <w:top w:val="nil"/>
              <w:left w:val="nil"/>
              <w:bottom w:val="single" w:color="auto" w:sz="4" w:space="0"/>
              <w:right w:val="single" w:color="auto" w:sz="4" w:space="0"/>
            </w:tcBorders>
            <w:shd w:val="clear" w:color="000000" w:fill="FFFFFF"/>
            <w:vAlign w:val="center"/>
          </w:tcPr>
          <w:p>
            <w:pPr>
              <w:widowControl/>
              <w:jc w:val="left"/>
              <w:rPr>
                <w:rFonts w:hint="eastAsia" w:hAnsi="宋体"/>
                <w:kern w:val="0"/>
                <w:sz w:val="21"/>
                <w:szCs w:val="21"/>
                <w:lang w:eastAsia="zh-CN"/>
              </w:rPr>
            </w:pPr>
            <w:r>
              <w:rPr>
                <w:rFonts w:hint="eastAsia" w:hAnsi="宋体"/>
                <w:kern w:val="0"/>
                <w:sz w:val="21"/>
                <w:szCs w:val="21"/>
                <w:lang w:eastAsia="zh-CN"/>
              </w:rPr>
              <w:t>　其他基层医疗卫生机构支出</w:t>
            </w:r>
          </w:p>
        </w:tc>
        <w:tc>
          <w:tcPr>
            <w:tcW w:w="117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56.94</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56.94</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792"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17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792"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178"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11"/>
        <w:gridCol w:w="1392"/>
        <w:gridCol w:w="1861"/>
        <w:gridCol w:w="1814"/>
        <w:gridCol w:w="1625"/>
        <w:gridCol w:w="1917"/>
        <w:gridCol w:w="1923"/>
        <w:gridCol w:w="1598"/>
      </w:tblGrid>
      <w:tr>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662.51</w:t>
            </w: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605.57</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56.94</w:t>
            </w: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2080502</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1"/>
                <w:szCs w:val="21"/>
                <w:lang w:eastAsia="zh-CN"/>
              </w:rPr>
              <w:t>事业单位离退休</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2100101</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eastAsia="zh-CN"/>
              </w:rPr>
              <w:t>行政运行</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76.55</w:t>
            </w:r>
            <w:r>
              <w:rPr>
                <w:rFonts w:hAnsi="华文中宋" w:eastAsia="华文中宋"/>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76.55</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2100302</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eastAsia="zh-CN"/>
              </w:rPr>
              <w:t>乡镇卫生院</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2100399</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1"/>
                <w:szCs w:val="21"/>
                <w:lang w:eastAsia="zh-CN"/>
              </w:rPr>
              <w:t>　其他基层医疗卫生机构支出</w:t>
            </w:r>
          </w:p>
        </w:tc>
        <w:tc>
          <w:tcPr>
            <w:tcW w:w="1861"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56.94</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56.94</w:t>
            </w: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662.51</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textDirection w:val="lrTb"/>
            <w:vAlign w:val="center"/>
          </w:tcPr>
          <w:p>
            <w:pPr>
              <w:widowControl/>
              <w:adjustRightInd w:val="0"/>
              <w:snapToGrid w:val="0"/>
              <w:jc w:val="left"/>
              <w:rPr>
                <w:rFonts w:eastAsia="宋体"/>
                <w:kern w:val="0"/>
                <w:sz w:val="24"/>
                <w:szCs w:val="24"/>
              </w:rPr>
            </w:pPr>
            <w:r>
              <w:rPr>
                <w:rFonts w:hint="eastAsia"/>
                <w:kern w:val="0"/>
                <w:sz w:val="24"/>
                <w:szCs w:val="24"/>
                <w:lang w:eastAsia="zh-CN"/>
              </w:rPr>
              <w:t>社会保障和就业</w:t>
            </w:r>
          </w:p>
        </w:tc>
        <w:tc>
          <w:tcPr>
            <w:tcW w:w="993" w:type="dxa"/>
            <w:tcBorders>
              <w:top w:val="nil"/>
              <w:left w:val="nil"/>
              <w:bottom w:val="single" w:color="auto" w:sz="4" w:space="0"/>
              <w:right w:val="single" w:color="auto" w:sz="4" w:space="0"/>
            </w:tcBorders>
            <w:shd w:val="clear" w:color="000000" w:fill="FFFFFF"/>
            <w:textDirection w:val="lrTb"/>
            <w:vAlign w:val="center"/>
          </w:tcPr>
          <w:p>
            <w:pPr>
              <w:widowControl/>
              <w:adjustRightInd w:val="0"/>
              <w:snapToGrid w:val="0"/>
              <w:jc w:val="center"/>
              <w:rPr>
                <w:rFonts w:eastAsia="宋体"/>
                <w:kern w:val="0"/>
                <w:sz w:val="22"/>
              </w:rPr>
            </w:pPr>
            <w:r>
              <w:rPr>
                <w:rFonts w:eastAsia="宋体"/>
                <w:kern w:val="0"/>
                <w:sz w:val="22"/>
              </w:rPr>
              <w:t>2</w:t>
            </w:r>
            <w:r>
              <w:rPr>
                <w:rFonts w:hint="eastAsia"/>
                <w:kern w:val="0"/>
                <w:sz w:val="22"/>
                <w:lang w:val="en-US" w:eastAsia="zh-CN"/>
              </w:rPr>
              <w:t>1</w:t>
            </w:r>
          </w:p>
        </w:tc>
        <w:tc>
          <w:tcPr>
            <w:tcW w:w="992" w:type="dxa"/>
            <w:tcBorders>
              <w:top w:val="nil"/>
              <w:left w:val="nil"/>
              <w:bottom w:val="single" w:color="auto" w:sz="4" w:space="0"/>
              <w:right w:val="nil"/>
            </w:tcBorders>
            <w:shd w:val="clear" w:color="000000" w:fill="FFFFFF"/>
            <w:textDirection w:val="lrTb"/>
            <w:vAlign w:val="center"/>
          </w:tcPr>
          <w:p>
            <w:pPr>
              <w:widowControl/>
              <w:adjustRightInd w:val="0"/>
              <w:snapToGrid w:val="0"/>
              <w:jc w:val="center"/>
              <w:rPr>
                <w:rFonts w:eastAsia="宋体"/>
                <w:kern w:val="0"/>
                <w:sz w:val="22"/>
              </w:rPr>
            </w:pPr>
            <w:r>
              <w:rPr>
                <w:rFonts w:hint="eastAsia" w:hAnsi="宋体"/>
                <w:kern w:val="0"/>
                <w:sz w:val="22"/>
                <w:lang w:val="en-US" w:eastAsia="zh-CN"/>
              </w:rPr>
              <w:t>145.81</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textDirection w:val="lrTb"/>
            <w:vAlign w:val="center"/>
          </w:tcPr>
          <w:p>
            <w:pPr>
              <w:widowControl/>
              <w:adjustRightInd w:val="0"/>
              <w:snapToGrid w:val="0"/>
              <w:jc w:val="center"/>
              <w:rPr>
                <w:rFonts w:eastAsia="宋体"/>
                <w:kern w:val="0"/>
                <w:sz w:val="22"/>
              </w:rPr>
            </w:pPr>
            <w:r>
              <w:rPr>
                <w:rFonts w:hint="eastAsia" w:hAnsi="宋体"/>
                <w:kern w:val="0"/>
                <w:sz w:val="22"/>
                <w:lang w:val="en-US" w:eastAsia="zh-CN"/>
              </w:rPr>
              <w:t>145.81</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textDirection w:val="lrTb"/>
            <w:vAlign w:val="center"/>
          </w:tcPr>
          <w:p>
            <w:pPr>
              <w:widowControl/>
              <w:adjustRightInd w:val="0"/>
              <w:snapToGrid w:val="0"/>
              <w:jc w:val="left"/>
              <w:rPr>
                <w:rFonts w:eastAsia="宋体"/>
                <w:kern w:val="0"/>
                <w:sz w:val="22"/>
              </w:rPr>
            </w:pPr>
            <w:r>
              <w:rPr>
                <w:rFonts w:hAnsi="宋体" w:eastAsia="宋体"/>
                <w:kern w:val="0"/>
                <w:sz w:val="22"/>
              </w:rPr>
              <w:t>　</w:t>
            </w:r>
            <w:r>
              <w:rPr>
                <w:rFonts w:hint="eastAsia" w:hAnsi="宋体"/>
                <w:kern w:val="0"/>
                <w:sz w:val="22"/>
                <w:lang w:eastAsia="zh-CN"/>
              </w:rPr>
              <w:t>医疗卫生和计划生育支出</w:t>
            </w:r>
          </w:p>
        </w:tc>
        <w:tc>
          <w:tcPr>
            <w:tcW w:w="993"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val="0"/>
              <w:snapToGrid w:val="0"/>
              <w:jc w:val="center"/>
              <w:rPr>
                <w:rFonts w:eastAsia="宋体"/>
                <w:kern w:val="0"/>
                <w:sz w:val="22"/>
              </w:rPr>
            </w:pPr>
            <w:r>
              <w:rPr>
                <w:rFonts w:eastAsia="宋体"/>
                <w:kern w:val="0"/>
                <w:sz w:val="22"/>
              </w:rPr>
              <w:t>2</w:t>
            </w:r>
            <w:r>
              <w:rPr>
                <w:rFonts w:hint="eastAsia"/>
                <w:kern w:val="0"/>
                <w:sz w:val="22"/>
                <w:lang w:val="en-US" w:eastAsia="zh-CN"/>
              </w:rPr>
              <w:t>2</w:t>
            </w:r>
          </w:p>
        </w:tc>
        <w:tc>
          <w:tcPr>
            <w:tcW w:w="992" w:type="dxa"/>
            <w:tcBorders>
              <w:top w:val="nil"/>
              <w:left w:val="nil"/>
              <w:bottom w:val="single" w:color="auto" w:sz="4" w:space="0"/>
              <w:right w:val="nil"/>
            </w:tcBorders>
            <w:shd w:val="clear" w:color="000000" w:fill="FFFFFF"/>
            <w:textDirection w:val="lrTb"/>
            <w:vAlign w:val="center"/>
          </w:tcPr>
          <w:p>
            <w:pPr>
              <w:widowControl/>
              <w:adjustRightInd w:val="0"/>
              <w:snapToGrid w:val="0"/>
              <w:jc w:val="center"/>
              <w:rPr>
                <w:rFonts w:eastAsia="宋体"/>
                <w:kern w:val="0"/>
                <w:sz w:val="22"/>
              </w:rPr>
            </w:pPr>
            <w:r>
              <w:rPr>
                <w:rFonts w:hint="eastAsia" w:hAnsi="宋体"/>
                <w:kern w:val="0"/>
                <w:sz w:val="22"/>
                <w:lang w:val="en-US" w:eastAsia="zh-CN"/>
              </w:rPr>
              <w:t>516.7</w:t>
            </w: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val="0"/>
              <w:snapToGrid w:val="0"/>
              <w:jc w:val="center"/>
              <w:rPr>
                <w:rFonts w:eastAsia="宋体"/>
                <w:kern w:val="0"/>
                <w:sz w:val="22"/>
              </w:rPr>
            </w:pPr>
            <w:r>
              <w:rPr>
                <w:rFonts w:hint="eastAsia" w:hAnsi="宋体"/>
                <w:kern w:val="0"/>
                <w:sz w:val="22"/>
                <w:lang w:val="en-US" w:eastAsia="zh-CN"/>
              </w:rPr>
              <w:t>516.7</w:t>
            </w: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662.51</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662.51</w:t>
            </w: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int="eastAsia" w:hAnsi="宋体"/>
                <w:kern w:val="0"/>
                <w:sz w:val="22"/>
                <w:lang w:val="en-US" w:eastAsia="zh-CN"/>
              </w:rPr>
              <w:t>662.51</w:t>
            </w: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2045"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879"/>
        <w:gridCol w:w="2180"/>
        <w:gridCol w:w="3404"/>
        <w:gridCol w:w="3462"/>
      </w:tblGrid>
      <w:tr>
        <w:trPr>
          <w:trHeight w:val="405" w:hRule="atLeast"/>
          <w:jc w:val="center"/>
        </w:trPr>
        <w:tc>
          <w:tcPr>
            <w:tcW w:w="2999"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18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404"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3462"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87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18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40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4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87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18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40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4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87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18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40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4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999"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18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404"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462"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90" w:hRule="atLeast"/>
          <w:jc w:val="center"/>
        </w:trPr>
        <w:tc>
          <w:tcPr>
            <w:tcW w:w="2999"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18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662.51</w:t>
            </w:r>
            <w:r>
              <w:rPr>
                <w:rFonts w:hAnsi="宋体" w:eastAsia="宋体"/>
                <w:kern w:val="0"/>
                <w:sz w:val="24"/>
                <w:szCs w:val="24"/>
              </w:rPr>
              <w:t>　</w:t>
            </w:r>
          </w:p>
        </w:tc>
        <w:tc>
          <w:tcPr>
            <w:tcW w:w="3404"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662.51</w:t>
            </w:r>
            <w:r>
              <w:rPr>
                <w:rFonts w:hAnsi="宋体" w:eastAsia="宋体"/>
                <w:kern w:val="0"/>
                <w:sz w:val="24"/>
                <w:szCs w:val="24"/>
              </w:rPr>
              <w:t>　</w:t>
            </w:r>
          </w:p>
        </w:tc>
        <w:tc>
          <w:tcPr>
            <w:tcW w:w="3462"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2080502</w:t>
            </w:r>
          </w:p>
        </w:tc>
        <w:tc>
          <w:tcPr>
            <w:tcW w:w="1879"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int="eastAsia" w:hAnsi="宋体"/>
                <w:kern w:val="0"/>
                <w:sz w:val="21"/>
                <w:szCs w:val="21"/>
                <w:lang w:eastAsia="zh-CN"/>
              </w:rPr>
              <w:t>事业单位离退休</w:t>
            </w:r>
          </w:p>
        </w:tc>
        <w:tc>
          <w:tcPr>
            <w:tcW w:w="2180"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3404"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3462"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2100101</w:t>
            </w:r>
          </w:p>
        </w:tc>
        <w:tc>
          <w:tcPr>
            <w:tcW w:w="1879"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1"/>
                <w:szCs w:val="21"/>
                <w:lang w:eastAsia="zh-CN"/>
              </w:rPr>
              <w:t>行政运行</w:t>
            </w:r>
          </w:p>
        </w:tc>
        <w:tc>
          <w:tcPr>
            <w:tcW w:w="2180"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华文中宋" w:eastAsia="华文中宋"/>
                <w:kern w:val="0"/>
                <w:sz w:val="24"/>
                <w:szCs w:val="24"/>
                <w:lang w:val="en-US" w:eastAsia="zh-CN"/>
              </w:rPr>
              <w:t>76.55</w:t>
            </w:r>
            <w:r>
              <w:rPr>
                <w:rFonts w:hAnsi="华文中宋" w:eastAsia="华文中宋"/>
                <w:kern w:val="0"/>
                <w:sz w:val="24"/>
                <w:szCs w:val="24"/>
              </w:rPr>
              <w:t>　</w:t>
            </w:r>
          </w:p>
        </w:tc>
        <w:tc>
          <w:tcPr>
            <w:tcW w:w="3404"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华文中宋" w:eastAsia="华文中宋"/>
                <w:kern w:val="0"/>
                <w:sz w:val="24"/>
                <w:szCs w:val="24"/>
                <w:lang w:val="en-US" w:eastAsia="zh-CN"/>
              </w:rPr>
              <w:t>76.55</w:t>
            </w:r>
            <w:r>
              <w:rPr>
                <w:rFonts w:hAnsi="华文中宋" w:eastAsia="华文中宋"/>
                <w:kern w:val="0"/>
                <w:sz w:val="24"/>
                <w:szCs w:val="24"/>
              </w:rPr>
              <w:t>　</w:t>
            </w:r>
          </w:p>
        </w:tc>
        <w:tc>
          <w:tcPr>
            <w:tcW w:w="3462"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2100302</w:t>
            </w:r>
          </w:p>
        </w:tc>
        <w:tc>
          <w:tcPr>
            <w:tcW w:w="1879"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1"/>
                <w:szCs w:val="21"/>
              </w:rPr>
            </w:pPr>
            <w:r>
              <w:rPr>
                <w:rFonts w:hAnsi="宋体" w:eastAsia="宋体"/>
                <w:kern w:val="0"/>
                <w:sz w:val="21"/>
                <w:szCs w:val="21"/>
              </w:rPr>
              <w:t>　</w:t>
            </w:r>
            <w:r>
              <w:rPr>
                <w:rFonts w:hint="eastAsia" w:hAnsi="宋体"/>
                <w:kern w:val="0"/>
                <w:sz w:val="21"/>
                <w:szCs w:val="21"/>
                <w:lang w:eastAsia="zh-CN"/>
              </w:rPr>
              <w:t>乡镇卫生院</w:t>
            </w:r>
          </w:p>
        </w:tc>
        <w:tc>
          <w:tcPr>
            <w:tcW w:w="2180"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3404"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3462"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2100399</w:t>
            </w:r>
          </w:p>
        </w:tc>
        <w:tc>
          <w:tcPr>
            <w:tcW w:w="1879"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1"/>
                <w:szCs w:val="21"/>
              </w:rPr>
            </w:pPr>
            <w:r>
              <w:rPr>
                <w:rFonts w:hint="eastAsia" w:hAnsi="宋体"/>
                <w:kern w:val="0"/>
                <w:sz w:val="21"/>
                <w:szCs w:val="21"/>
                <w:lang w:eastAsia="zh-CN"/>
              </w:rPr>
              <w:t>其他基层医疗卫生机构支出</w:t>
            </w:r>
          </w:p>
        </w:tc>
        <w:tc>
          <w:tcPr>
            <w:tcW w:w="2180"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56.94</w:t>
            </w:r>
            <w:r>
              <w:rPr>
                <w:rFonts w:hAnsi="宋体" w:eastAsia="宋体"/>
                <w:kern w:val="0"/>
                <w:sz w:val="24"/>
                <w:szCs w:val="24"/>
              </w:rPr>
              <w:t>　</w:t>
            </w:r>
          </w:p>
        </w:tc>
        <w:tc>
          <w:tcPr>
            <w:tcW w:w="3404"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p>
        </w:tc>
        <w:tc>
          <w:tcPr>
            <w:tcW w:w="3462"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56.94</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87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18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0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62"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879"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18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0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62"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54"/>
        <w:gridCol w:w="3453"/>
        <w:gridCol w:w="3827"/>
        <w:gridCol w:w="3544"/>
      </w:tblGrid>
      <w:tr>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605.57</w:t>
            </w: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199.81</w:t>
            </w: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405.76</w:t>
            </w: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2080502</w:t>
            </w:r>
          </w:p>
        </w:tc>
        <w:tc>
          <w:tcPr>
            <w:tcW w:w="1254"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int="eastAsia" w:hAnsi="宋体"/>
                <w:kern w:val="0"/>
                <w:sz w:val="21"/>
                <w:szCs w:val="21"/>
                <w:lang w:eastAsia="zh-CN"/>
              </w:rPr>
              <w:t>事业单位离退休</w:t>
            </w:r>
          </w:p>
        </w:tc>
        <w:tc>
          <w:tcPr>
            <w:tcW w:w="3453"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145.81</w:t>
            </w: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145.81</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2100101</w:t>
            </w:r>
          </w:p>
        </w:tc>
        <w:tc>
          <w:tcPr>
            <w:tcW w:w="1254"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1"/>
                <w:szCs w:val="21"/>
                <w:lang w:eastAsia="zh-CN"/>
              </w:rPr>
              <w:t>行政运行</w:t>
            </w:r>
          </w:p>
        </w:tc>
        <w:tc>
          <w:tcPr>
            <w:tcW w:w="3453"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华文中宋" w:eastAsia="华文中宋"/>
                <w:kern w:val="0"/>
                <w:sz w:val="24"/>
                <w:szCs w:val="24"/>
                <w:lang w:val="en-US" w:eastAsia="zh-CN"/>
              </w:rPr>
              <w:t>76.55</w:t>
            </w:r>
            <w:r>
              <w:rPr>
                <w:rFonts w:hAnsi="华文中宋" w:eastAsia="华文中宋"/>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54</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22.55</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2100302</w:t>
            </w:r>
          </w:p>
        </w:tc>
        <w:tc>
          <w:tcPr>
            <w:tcW w:w="1254"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Ansi="宋体" w:eastAsia="宋体"/>
                <w:kern w:val="0"/>
                <w:sz w:val="21"/>
                <w:szCs w:val="21"/>
              </w:rPr>
              <w:t>　</w:t>
            </w:r>
            <w:r>
              <w:rPr>
                <w:rFonts w:hint="eastAsia" w:hAnsi="宋体"/>
                <w:kern w:val="0"/>
                <w:sz w:val="21"/>
                <w:szCs w:val="21"/>
                <w:lang w:eastAsia="zh-CN"/>
              </w:rPr>
              <w:t>乡镇卫生院</w:t>
            </w:r>
          </w:p>
        </w:tc>
        <w:tc>
          <w:tcPr>
            <w:tcW w:w="3453" w:type="dxa"/>
            <w:tcBorders>
              <w:top w:val="nil"/>
              <w:left w:val="nil"/>
              <w:bottom w:val="single" w:color="auto" w:sz="4" w:space="0"/>
              <w:right w:val="single" w:color="auto" w:sz="4" w:space="0"/>
            </w:tcBorders>
            <w:textDirection w:val="lrTb"/>
            <w:vAlign w:val="center"/>
          </w:tcPr>
          <w:p>
            <w:pPr>
              <w:widowControl/>
              <w:jc w:val="left"/>
              <w:rPr>
                <w:rFonts w:eastAsia="宋体"/>
                <w:kern w:val="0"/>
                <w:sz w:val="24"/>
                <w:szCs w:val="24"/>
              </w:rPr>
            </w:pPr>
            <w:r>
              <w:rPr>
                <w:rFonts w:hint="eastAsia" w:hAnsi="宋体"/>
                <w:kern w:val="0"/>
                <w:sz w:val="24"/>
                <w:szCs w:val="24"/>
                <w:lang w:val="en-US" w:eastAsia="zh-CN"/>
              </w:rPr>
              <w:t>383.21</w:t>
            </w: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383.21</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32"/>
        <w:gridCol w:w="94"/>
        <w:gridCol w:w="1320"/>
        <w:gridCol w:w="2000"/>
        <w:gridCol w:w="913"/>
        <w:gridCol w:w="1347"/>
        <w:gridCol w:w="1360"/>
        <w:gridCol w:w="1480"/>
        <w:gridCol w:w="2434"/>
      </w:tblGrid>
      <w:tr>
        <w:trPr>
          <w:trHeight w:val="405" w:hRule="atLeast"/>
          <w:jc w:val="center"/>
        </w:trPr>
        <w:tc>
          <w:tcPr>
            <w:tcW w:w="3246" w:type="dxa"/>
            <w:gridSpan w:val="3"/>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913"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4187"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rPr>
          <w:trHeight w:val="540" w:hRule="atLeast"/>
          <w:jc w:val="center"/>
        </w:trPr>
        <w:tc>
          <w:tcPr>
            <w:tcW w:w="192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7"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w:t>
            </w:r>
            <w:r>
              <w:rPr>
                <w:rFonts w:hint="eastAsia" w:hAnsi="宋体"/>
                <w:kern w:val="0"/>
                <w:sz w:val="24"/>
                <w:szCs w:val="24"/>
                <w:lang w:val="en-US" w:eastAsia="zh-CN"/>
              </w:rPr>
              <w:t xml:space="preserve">  </w:t>
            </w:r>
            <w:r>
              <w:rPr>
                <w:rFonts w:hAnsi="宋体" w:eastAsia="宋体"/>
                <w:kern w:val="0"/>
                <w:sz w:val="24"/>
                <w:szCs w:val="24"/>
              </w:rPr>
              <w:t>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92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92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46"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91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34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246" w:type="dxa"/>
            <w:gridSpan w:val="3"/>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91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832"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14" w:type="dxa"/>
            <w:gridSpan w:val="2"/>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91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832"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14" w:type="dxa"/>
            <w:gridSpan w:val="2"/>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91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832"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14" w:type="dxa"/>
            <w:gridSpan w:val="2"/>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91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832"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14" w:type="dxa"/>
            <w:gridSpan w:val="2"/>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91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832"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14" w:type="dxa"/>
            <w:gridSpan w:val="2"/>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91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832"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14" w:type="dxa"/>
            <w:gridSpan w:val="2"/>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91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4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bookmarkStart w:id="0" w:name="_GoBack"/>
            <w:bookmarkEnd w:id="0"/>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10"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Char"/>
    <w:basedOn w:val="18"/>
    <w:link w:val="15"/>
    <w:uiPriority w:val="0"/>
    <w:rPr>
      <w:sz w:val="18"/>
      <w:szCs w:val="18"/>
    </w:rPr>
  </w:style>
  <w:style w:type="character" w:customStyle="1" w:styleId="28">
    <w:name w:val="页脚 Char Char"/>
    <w:basedOn w:val="18"/>
    <w:link w:val="14"/>
    <w:uiPriority w:val="0"/>
    <w:rPr>
      <w:sz w:val="18"/>
      <w:szCs w:val="18"/>
    </w:rPr>
  </w:style>
  <w:style w:type="character" w:customStyle="1" w:styleId="29">
    <w:name w:val="标题 1 Char Char"/>
    <w:basedOn w:val="18"/>
    <w:link w:val="2"/>
    <w:uiPriority w:val="9"/>
    <w:rPr>
      <w:rFonts w:ascii="Times New Roman" w:hAnsi="Times New Roman" w:eastAsia="黑体" w:cs="Times New Roman"/>
      <w:bCs/>
      <w:kern w:val="44"/>
      <w:sz w:val="32"/>
      <w:szCs w:val="44"/>
    </w:rPr>
  </w:style>
  <w:style w:type="character" w:customStyle="1" w:styleId="30">
    <w:name w:val="标题 2 Char Char"/>
    <w:basedOn w:val="18"/>
    <w:link w:val="3"/>
    <w:uiPriority w:val="9"/>
    <w:rPr>
      <w:rFonts w:ascii="Times New Roman" w:hAnsi="Times New Roman" w:eastAsia="仿宋_GB2312" w:cs="Times New Roman"/>
      <w:b/>
      <w:bCs/>
      <w:kern w:val="0"/>
      <w:sz w:val="32"/>
      <w:szCs w:val="32"/>
    </w:rPr>
  </w:style>
  <w:style w:type="character" w:customStyle="1" w:styleId="31">
    <w:name w:val="标题 3 Char Char"/>
    <w:basedOn w:val="18"/>
    <w:link w:val="4"/>
    <w:uiPriority w:val="9"/>
    <w:rPr>
      <w:rFonts w:ascii="Times New Roman" w:hAnsi="Times New Roman" w:eastAsia="仿宋_GB2312" w:cs="Times New Roman"/>
      <w:b/>
      <w:bCs/>
      <w:kern w:val="0"/>
      <w:sz w:val="32"/>
      <w:szCs w:val="32"/>
    </w:rPr>
  </w:style>
  <w:style w:type="character" w:customStyle="1" w:styleId="32">
    <w:name w:val="标题 4 Char Char"/>
    <w:basedOn w:val="18"/>
    <w:link w:val="5"/>
    <w:uiPriority w:val="9"/>
    <w:rPr>
      <w:rFonts w:ascii="Cambria" w:hAnsi="Cambria" w:eastAsia="宋体" w:cs="Times New Roman"/>
      <w:b/>
      <w:bCs/>
      <w:kern w:val="0"/>
      <w:sz w:val="28"/>
      <w:szCs w:val="28"/>
    </w:rPr>
  </w:style>
  <w:style w:type="character" w:customStyle="1" w:styleId="33">
    <w:name w:val="标题 5 Char Char"/>
    <w:basedOn w:val="18"/>
    <w:link w:val="6"/>
    <w:uiPriority w:val="9"/>
    <w:rPr>
      <w:rFonts w:ascii="Times New Roman" w:hAnsi="Times New Roman" w:eastAsia="仿宋_GB2312" w:cs="Times New Roman"/>
      <w:b/>
      <w:bCs/>
      <w:kern w:val="0"/>
      <w:sz w:val="28"/>
      <w:szCs w:val="28"/>
    </w:rPr>
  </w:style>
  <w:style w:type="character" w:customStyle="1" w:styleId="34">
    <w:name w:val="标题 6 Char Char"/>
    <w:basedOn w:val="18"/>
    <w:link w:val="7"/>
    <w:uiPriority w:val="9"/>
    <w:rPr>
      <w:rFonts w:ascii="Cambria" w:hAnsi="Cambria" w:eastAsia="宋体" w:cs="Times New Roman"/>
      <w:b/>
      <w:bCs/>
      <w:kern w:val="0"/>
      <w:sz w:val="24"/>
      <w:szCs w:val="24"/>
    </w:rPr>
  </w:style>
  <w:style w:type="character" w:customStyle="1" w:styleId="35">
    <w:name w:val="标题 7 Char Char"/>
    <w:basedOn w:val="18"/>
    <w:link w:val="8"/>
    <w:uiPriority w:val="9"/>
    <w:rPr>
      <w:rFonts w:ascii="Times New Roman" w:hAnsi="Times New Roman" w:eastAsia="仿宋_GB2312" w:cs="Times New Roman"/>
      <w:b/>
      <w:bCs/>
      <w:kern w:val="0"/>
      <w:sz w:val="24"/>
      <w:szCs w:val="24"/>
    </w:rPr>
  </w:style>
  <w:style w:type="character" w:customStyle="1" w:styleId="36">
    <w:name w:val="标题 8 Char Char"/>
    <w:basedOn w:val="18"/>
    <w:link w:val="9"/>
    <w:uiPriority w:val="9"/>
    <w:rPr>
      <w:rFonts w:ascii="Cambria" w:hAnsi="Cambria" w:eastAsia="宋体" w:cs="Times New Roman"/>
      <w:kern w:val="0"/>
      <w:sz w:val="24"/>
      <w:szCs w:val="24"/>
    </w:rPr>
  </w:style>
  <w:style w:type="character" w:customStyle="1" w:styleId="37">
    <w:name w:val="标题 9 Char Char"/>
    <w:basedOn w:val="18"/>
    <w:link w:val="10"/>
    <w:uiPriority w:val="9"/>
    <w:rPr>
      <w:rFonts w:ascii="Cambria" w:hAnsi="Cambria" w:eastAsia="宋体" w:cs="Times New Roman"/>
      <w:kern w:val="0"/>
      <w:sz w:val="20"/>
      <w:szCs w:val="21"/>
    </w:rPr>
  </w:style>
  <w:style w:type="character" w:customStyle="1" w:styleId="38">
    <w:name w:val="批注框文本 Char Char"/>
    <w:basedOn w:val="18"/>
    <w:link w:val="13"/>
    <w:uiPriority w:val="99"/>
    <w:rPr>
      <w:rFonts w:ascii="Calibri" w:hAnsi="Calibri" w:eastAsia="宋体" w:cs="Times New Roman"/>
      <w:sz w:val="18"/>
      <w:szCs w:val="18"/>
    </w:rPr>
  </w:style>
  <w:style w:type="character" w:customStyle="1" w:styleId="39">
    <w:name w:val="标题 Char Char"/>
    <w:basedOn w:val="18"/>
    <w:link w:val="17"/>
    <w:uiPriority w:val="10"/>
    <w:rPr>
      <w:rFonts w:ascii="Times New Roman" w:hAnsi="Times New Roman" w:eastAsia="黑体" w:cs="Times New Roman"/>
      <w:b/>
      <w:bCs/>
      <w:kern w:val="0"/>
      <w:sz w:val="36"/>
      <w:szCs w:val="32"/>
    </w:rPr>
  </w:style>
  <w:style w:type="character" w:customStyle="1" w:styleId="40">
    <w:name w:val="副标题 Char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theme" Target="theme/theme1.xml"/><Relationship Id="rId12"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2016-12-23T01:34:16Z</dcterms:modified>
  <dc:title>公开参考格式：不随文下发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