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w:t>
      </w:r>
      <w:r>
        <w:rPr>
          <w:rFonts w:hint="eastAsia" w:ascii="方正小标宋简体" w:eastAsia="方正小标宋简体"/>
          <w:sz w:val="36"/>
          <w:szCs w:val="36"/>
          <w:lang w:val="en-US" w:eastAsia="zh-CN"/>
        </w:rPr>
        <w:t>城管局</w:t>
      </w:r>
      <w:r>
        <w:rPr>
          <w:rFonts w:hint="eastAsia" w:ascii="方正小标宋简体" w:eastAsia="方正小标宋简体"/>
          <w:sz w:val="36"/>
          <w:szCs w:val="36"/>
        </w:rPr>
        <w:t>部</w:t>
      </w:r>
      <w:r>
        <w:rPr>
          <w:rFonts w:hint="eastAsia" w:ascii="方正小标宋简体" w:eastAsia="方正小标宋简体"/>
          <w:sz w:val="36"/>
          <w:szCs w:val="36"/>
          <w:lang w:val="en-US" w:eastAsia="zh-CN"/>
        </w:rPr>
        <w:t>门</w:t>
      </w:r>
      <w:r>
        <w:rPr>
          <w:rFonts w:hint="eastAsia" w:ascii="方正小标宋简体" w:eastAsia="方正小标宋简体"/>
          <w:sz w:val="36"/>
          <w:szCs w:val="36"/>
        </w:rPr>
        <w:t>决算公开</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val="en-US" w:eastAsia="zh-CN"/>
        </w:rPr>
        <w:t>城管</w:t>
      </w:r>
      <w:r>
        <w:rPr>
          <w:rFonts w:hint="eastAsia" w:ascii="仿宋" w:hAnsi="仿宋" w:eastAsia="仿宋"/>
          <w:sz w:val="32"/>
          <w:szCs w:val="32"/>
        </w:rPr>
        <w:t>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lang w:val="en-US" w:eastAsia="zh-CN"/>
        </w:rPr>
        <w:t>城管</w:t>
      </w:r>
      <w:r>
        <w:rPr>
          <w:rFonts w:hint="eastAsia" w:ascii="仿宋" w:hAnsi="仿宋" w:eastAsia="仿宋"/>
          <w:sz w:val="32"/>
          <w:szCs w:val="32"/>
        </w:rPr>
        <w:t>局2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lang w:val="en-US" w:eastAsia="zh-CN"/>
        </w:rPr>
        <w:t>城管</w:t>
      </w:r>
      <w:r>
        <w:rPr>
          <w:rFonts w:hint="eastAsia" w:ascii="仿宋" w:hAnsi="仿宋" w:eastAsia="仿宋"/>
          <w:sz w:val="32"/>
          <w:szCs w:val="32"/>
        </w:rPr>
        <w:t>局</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城管</w:t>
      </w:r>
      <w:r>
        <w:rPr>
          <w:rFonts w:hint="eastAsia" w:ascii="仿宋" w:hAnsi="仿宋" w:eastAsia="仿宋"/>
          <w:sz w:val="32"/>
          <w:szCs w:val="32"/>
        </w:rPr>
        <w:t>局概况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城管</w:t>
      </w:r>
      <w:r>
        <w:rPr>
          <w:rFonts w:hint="eastAsia" w:ascii="仿宋" w:hAnsi="仿宋" w:eastAsia="仿宋"/>
          <w:sz w:val="32"/>
          <w:szCs w:val="32"/>
        </w:rPr>
        <w:t>局主要职责</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（一）</w:t>
      </w:r>
      <w:r>
        <w:rPr>
          <w:rFonts w:hint="eastAsia" w:ascii="仿宋" w:hAnsi="仿宋" w:eastAsia="仿宋" w:cs="仿宋"/>
          <w:sz w:val="30"/>
          <w:szCs w:val="30"/>
          <w:lang w:eastAsia="zh-CN"/>
        </w:rPr>
        <w:t xml:space="preserve">为濮阳市城市管理提供执法保障。城市规划、市容市貌、环境卫生执法 城市市政工程设施执法 城市公用事业执法 城市绿化、城市园林执法 城市住宅、房地产执法 建筑市场、工程质量执法 风景名胜区行政执法 城区范围内“门前三包”责任落实情况督导检查 “门前三包”责任区内违反城市管理法规、规章行为查处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城管局</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hint="eastAsia" w:ascii="仿宋" w:hAnsi="仿宋" w:eastAsia="仿宋"/>
          <w:sz w:val="32"/>
          <w:szCs w:val="32"/>
        </w:rPr>
      </w:pPr>
      <w:r>
        <w:rPr>
          <w:rFonts w:hint="eastAsia" w:ascii="仿宋" w:hAnsi="仿宋" w:eastAsia="仿宋"/>
          <w:lang w:val="en-US" w:eastAsia="zh-CN"/>
        </w:rPr>
        <w:t>城管</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城管</w:t>
      </w:r>
      <w:r>
        <w:rPr>
          <w:rFonts w:hint="eastAsia" w:ascii="仿宋" w:hAnsi="仿宋" w:eastAsia="仿宋"/>
          <w:sz w:val="32"/>
          <w:szCs w:val="32"/>
        </w:rPr>
        <w:t>局2015年度部门决算表</w:t>
      </w: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城管</w:t>
      </w:r>
      <w:r>
        <w:rPr>
          <w:rFonts w:hint="eastAsia" w:ascii="仿宋" w:hAnsi="仿宋" w:eastAsia="仿宋"/>
          <w:sz w:val="32"/>
          <w:szCs w:val="32"/>
        </w:rPr>
        <w:t>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城管</w:t>
      </w:r>
      <w:r>
        <w:rPr>
          <w:rFonts w:hint="eastAsia" w:ascii="仿宋" w:hAnsi="仿宋" w:eastAsia="仿宋" w:cs="Courier New"/>
          <w:sz w:val="32"/>
          <w:szCs w:val="32"/>
        </w:rPr>
        <w:t>局2015年收入总计</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 xml:space="preserve"> 万元，与2014年相比，收、支总计各</w:t>
      </w:r>
      <w:r>
        <w:rPr>
          <w:rFonts w:hint="eastAsia" w:ascii="仿宋" w:hAnsi="仿宋" w:eastAsia="仿宋" w:cs="Courier New"/>
          <w:sz w:val="32"/>
          <w:szCs w:val="32"/>
          <w:lang w:val="en-US" w:eastAsia="zh-CN"/>
        </w:rPr>
        <w:t>增加49.31</w:t>
      </w:r>
      <w:r>
        <w:rPr>
          <w:rFonts w:hint="eastAsia" w:ascii="仿宋" w:hAnsi="仿宋" w:eastAsia="仿宋" w:cs="Courier New"/>
          <w:sz w:val="32"/>
          <w:szCs w:val="32"/>
        </w:rPr>
        <w:t>万元</w:t>
      </w:r>
      <w:r>
        <w:rPr>
          <w:rFonts w:hint="eastAsia" w:ascii="仿宋" w:hAnsi="仿宋" w:eastAsia="仿宋" w:cs="Courier New"/>
          <w:sz w:val="32"/>
          <w:szCs w:val="32"/>
          <w:lang w:eastAsia="zh-CN"/>
        </w:rPr>
        <w:t>，</w:t>
      </w:r>
      <w:r>
        <w:rPr>
          <w:rFonts w:hint="eastAsia" w:ascii="仿宋" w:hAnsi="仿宋" w:eastAsia="仿宋" w:cs="Courier New"/>
          <w:sz w:val="32"/>
          <w:szCs w:val="32"/>
          <w:lang w:val="en-US" w:eastAsia="zh-CN"/>
        </w:rPr>
        <w:t>增加15</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业务量的增加</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cs="Courier New"/>
          <w:sz w:val="32"/>
          <w:szCs w:val="32"/>
          <w:lang w:val="en-US" w:eastAsia="zh-CN"/>
        </w:rPr>
        <w:t>城管</w:t>
      </w:r>
      <w:r>
        <w:rPr>
          <w:rFonts w:hint="eastAsia" w:ascii="仿宋" w:hAnsi="仿宋" w:eastAsia="仿宋"/>
          <w:sz w:val="32"/>
          <w:szCs w:val="32"/>
        </w:rPr>
        <w:t>局本年收入合计</w:t>
      </w:r>
      <w:r>
        <w:rPr>
          <w:rFonts w:hint="eastAsia" w:ascii="仿宋" w:hAnsi="仿宋" w:eastAsia="仿宋"/>
          <w:sz w:val="32"/>
          <w:szCs w:val="32"/>
          <w:lang w:val="en-US" w:eastAsia="zh-CN"/>
        </w:rPr>
        <w:t>318.22</w:t>
      </w:r>
      <w:r>
        <w:rPr>
          <w:rFonts w:hint="eastAsia" w:ascii="仿宋" w:hAnsi="仿宋" w:eastAsia="仿宋"/>
          <w:sz w:val="32"/>
          <w:szCs w:val="32"/>
        </w:rPr>
        <w:t>万元，其中：财政拨款收入</w:t>
      </w:r>
      <w:r>
        <w:rPr>
          <w:rFonts w:hint="eastAsia" w:ascii="仿宋" w:hAnsi="仿宋" w:eastAsia="仿宋"/>
          <w:sz w:val="32"/>
          <w:szCs w:val="32"/>
          <w:lang w:val="en-US" w:eastAsia="zh-CN"/>
        </w:rPr>
        <w:t>318.22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w:t>
      </w:r>
      <w:r>
        <w:rPr>
          <w:rFonts w:hint="eastAsia" w:ascii="仿宋" w:hAnsi="仿宋" w:eastAsia="仿宋"/>
          <w:sz w:val="32"/>
          <w:szCs w:val="32"/>
          <w:lang w:val="en-US" w:eastAsia="zh-CN"/>
        </w:rPr>
        <w:t>/</w:t>
      </w:r>
      <w:r>
        <w:rPr>
          <w:rFonts w:hint="eastAsia" w:ascii="仿宋" w:hAnsi="仿宋" w:eastAsia="仿宋"/>
          <w:sz w:val="32"/>
          <w:szCs w:val="32"/>
        </w:rPr>
        <w:t>万元， 占</w:t>
      </w:r>
      <w:r>
        <w:rPr>
          <w:rFonts w:hint="eastAsia" w:ascii="仿宋" w:hAnsi="仿宋" w:eastAsia="仿宋"/>
          <w:sz w:val="32"/>
          <w:szCs w:val="32"/>
          <w:lang w:val="en-US" w:eastAsia="zh-CN"/>
        </w:rPr>
        <w:t>/</w:t>
      </w:r>
      <w:r>
        <w:rPr>
          <w:rFonts w:hint="eastAsia" w:ascii="仿宋" w:hAnsi="仿宋" w:eastAsia="仿宋"/>
          <w:sz w:val="32"/>
          <w:szCs w:val="32"/>
        </w:rPr>
        <w:t>%；经营收入</w:t>
      </w:r>
      <w:r>
        <w:rPr>
          <w:rFonts w:hint="eastAsia" w:ascii="仿宋" w:hAnsi="仿宋" w:eastAsia="仿宋"/>
          <w:sz w:val="32"/>
          <w:szCs w:val="32"/>
          <w:lang w:val="en-US" w:eastAsia="zh-CN"/>
        </w:rPr>
        <w:t>/</w:t>
      </w:r>
      <w:r>
        <w:rPr>
          <w:rFonts w:hint="eastAsia" w:ascii="仿宋" w:hAnsi="仿宋" w:eastAsia="仿宋"/>
          <w:sz w:val="32"/>
          <w:szCs w:val="32"/>
        </w:rPr>
        <w:t>万元，占</w:t>
      </w:r>
      <w:r>
        <w:rPr>
          <w:rFonts w:hint="eastAsia" w:ascii="仿宋" w:hAnsi="仿宋" w:eastAsia="仿宋"/>
          <w:sz w:val="32"/>
          <w:szCs w:val="32"/>
          <w:lang w:val="en-US" w:eastAsia="zh-CN"/>
        </w:rPr>
        <w:t>/</w:t>
      </w:r>
      <w:r>
        <w:rPr>
          <w:rFonts w:hint="eastAsia" w:ascii="仿宋" w:hAnsi="仿宋" w:eastAsia="仿宋"/>
          <w:sz w:val="32"/>
          <w:szCs w:val="32"/>
        </w:rPr>
        <w:t xml:space="preserve"> %；其他收入</w:t>
      </w:r>
      <w:r>
        <w:rPr>
          <w:rFonts w:hint="eastAsia" w:ascii="仿宋" w:hAnsi="仿宋" w:eastAsia="仿宋"/>
          <w:sz w:val="32"/>
          <w:szCs w:val="32"/>
          <w:lang w:val="en-US" w:eastAsia="zh-CN"/>
        </w:rPr>
        <w:t>/</w:t>
      </w:r>
      <w:r>
        <w:rPr>
          <w:rFonts w:hint="eastAsia" w:ascii="仿宋" w:hAnsi="仿宋" w:eastAsia="仿宋"/>
          <w:sz w:val="32"/>
          <w:szCs w:val="32"/>
        </w:rPr>
        <w:t>万元，占</w:t>
      </w:r>
      <w:r>
        <w:rPr>
          <w:rFonts w:hint="eastAsia" w:ascii="仿宋" w:hAnsi="仿宋" w:eastAsia="仿宋"/>
          <w:sz w:val="32"/>
          <w:szCs w:val="32"/>
          <w:lang w:val="en-US" w:eastAsia="zh-CN"/>
        </w:rPr>
        <w:t>/</w:t>
      </w:r>
      <w:r>
        <w:rPr>
          <w:rFonts w:hint="eastAsia" w:ascii="仿宋" w:hAnsi="仿宋" w:eastAsia="仿宋"/>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城管局</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181.66</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57</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136.56</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43</w:t>
      </w:r>
      <w:r>
        <w:rPr>
          <w:rFonts w:ascii="仿宋" w:hAnsi="仿宋" w:eastAsia="仿宋" w:cs="Courier New"/>
          <w:sz w:val="32"/>
          <w:szCs w:val="32"/>
        </w:rPr>
        <w:t>%</w:t>
      </w:r>
      <w:r>
        <w:rPr>
          <w:rFonts w:hint="eastAsia" w:ascii="仿宋" w:hAnsi="仿宋" w:eastAsia="仿宋" w:cs="Courier New"/>
          <w:sz w:val="32"/>
          <w:szCs w:val="32"/>
        </w:rPr>
        <w:t>；经营支出</w:t>
      </w:r>
      <w:r>
        <w:rPr>
          <w:rFonts w:hint="eastAsia" w:ascii="仿宋" w:hAnsi="仿宋" w:eastAsia="仿宋" w:cs="Courier New"/>
          <w:sz w:val="32"/>
          <w:szCs w:val="32"/>
          <w:lang w:val="en-US" w:eastAsia="zh-CN"/>
        </w:rPr>
        <w:t>/</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城管</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w:t>
      </w:r>
      <w:r>
        <w:rPr>
          <w:rFonts w:hint="eastAsia" w:ascii="仿宋" w:hAnsi="仿宋" w:eastAsia="仿宋" w:cs="Courier New"/>
          <w:sz w:val="32"/>
          <w:szCs w:val="32"/>
          <w:lang w:val="en-US" w:eastAsia="zh-CN"/>
        </w:rPr>
        <w:t>增加49.31</w:t>
      </w:r>
      <w:r>
        <w:rPr>
          <w:rFonts w:hint="eastAsia" w:ascii="仿宋" w:hAnsi="仿宋" w:eastAsia="仿宋" w:cs="Courier New"/>
          <w:sz w:val="32"/>
          <w:szCs w:val="32"/>
        </w:rPr>
        <w:t>万元，</w:t>
      </w:r>
      <w:r>
        <w:rPr>
          <w:rFonts w:hint="eastAsia" w:ascii="仿宋" w:hAnsi="仿宋" w:eastAsia="仿宋" w:cs="Courier New"/>
          <w:sz w:val="32"/>
          <w:szCs w:val="32"/>
          <w:lang w:val="en-US" w:eastAsia="zh-CN"/>
        </w:rPr>
        <w:t>增加15</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业务量的增加</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城管</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 xml:space="preserve"> 万元，支出决算为</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 w:hAnsi="仿宋" w:eastAsia="仿宋" w:cs="Courier New"/>
          <w:sz w:val="32"/>
          <w:szCs w:val="32"/>
          <w:lang w:val="en-US" w:eastAsia="zh-CN"/>
        </w:rPr>
        <w:t>城乡社区</w:t>
      </w:r>
      <w:r>
        <w:rPr>
          <w:rFonts w:hint="eastAsia" w:ascii="仿宋" w:hAnsi="仿宋" w:eastAsia="仿宋" w:cs="Courier New"/>
          <w:sz w:val="32"/>
          <w:szCs w:val="32"/>
        </w:rPr>
        <w:t>（类）支出</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lang w:val="en-US" w:eastAsia="zh-CN"/>
        </w:rPr>
        <w:t>城乡社区</w:t>
      </w:r>
      <w:r>
        <w:rPr>
          <w:rFonts w:hint="eastAsia" w:ascii="仿宋" w:hAnsi="仿宋" w:eastAsia="仿宋"/>
          <w:b/>
          <w:sz w:val="32"/>
          <w:szCs w:val="32"/>
        </w:rPr>
        <w:t>（类）</w:t>
      </w:r>
      <w:r>
        <w:rPr>
          <w:rFonts w:hint="eastAsia" w:ascii="仿宋" w:hAnsi="仿宋" w:eastAsia="仿宋" w:cs="Courier New"/>
          <w:sz w:val="32"/>
          <w:szCs w:val="32"/>
        </w:rPr>
        <w:t>财政事务（款）。年初预算为</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318.22</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城管</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318.22</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181.66</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社会保障缴费、绩效工资、其他工资福利</w:t>
      </w:r>
      <w:r>
        <w:rPr>
          <w:rFonts w:ascii="仿宋" w:hAnsi="仿宋" w:eastAsia="仿宋" w:cs="Courier New"/>
          <w:kern w:val="2"/>
        </w:rPr>
        <w:t xml:space="preserve"> </w:t>
      </w:r>
      <w:r>
        <w:rPr>
          <w:rFonts w:hint="eastAsia" w:ascii="仿宋" w:hAnsi="仿宋" w:eastAsia="仿宋" w:cs="Courier New"/>
          <w:kern w:val="2"/>
        </w:rPr>
        <w:t>支出、退休费、住房公积金、其他对个人和家庭的补助支出；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136.56</w:t>
      </w:r>
      <w:r>
        <w:rPr>
          <w:rFonts w:hint="eastAsia" w:ascii="仿宋" w:hAnsi="仿宋" w:eastAsia="仿宋" w:cs="Courier New"/>
          <w:kern w:val="2"/>
        </w:rPr>
        <w:t>万元，主要包括：办公费、印刷费、咨询费、手续费、水费、电费、邮电费、差旅费、维</w:t>
      </w:r>
      <w:r>
        <w:rPr>
          <w:rFonts w:ascii="仿宋" w:hAnsi="仿宋" w:eastAsia="仿宋" w:cs="Courier New"/>
          <w:kern w:val="2"/>
        </w:rPr>
        <w:t xml:space="preserve"> </w:t>
      </w:r>
      <w:r>
        <w:rPr>
          <w:rFonts w:hint="eastAsia" w:ascii="仿宋" w:hAnsi="仿宋" w:eastAsia="仿宋" w:cs="Courier New"/>
          <w:kern w:val="2"/>
        </w:rPr>
        <w:t>修（护）费、租赁费、培训费、公务接待费、专用材料费、劳务费、其他交通费用、其他商品和服务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城管</w:t>
      </w:r>
      <w:r>
        <w:rPr>
          <w:rFonts w:hint="eastAsia" w:ascii="仿宋" w:hAnsi="仿宋" w:eastAsia="仿宋" w:cs="Courier New"/>
          <w:kern w:val="2"/>
        </w:rPr>
        <w:t>局2015 年“三公”经费财政拨款支出预算为</w:t>
      </w:r>
      <w:r>
        <w:rPr>
          <w:rFonts w:hint="eastAsia" w:ascii="仿宋" w:hAnsi="仿宋" w:eastAsia="仿宋" w:cs="Courier New"/>
          <w:kern w:val="2"/>
          <w:lang w:val="en-US" w:eastAsia="zh-CN"/>
        </w:rPr>
        <w:t>16.7</w:t>
      </w:r>
      <w:r>
        <w:rPr>
          <w:rFonts w:hint="eastAsia" w:ascii="仿宋" w:hAnsi="仿宋" w:eastAsia="仿宋" w:cs="Courier New"/>
          <w:kern w:val="2"/>
        </w:rPr>
        <w:t>万元，支出决算为</w:t>
      </w:r>
      <w:r>
        <w:rPr>
          <w:rFonts w:hint="eastAsia" w:ascii="仿宋" w:hAnsi="仿宋" w:eastAsia="仿宋" w:cs="Courier New"/>
          <w:kern w:val="2"/>
          <w:lang w:val="en-US" w:eastAsia="zh-CN"/>
        </w:rPr>
        <w:t>16.7</w:t>
      </w:r>
      <w:r>
        <w:rPr>
          <w:rFonts w:hint="eastAsia" w:ascii="仿宋" w:hAnsi="仿宋" w:eastAsia="仿宋" w:cs="Courier New"/>
          <w:kern w:val="2"/>
        </w:rPr>
        <w:t>万元。2015年“三公”经费财政拨款支出决算数比 2014 年减少</w:t>
      </w:r>
      <w:r>
        <w:rPr>
          <w:rFonts w:hint="eastAsia" w:ascii="仿宋" w:hAnsi="仿宋" w:eastAsia="仿宋" w:cs="Courier New"/>
          <w:kern w:val="2"/>
          <w:lang w:val="en-US" w:eastAsia="zh-CN"/>
        </w:rPr>
        <w:t>6.3</w:t>
      </w:r>
      <w:r>
        <w:rPr>
          <w:rFonts w:hint="eastAsia" w:ascii="仿宋" w:hAnsi="仿宋" w:eastAsia="仿宋" w:cs="Courier New"/>
          <w:kern w:val="2"/>
        </w:rPr>
        <w:t>万元，下降</w:t>
      </w:r>
      <w:r>
        <w:rPr>
          <w:rFonts w:hint="eastAsia" w:ascii="仿宋" w:hAnsi="仿宋" w:eastAsia="仿宋" w:cs="Courier New"/>
          <w:kern w:val="2"/>
          <w:lang w:val="en-US" w:eastAsia="zh-CN"/>
        </w:rPr>
        <w:t>27</w:t>
      </w:r>
      <w:r>
        <w:rPr>
          <w:rFonts w:hint="eastAsia" w:ascii="仿宋" w:hAnsi="仿宋" w:eastAsia="仿宋" w:cs="Courier New"/>
          <w:kern w:val="2"/>
        </w:rPr>
        <w:t>%，主要原因：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lang w:val="en-US" w:eastAsia="zh-CN"/>
        </w:rPr>
        <w:t>/</w:t>
      </w:r>
      <w:r>
        <w:rPr>
          <w:rFonts w:hint="eastAsia" w:ascii="仿宋" w:hAnsi="仿宋" w:eastAsia="仿宋"/>
          <w:spacing w:val="-1"/>
        </w:rPr>
        <w:t>万元</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w:t>
      </w:r>
      <w:r>
        <w:rPr>
          <w:rFonts w:hint="eastAsia" w:ascii="仿宋" w:hAnsi="仿宋" w:eastAsia="仿宋"/>
          <w:b/>
          <w:spacing w:val="-1"/>
          <w:lang w:val="en-US" w:eastAsia="zh-CN"/>
        </w:rPr>
        <w:t>接待费</w:t>
      </w:r>
      <w:r>
        <w:rPr>
          <w:rFonts w:hint="eastAsia" w:ascii="仿宋" w:hAnsi="仿宋" w:eastAsia="仿宋"/>
          <w:lang w:val="en-US" w:eastAsia="zh-CN"/>
        </w:rPr>
        <w:t>/</w:t>
      </w:r>
      <w:r>
        <w:rPr>
          <w:rFonts w:hint="eastAsia" w:ascii="仿宋" w:hAnsi="仿宋" w:eastAsia="仿宋"/>
        </w:rPr>
        <w:t>万</w:t>
      </w:r>
      <w:r>
        <w:rPr>
          <w:rFonts w:hint="eastAsia" w:ascii="仿宋" w:hAnsi="仿宋" w:eastAsia="仿宋" w:cs="Courier New"/>
          <w:kern w:val="2"/>
        </w:rPr>
        <w:t>元。</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b/>
          <w:spacing w:val="-1"/>
        </w:rPr>
        <w:t>（三）公</w:t>
      </w:r>
      <w:r>
        <w:rPr>
          <w:rFonts w:hint="eastAsia" w:ascii="仿宋" w:hAnsi="仿宋" w:eastAsia="仿宋"/>
          <w:b/>
          <w:spacing w:val="-1"/>
          <w:lang w:val="en-US" w:eastAsia="zh-CN"/>
        </w:rPr>
        <w:t>车运行维护费</w:t>
      </w:r>
      <w:r>
        <w:rPr>
          <w:rFonts w:hint="eastAsia" w:ascii="仿宋" w:hAnsi="仿宋" w:eastAsia="仿宋"/>
          <w:lang w:val="en-US" w:eastAsia="zh-CN"/>
        </w:rPr>
        <w:t>16.7</w:t>
      </w:r>
      <w:r>
        <w:rPr>
          <w:rFonts w:hint="eastAsia" w:ascii="仿宋" w:hAnsi="仿宋" w:eastAsia="仿宋" w:cs="Courier New"/>
          <w:kern w:val="2"/>
        </w:rPr>
        <w:t>万元，完成预算的</w:t>
      </w:r>
      <w:r>
        <w:rPr>
          <w:rFonts w:hint="eastAsia" w:ascii="仿宋" w:hAnsi="仿宋" w:eastAsia="仿宋" w:cs="Courier New"/>
          <w:kern w:val="2"/>
          <w:lang w:val="en-US" w:eastAsia="zh-CN"/>
        </w:rPr>
        <w:t>100</w:t>
      </w:r>
      <w:r>
        <w:rPr>
          <w:rFonts w:hint="eastAsia" w:ascii="仿宋" w:hAnsi="仿宋" w:eastAsia="仿宋" w:cs="Courier New"/>
          <w:kern w:val="2"/>
        </w:rPr>
        <w:t>%，主要用于</w:t>
      </w:r>
      <w:r>
        <w:rPr>
          <w:rFonts w:hint="eastAsia" w:ascii="仿宋" w:hAnsi="仿宋" w:eastAsia="仿宋" w:cs="Courier New"/>
          <w:kern w:val="2"/>
          <w:lang w:val="en-US" w:eastAsia="zh-CN"/>
        </w:rPr>
        <w:t>城管局执法车辆运行维护费</w:t>
      </w:r>
      <w:r>
        <w:rPr>
          <w:rFonts w:hint="eastAsia" w:ascii="仿宋" w:hAnsi="仿宋" w:eastAsia="仿宋" w:cs="Courier New"/>
          <w:kern w:val="2"/>
        </w:rPr>
        <w:t>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年减少</w:t>
      </w:r>
      <w:r>
        <w:rPr>
          <w:rFonts w:hint="eastAsia" w:ascii="仿宋" w:hAnsi="仿宋" w:eastAsia="仿宋" w:cs="Courier New"/>
          <w:kern w:val="2"/>
          <w:lang w:val="en-US" w:eastAsia="zh-CN"/>
        </w:rPr>
        <w:t>6.3</w:t>
      </w:r>
      <w:r>
        <w:rPr>
          <w:rFonts w:hint="eastAsia" w:ascii="仿宋" w:hAnsi="仿宋" w:eastAsia="仿宋" w:cs="Courier New"/>
          <w:kern w:val="2"/>
        </w:rPr>
        <w:t>万元，下降</w:t>
      </w:r>
      <w:r>
        <w:rPr>
          <w:rFonts w:hint="eastAsia" w:ascii="仿宋" w:hAnsi="仿宋" w:eastAsia="仿宋" w:cs="Courier New"/>
          <w:kern w:val="2"/>
          <w:lang w:val="en-US" w:eastAsia="zh-CN"/>
        </w:rPr>
        <w:t>27</w:t>
      </w:r>
      <w:r>
        <w:rPr>
          <w:rFonts w:hint="eastAsia" w:ascii="仿宋" w:hAnsi="仿宋" w:eastAsia="仿宋" w:cs="Courier New"/>
          <w:kern w:val="2"/>
        </w:rPr>
        <w:t>%，主要原因：</w:t>
      </w:r>
      <w:r>
        <w:rPr>
          <w:rFonts w:hint="eastAsia" w:ascii="仿宋" w:hAnsi="仿宋" w:eastAsia="仿宋" w:cs="Courier New"/>
          <w:kern w:val="2"/>
          <w:lang w:val="en-US" w:eastAsia="zh-CN"/>
        </w:rPr>
        <w:t>公车改革封存</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城管</w:t>
      </w:r>
      <w:r>
        <w:rPr>
          <w:rFonts w:hint="eastAsia" w:ascii="仿宋" w:hAnsi="仿宋" w:eastAsia="仿宋" w:cs="Courier New"/>
          <w:kern w:val="2"/>
        </w:rPr>
        <w:t>局2015年府性基金预算财政拨款支出年初预算为</w:t>
      </w:r>
      <w:r>
        <w:rPr>
          <w:rFonts w:hint="eastAsia" w:ascii="仿宋" w:hAnsi="仿宋" w:eastAsia="仿宋" w:cs="Courier New"/>
          <w:kern w:val="2"/>
          <w:lang w:val="en-US" w:eastAsia="zh-CN"/>
        </w:rPr>
        <w:t>/</w:t>
      </w:r>
      <w:r>
        <w:rPr>
          <w:rFonts w:hint="eastAsia" w:ascii="仿宋" w:hAnsi="仿宋" w:eastAsia="仿宋" w:cs="Courier New"/>
          <w:kern w:val="2"/>
        </w:rPr>
        <w:t>万元，支出决算为</w:t>
      </w:r>
      <w:r>
        <w:rPr>
          <w:rFonts w:hint="eastAsia" w:ascii="仿宋" w:hAnsi="仿宋" w:eastAsia="仿宋" w:cs="Courier New"/>
          <w:kern w:val="2"/>
          <w:lang w:val="en-US" w:eastAsia="zh-CN"/>
        </w:rPr>
        <w:t>/</w:t>
      </w:r>
      <w:r>
        <w:rPr>
          <w:rFonts w:hint="eastAsia" w:ascii="仿宋" w:hAnsi="仿宋" w:eastAsia="仿宋" w:cs="Courier New"/>
          <w:kern w:val="2"/>
        </w:rPr>
        <w:t>万元。</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城管</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w:t>
      </w:r>
      <w:r>
        <w:rPr>
          <w:rFonts w:hint="eastAsia" w:ascii="仿宋" w:hAnsi="仿宋" w:eastAsia="仿宋" w:cs="Courier New"/>
          <w:kern w:val="2"/>
        </w:rPr>
        <w:t>万元。</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城管</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w:t>
      </w:r>
      <w:r>
        <w:rPr>
          <w:rFonts w:hint="eastAsia" w:ascii="仿宋" w:hAnsi="仿宋" w:eastAsia="仿宋" w:cs="Courier New"/>
          <w:kern w:val="2"/>
        </w:rPr>
        <w:t>万元。</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val="en-US" w:eastAsia="zh-CN"/>
        </w:rPr>
        <w:t>城管</w:t>
      </w:r>
      <w:r>
        <w:rPr>
          <w:rFonts w:hint="eastAsia" w:ascii="仿宋" w:hAnsi="仿宋" w:eastAsia="仿宋" w:cs="Courier New"/>
          <w:kern w:val="2"/>
        </w:rPr>
        <w:t>局共有车辆</w:t>
      </w:r>
      <w:r>
        <w:rPr>
          <w:rFonts w:hint="eastAsia" w:ascii="仿宋" w:hAnsi="仿宋" w:eastAsia="仿宋" w:cs="Courier New"/>
          <w:kern w:val="2"/>
          <w:lang w:val="en-US" w:eastAsia="zh-CN"/>
        </w:rPr>
        <w:t>6</w:t>
      </w:r>
      <w:r>
        <w:rPr>
          <w:rFonts w:hint="eastAsia" w:ascii="仿宋" w:hAnsi="仿宋" w:eastAsia="仿宋" w:cs="Courier New"/>
          <w:kern w:val="2"/>
        </w:rPr>
        <w:t>辆，其中，</w:t>
      </w:r>
      <w:r>
        <w:rPr>
          <w:rFonts w:hint="eastAsia" w:ascii="仿宋" w:hAnsi="仿宋" w:eastAsia="仿宋" w:cs="Courier New"/>
          <w:kern w:val="2"/>
          <w:lang w:val="en-US" w:eastAsia="zh-CN"/>
        </w:rPr>
        <w:t>一般执法执勤</w:t>
      </w:r>
      <w:r>
        <w:rPr>
          <w:rFonts w:hint="eastAsia" w:ascii="仿宋" w:hAnsi="仿宋" w:eastAsia="仿宋" w:cs="Courier New"/>
          <w:kern w:val="2"/>
        </w:rPr>
        <w:t>用车</w:t>
      </w:r>
      <w:r>
        <w:rPr>
          <w:rFonts w:hint="eastAsia" w:ascii="仿宋" w:hAnsi="仿宋" w:eastAsia="仿宋" w:cs="Courier New"/>
          <w:kern w:val="2"/>
          <w:lang w:val="en-US" w:eastAsia="zh-CN"/>
        </w:rPr>
        <w:t>6</w:t>
      </w:r>
      <w:bookmarkStart w:id="0" w:name="_GoBack"/>
      <w:bookmarkEnd w:id="0"/>
      <w:r>
        <w:rPr>
          <w:rFonts w:hint="eastAsia" w:ascii="仿宋" w:hAnsi="仿宋" w:eastAsia="仿宋" w:cs="Courier New"/>
          <w:kern w:val="2"/>
        </w:rPr>
        <w:t>辆。</w:t>
      </w:r>
    </w:p>
    <w:p>
      <w:pPr>
        <w:kinsoku w:val="0"/>
        <w:overflowPunct w:val="0"/>
        <w:adjustRightInd w:val="0"/>
        <w:snapToGrid w:val="0"/>
        <w:spacing w:line="360" w:lineRule="auto"/>
        <w:ind w:right="521"/>
        <w:jc w:val="center"/>
        <w:rPr>
          <w:rFonts w:hint="eastAsia" w:ascii="仿宋" w:hAnsi="仿宋" w:eastAsia="仿宋" w:cs="黑体"/>
          <w:sz w:val="32"/>
          <w:szCs w:val="32"/>
        </w:r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4" w:type="default"/>
          <w:footerReference r:id="rId5" w:type="default"/>
          <w:pgSz w:w="11906" w:h="16838"/>
          <w:pgMar w:top="1134" w:right="1134" w:bottom="1134" w:left="1134" w:header="510" w:footer="992" w:gutter="0"/>
          <w:cols w:space="720"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val="en-US" w:eastAsia="zh-CN"/>
              </w:rPr>
              <w:t>七、城乡社区支出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b/>
                <w:bCs/>
                <w:kern w:val="0"/>
                <w:sz w:val="22"/>
              </w:rPr>
            </w:pPr>
            <w:r>
              <w:rPr>
                <w:rFonts w:hint="eastAsia" w:hAnsi="宋体"/>
                <w:b w:val="0"/>
                <w:bCs w:val="0"/>
                <w:kern w:val="0"/>
                <w:sz w:val="22"/>
                <w:lang w:val="en-US" w:eastAsia="zh-CN"/>
              </w:rPr>
              <w:t>318.22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right"/>
              <w:rPr>
                <w:rFonts w:eastAsia="宋体"/>
                <w:b/>
                <w:bCs/>
                <w:kern w:val="0"/>
                <w:sz w:val="22"/>
                <w:lang w:val="en-US"/>
              </w:rPr>
            </w:pPr>
            <w:r>
              <w:rPr>
                <w:rFonts w:hint="eastAsia" w:hAnsi="宋体"/>
                <w:b w:val="0"/>
                <w:bCs w:val="0"/>
                <w:kern w:val="0"/>
                <w:sz w:val="22"/>
                <w:lang w:val="en-US" w:eastAsia="zh-CN"/>
              </w:rPr>
              <w:t>318.22</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9"/>
        <w:gridCol w:w="1625"/>
        <w:gridCol w:w="1345"/>
        <w:gridCol w:w="1149"/>
        <w:gridCol w:w="1702"/>
        <w:gridCol w:w="1416"/>
        <w:gridCol w:w="1453"/>
        <w:gridCol w:w="1670"/>
        <w:gridCol w:w="1477"/>
      </w:tblGrid>
      <w:tr>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318.22</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318.22</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11"/>
        <w:gridCol w:w="1392"/>
        <w:gridCol w:w="1861"/>
        <w:gridCol w:w="1814"/>
        <w:gridCol w:w="1625"/>
        <w:gridCol w:w="1917"/>
        <w:gridCol w:w="1923"/>
        <w:gridCol w:w="1598"/>
      </w:tblGrid>
      <w:tr>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318.22</w:t>
            </w: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318.22</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eastAsia="宋体"/>
                <w:kern w:val="0"/>
                <w:sz w:val="24"/>
                <w:szCs w:val="24"/>
                <w:lang w:eastAsia="zh-CN"/>
              </w:rPr>
            </w:pPr>
            <w:r>
              <w:rPr>
                <w:rFonts w:hint="eastAsia"/>
                <w:kern w:val="0"/>
                <w:sz w:val="24"/>
                <w:szCs w:val="24"/>
                <w:lang w:val="en-US" w:eastAsia="zh-CN"/>
              </w:rPr>
              <w:t>七、城乡社区支出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textDirection w:val="lrTb"/>
            <w:vAlign w:val="center"/>
          </w:tcPr>
          <w:p>
            <w:pPr>
              <w:widowControl/>
              <w:jc w:val="center"/>
              <w:rPr>
                <w:rFonts w:eastAsia="宋体"/>
                <w:kern w:val="0"/>
                <w:sz w:val="22"/>
                <w:lang w:val="en-US"/>
              </w:rPr>
            </w:pPr>
            <w:r>
              <w:rPr>
                <w:rFonts w:hint="eastAsia" w:hAnsi="宋体"/>
                <w:kern w:val="0"/>
                <w:sz w:val="22"/>
                <w:lang w:val="en-US" w:eastAsia="zh-CN"/>
              </w:rPr>
              <w:t>318.22</w:t>
            </w:r>
          </w:p>
        </w:tc>
        <w:tc>
          <w:tcPr>
            <w:tcW w:w="1559"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318.22</w:t>
            </w: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318.22</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40"/>
        <w:gridCol w:w="3920"/>
        <w:gridCol w:w="3920"/>
        <w:gridCol w:w="2998"/>
      </w:tblGrid>
      <w:tr>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vAlign w:val="center"/>
          </w:tcPr>
          <w:p>
            <w:pPr>
              <w:widowControl/>
              <w:jc w:val="center"/>
              <w:rPr>
                <w:rFonts w:hint="eastAsia" w:eastAsia="宋体"/>
                <w:kern w:val="0"/>
                <w:sz w:val="24"/>
                <w:szCs w:val="24"/>
                <w:lang w:eastAsia="zh-CN"/>
              </w:rPr>
            </w:pPr>
            <w:r>
              <w:rPr>
                <w:rFonts w:hint="eastAsia" w:hAnsi="宋体"/>
                <w:kern w:val="0"/>
                <w:sz w:val="24"/>
                <w:szCs w:val="24"/>
                <w:lang w:val="en-US" w:eastAsia="zh-CN"/>
              </w:rPr>
              <w:t>318.22</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318.22</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318.22</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181.66</w:t>
            </w: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136.56</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16.7</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16.7</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2016-12-23T02:13:54Z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