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w:t>
      </w:r>
      <w:r>
        <w:rPr>
          <w:rFonts w:hint="eastAsia" w:ascii="方正小标宋简体" w:eastAsia="方正小标宋简体"/>
          <w:sz w:val="36"/>
          <w:szCs w:val="36"/>
          <w:lang w:val="en-US" w:eastAsia="zh-CN"/>
        </w:rPr>
        <w:t>园林局</w:t>
      </w:r>
      <w:r>
        <w:rPr>
          <w:rFonts w:hint="eastAsia" w:ascii="方正小标宋简体" w:eastAsia="方正小标宋简体"/>
          <w:sz w:val="36"/>
          <w:szCs w:val="36"/>
        </w:rPr>
        <w:t>部门决算公开</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val="en-US" w:eastAsia="zh-CN"/>
        </w:rPr>
        <w:t>园林</w:t>
      </w:r>
      <w:r>
        <w:rPr>
          <w:rFonts w:hint="eastAsia" w:ascii="仿宋" w:hAnsi="仿宋" w:eastAsia="仿宋"/>
          <w:sz w:val="32"/>
          <w:szCs w:val="32"/>
        </w:rPr>
        <w:t>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lang w:val="en-US" w:eastAsia="zh-CN"/>
        </w:rPr>
        <w:t>园林</w:t>
      </w:r>
      <w:r>
        <w:rPr>
          <w:rFonts w:hint="eastAsia" w:ascii="仿宋" w:hAnsi="仿宋" w:eastAsia="仿宋"/>
          <w:sz w:val="32"/>
          <w:szCs w:val="32"/>
        </w:rPr>
        <w:t>局2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lang w:val="en-US" w:eastAsia="zh-CN"/>
        </w:rPr>
        <w:t>园林</w:t>
      </w:r>
      <w:r>
        <w:rPr>
          <w:rFonts w:hint="eastAsia" w:ascii="仿宋" w:hAnsi="仿宋" w:eastAsia="仿宋"/>
          <w:sz w:val="32"/>
          <w:szCs w:val="32"/>
        </w:rPr>
        <w:t>局</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园林</w:t>
      </w:r>
      <w:r>
        <w:rPr>
          <w:rFonts w:hint="eastAsia" w:ascii="仿宋" w:hAnsi="仿宋" w:eastAsia="仿宋"/>
          <w:sz w:val="32"/>
          <w:szCs w:val="32"/>
        </w:rPr>
        <w:t>局概况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园林</w:t>
      </w:r>
      <w:r>
        <w:rPr>
          <w:rFonts w:hint="eastAsia" w:ascii="仿宋" w:hAnsi="仿宋" w:eastAsia="仿宋"/>
          <w:sz w:val="32"/>
          <w:szCs w:val="32"/>
        </w:rPr>
        <w:t>局主要职责</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（一）</w:t>
      </w:r>
      <w:r>
        <w:rPr>
          <w:rFonts w:hint="eastAsia" w:ascii="仿宋_GB2312" w:eastAsia="仿宋_GB2312"/>
          <w:sz w:val="30"/>
          <w:szCs w:val="30"/>
        </w:rPr>
        <w:t>负责开发区内园林绿化的行政管理、园林绿化规划；负责开发区内园林绿化的设计与施工等。</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园林</w:t>
      </w:r>
      <w:r>
        <w:rPr>
          <w:rFonts w:hint="eastAsia" w:ascii="仿宋" w:hAnsi="仿宋" w:eastAsia="仿宋"/>
          <w:sz w:val="32"/>
          <w:szCs w:val="32"/>
        </w:rPr>
        <w:t>局决算单位构成</w:t>
      </w:r>
    </w:p>
    <w:p>
      <w:pPr>
        <w:pStyle w:val="12"/>
        <w:kinsoku w:val="0"/>
        <w:overflowPunct w:val="0"/>
        <w:snapToGrid w:val="0"/>
        <w:spacing w:line="360" w:lineRule="auto"/>
        <w:ind w:left="121" w:right="118" w:firstLine="360"/>
        <w:rPr>
          <w:rFonts w:hint="eastAsia" w:ascii="仿宋" w:hAnsi="仿宋" w:eastAsia="仿宋"/>
          <w:sz w:val="32"/>
          <w:szCs w:val="32"/>
        </w:rPr>
      </w:pPr>
      <w:r>
        <w:rPr>
          <w:rFonts w:hint="eastAsia" w:ascii="仿宋" w:hAnsi="仿宋" w:eastAsia="仿宋" w:cs="Courier New"/>
          <w:lang w:val="en-US" w:eastAsia="zh-CN"/>
        </w:rPr>
        <w:t>园林</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园林</w:t>
      </w:r>
      <w:r>
        <w:rPr>
          <w:rFonts w:hint="eastAsia" w:ascii="仿宋" w:hAnsi="仿宋" w:eastAsia="仿宋"/>
          <w:sz w:val="32"/>
          <w:szCs w:val="32"/>
        </w:rPr>
        <w:t>局2015年度部门决算表</w:t>
      </w: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园林</w:t>
      </w:r>
      <w:r>
        <w:rPr>
          <w:rFonts w:hint="eastAsia" w:ascii="仿宋" w:hAnsi="仿宋" w:eastAsia="仿宋"/>
          <w:sz w:val="32"/>
          <w:szCs w:val="32"/>
        </w:rPr>
        <w:t>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园林</w:t>
      </w:r>
      <w:r>
        <w:rPr>
          <w:rFonts w:hint="eastAsia" w:ascii="仿宋" w:hAnsi="仿宋" w:eastAsia="仿宋" w:cs="Courier New"/>
          <w:sz w:val="32"/>
          <w:szCs w:val="32"/>
        </w:rPr>
        <w:t>局2015年收入总计</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万元，支出总计</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 xml:space="preserve"> 万元，与2014年相比，收、支总计各减少</w:t>
      </w:r>
      <w:r>
        <w:rPr>
          <w:rFonts w:hint="eastAsia" w:ascii="仿宋" w:hAnsi="仿宋" w:eastAsia="仿宋" w:cs="Courier New"/>
          <w:sz w:val="32"/>
          <w:szCs w:val="32"/>
          <w:lang w:val="en-US" w:eastAsia="zh-CN"/>
        </w:rPr>
        <w:t>65.87</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9</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业务量的减少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cs="Courier New"/>
          <w:sz w:val="32"/>
          <w:szCs w:val="32"/>
          <w:lang w:val="en-US" w:eastAsia="zh-CN"/>
        </w:rPr>
        <w:t>园林</w:t>
      </w:r>
      <w:r>
        <w:rPr>
          <w:rFonts w:hint="eastAsia" w:ascii="仿宋" w:hAnsi="仿宋" w:eastAsia="仿宋"/>
          <w:sz w:val="32"/>
          <w:szCs w:val="32"/>
        </w:rPr>
        <w:t>局本年收入合计</w:t>
      </w:r>
      <w:r>
        <w:rPr>
          <w:rFonts w:hint="eastAsia" w:ascii="仿宋" w:hAnsi="仿宋" w:eastAsia="仿宋"/>
          <w:sz w:val="32"/>
          <w:szCs w:val="32"/>
          <w:lang w:val="en-US" w:eastAsia="zh-CN"/>
        </w:rPr>
        <w:t>659.13</w:t>
      </w:r>
      <w:r>
        <w:rPr>
          <w:rFonts w:hint="eastAsia" w:ascii="仿宋" w:hAnsi="仿宋" w:eastAsia="仿宋"/>
          <w:sz w:val="32"/>
          <w:szCs w:val="32"/>
        </w:rPr>
        <w:t>万元，其中：财政拨款收入</w:t>
      </w:r>
      <w:r>
        <w:rPr>
          <w:rFonts w:hint="eastAsia" w:ascii="仿宋" w:hAnsi="仿宋" w:eastAsia="仿宋"/>
          <w:sz w:val="32"/>
          <w:szCs w:val="32"/>
          <w:lang w:val="en-US" w:eastAsia="zh-CN"/>
        </w:rPr>
        <w:t>659.13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%；事业收入</w:t>
      </w:r>
      <w:r>
        <w:rPr>
          <w:rFonts w:hint="eastAsia" w:ascii="仿宋" w:hAnsi="仿宋" w:eastAsia="仿宋"/>
          <w:sz w:val="32"/>
          <w:szCs w:val="32"/>
          <w:lang w:val="en-US" w:eastAsia="zh-CN"/>
        </w:rPr>
        <w:t>/</w:t>
      </w:r>
      <w:r>
        <w:rPr>
          <w:rFonts w:hint="eastAsia" w:ascii="仿宋" w:hAnsi="仿宋" w:eastAsia="仿宋"/>
          <w:sz w:val="32"/>
          <w:szCs w:val="32"/>
        </w:rPr>
        <w:t>万元， 占</w:t>
      </w:r>
      <w:r>
        <w:rPr>
          <w:rFonts w:hint="eastAsia" w:ascii="仿宋" w:hAnsi="仿宋" w:eastAsia="仿宋"/>
          <w:sz w:val="32"/>
          <w:szCs w:val="32"/>
          <w:lang w:val="en-US" w:eastAsia="zh-CN"/>
        </w:rPr>
        <w:t>/</w:t>
      </w:r>
      <w:r>
        <w:rPr>
          <w:rFonts w:hint="eastAsia" w:ascii="仿宋" w:hAnsi="仿宋" w:eastAsia="仿宋"/>
          <w:sz w:val="32"/>
          <w:szCs w:val="32"/>
        </w:rPr>
        <w:t>%；经营收入</w:t>
      </w:r>
      <w:r>
        <w:rPr>
          <w:rFonts w:hint="eastAsia" w:ascii="仿宋" w:hAnsi="仿宋" w:eastAsia="仿宋"/>
          <w:sz w:val="32"/>
          <w:szCs w:val="32"/>
          <w:lang w:val="en-US" w:eastAsia="zh-CN"/>
        </w:rPr>
        <w:t>/</w:t>
      </w:r>
      <w:r>
        <w:rPr>
          <w:rFonts w:hint="eastAsia" w:ascii="仿宋" w:hAnsi="仿宋" w:eastAsia="仿宋"/>
          <w:sz w:val="32"/>
          <w:szCs w:val="32"/>
        </w:rPr>
        <w:t>万元，占</w:t>
      </w:r>
      <w:r>
        <w:rPr>
          <w:rFonts w:hint="eastAsia" w:ascii="仿宋" w:hAnsi="仿宋" w:eastAsia="仿宋"/>
          <w:sz w:val="32"/>
          <w:szCs w:val="32"/>
          <w:lang w:val="en-US" w:eastAsia="zh-CN"/>
        </w:rPr>
        <w:t>/</w:t>
      </w:r>
      <w:r>
        <w:rPr>
          <w:rFonts w:hint="eastAsia" w:ascii="仿宋" w:hAnsi="仿宋" w:eastAsia="仿宋"/>
          <w:sz w:val="32"/>
          <w:szCs w:val="32"/>
        </w:rPr>
        <w:t xml:space="preserve"> %；其他收入</w:t>
      </w:r>
      <w:r>
        <w:rPr>
          <w:rFonts w:hint="eastAsia" w:ascii="仿宋" w:hAnsi="仿宋" w:eastAsia="仿宋"/>
          <w:sz w:val="32"/>
          <w:szCs w:val="32"/>
          <w:lang w:val="en-US" w:eastAsia="zh-CN"/>
        </w:rPr>
        <w:t>/</w:t>
      </w:r>
      <w:r>
        <w:rPr>
          <w:rFonts w:hint="eastAsia" w:ascii="仿宋" w:hAnsi="仿宋" w:eastAsia="仿宋"/>
          <w:sz w:val="32"/>
          <w:szCs w:val="32"/>
        </w:rPr>
        <w:t>万元，占</w:t>
      </w:r>
      <w:r>
        <w:rPr>
          <w:rFonts w:hint="eastAsia" w:ascii="仿宋" w:hAnsi="仿宋" w:eastAsia="仿宋"/>
          <w:sz w:val="32"/>
          <w:szCs w:val="32"/>
          <w:lang w:val="en-US" w:eastAsia="zh-CN"/>
        </w:rPr>
        <w:t>/</w:t>
      </w:r>
      <w:r>
        <w:rPr>
          <w:rFonts w:hint="eastAsia" w:ascii="仿宋" w:hAnsi="仿宋" w:eastAsia="仿宋"/>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园林</w:t>
      </w:r>
      <w:r>
        <w:rPr>
          <w:rFonts w:hint="eastAsia" w:ascii="仿宋" w:hAnsi="仿宋" w:eastAsia="仿宋" w:cs="Courier New"/>
          <w:sz w:val="32"/>
          <w:szCs w:val="32"/>
        </w:rPr>
        <w:t>局本年支出合计</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128.123</w:t>
      </w:r>
      <w:r>
        <w:rPr>
          <w:rFonts w:ascii="仿宋" w:hAnsi="仿宋" w:eastAsia="仿宋" w:cs="Courier New"/>
          <w:sz w:val="32"/>
          <w:szCs w:val="32"/>
        </w:rPr>
        <w:t xml:space="preserve"> </w:t>
      </w:r>
      <w:r>
        <w:rPr>
          <w:rFonts w:hint="eastAsia" w:ascii="仿宋" w:hAnsi="仿宋" w:eastAsia="仿宋" w:cs="Courier New"/>
          <w:sz w:val="32"/>
          <w:szCs w:val="32"/>
        </w:rPr>
        <w:t xml:space="preserve">  万元，占</w:t>
      </w:r>
      <w:r>
        <w:rPr>
          <w:rFonts w:hint="eastAsia" w:ascii="仿宋" w:hAnsi="仿宋" w:eastAsia="仿宋" w:cs="Courier New"/>
          <w:sz w:val="32"/>
          <w:szCs w:val="32"/>
          <w:lang w:val="en-US" w:eastAsia="zh-CN"/>
        </w:rPr>
        <w:t>20</w:t>
      </w:r>
      <w:r>
        <w:rPr>
          <w:rFonts w:ascii="仿宋" w:hAnsi="仿宋" w:eastAsia="仿宋" w:cs="Courier New"/>
          <w:sz w:val="32"/>
          <w:szCs w:val="32"/>
        </w:rPr>
        <w:t>%</w:t>
      </w:r>
      <w:r>
        <w:rPr>
          <w:rFonts w:hint="eastAsia" w:ascii="仿宋" w:hAnsi="仿宋" w:eastAsia="仿宋" w:cs="Courier New"/>
          <w:sz w:val="32"/>
          <w:szCs w:val="32"/>
        </w:rPr>
        <w:t>；项目支出</w:t>
      </w:r>
      <w:r>
        <w:rPr>
          <w:rFonts w:hint="eastAsia" w:ascii="仿宋" w:hAnsi="仿宋" w:eastAsia="仿宋" w:cs="Courier New"/>
          <w:sz w:val="32"/>
          <w:szCs w:val="32"/>
          <w:lang w:val="en-US" w:eastAsia="zh-CN"/>
        </w:rPr>
        <w:t>531</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80</w:t>
      </w:r>
      <w:r>
        <w:rPr>
          <w:rFonts w:ascii="仿宋" w:hAnsi="仿宋" w:eastAsia="仿宋" w:cs="Courier New"/>
          <w:sz w:val="32"/>
          <w:szCs w:val="32"/>
        </w:rPr>
        <w:t>%</w:t>
      </w:r>
      <w:r>
        <w:rPr>
          <w:rFonts w:hint="eastAsia" w:ascii="仿宋" w:hAnsi="仿宋" w:eastAsia="仿宋" w:cs="Courier New"/>
          <w:sz w:val="32"/>
          <w:szCs w:val="32"/>
        </w:rPr>
        <w:t>；经营支出</w:t>
      </w:r>
      <w:r>
        <w:rPr>
          <w:rFonts w:hint="eastAsia" w:ascii="仿宋" w:hAnsi="仿宋" w:eastAsia="仿宋" w:cs="Courier New"/>
          <w:sz w:val="32"/>
          <w:szCs w:val="32"/>
          <w:lang w:val="en-US" w:eastAsia="zh-CN"/>
        </w:rPr>
        <w:t>/</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园林</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年相比，财政拨款收、支总计各减少</w:t>
      </w:r>
      <w:r>
        <w:rPr>
          <w:rFonts w:hint="eastAsia" w:ascii="仿宋" w:hAnsi="仿宋" w:eastAsia="仿宋" w:cs="Courier New"/>
          <w:sz w:val="32"/>
          <w:szCs w:val="32"/>
          <w:lang w:val="en-US" w:eastAsia="zh-CN"/>
        </w:rPr>
        <w:t>65.87</w:t>
      </w:r>
      <w:r>
        <w:rPr>
          <w:rFonts w:hint="eastAsia" w:ascii="仿宋" w:hAnsi="仿宋" w:eastAsia="仿宋" w:cs="Courier New"/>
          <w:sz w:val="32"/>
          <w:szCs w:val="32"/>
        </w:rPr>
        <w:t>万元，下降</w:t>
      </w:r>
      <w:r>
        <w:rPr>
          <w:rFonts w:hint="eastAsia" w:ascii="仿宋" w:hAnsi="仿宋" w:eastAsia="仿宋" w:cs="Courier New"/>
          <w:sz w:val="32"/>
          <w:szCs w:val="32"/>
          <w:lang w:val="en-US" w:eastAsia="zh-CN"/>
        </w:rPr>
        <w:t>9</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val="en-US" w:eastAsia="zh-CN"/>
        </w:rPr>
        <w:t>业务量的减少</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val="en-US" w:eastAsia="zh-CN"/>
        </w:rPr>
        <w:t>园林</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 xml:space="preserve"> 万元，支出决算为</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 w:hAnsi="仿宋" w:eastAsia="仿宋" w:cs="Courier New"/>
          <w:sz w:val="32"/>
          <w:szCs w:val="32"/>
          <w:lang w:val="en-US" w:eastAsia="zh-CN"/>
        </w:rPr>
        <w:t>城乡社区</w:t>
      </w:r>
      <w:r>
        <w:rPr>
          <w:rFonts w:hint="eastAsia" w:ascii="仿宋" w:hAnsi="仿宋" w:eastAsia="仿宋" w:cs="Courier New"/>
          <w:sz w:val="32"/>
          <w:szCs w:val="32"/>
        </w:rPr>
        <w:t>（类）支出</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lang w:val="en-US" w:eastAsia="zh-CN"/>
        </w:rPr>
        <w:t>城乡社区</w:t>
      </w:r>
      <w:r>
        <w:rPr>
          <w:rFonts w:hint="eastAsia" w:ascii="仿宋" w:hAnsi="仿宋" w:eastAsia="仿宋"/>
          <w:b/>
          <w:sz w:val="32"/>
          <w:szCs w:val="32"/>
        </w:rPr>
        <w:t>（类）</w:t>
      </w:r>
      <w:r>
        <w:rPr>
          <w:rFonts w:hint="eastAsia" w:ascii="仿宋" w:hAnsi="仿宋" w:eastAsia="仿宋" w:cs="Courier New"/>
          <w:sz w:val="32"/>
          <w:szCs w:val="32"/>
        </w:rPr>
        <w:t>财政事务（款）。年初预算为</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万元，支出决算为</w:t>
      </w:r>
      <w:r>
        <w:rPr>
          <w:rFonts w:hint="eastAsia" w:ascii="仿宋" w:hAnsi="仿宋" w:eastAsia="仿宋" w:cs="Courier New"/>
          <w:sz w:val="32"/>
          <w:szCs w:val="32"/>
          <w:lang w:val="en-US" w:eastAsia="zh-CN"/>
        </w:rPr>
        <w:t>659.13</w:t>
      </w:r>
      <w:r>
        <w:rPr>
          <w:rFonts w:hint="eastAsia" w:ascii="仿宋" w:hAnsi="仿宋" w:eastAsia="仿宋" w:cs="Courier New"/>
          <w:sz w:val="32"/>
          <w:szCs w:val="32"/>
        </w:rPr>
        <w:t>万元，完成年初预算的</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园林</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128.13</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lang w:val="en-US" w:eastAsia="zh-CN"/>
        </w:rPr>
        <w:t>123.13</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社会保障缴费、绩效工资、其他工资福利</w:t>
      </w:r>
      <w:r>
        <w:rPr>
          <w:rFonts w:ascii="仿宋" w:hAnsi="仿宋" w:eastAsia="仿宋" w:cs="Courier New"/>
          <w:kern w:val="2"/>
        </w:rPr>
        <w:t xml:space="preserve"> </w:t>
      </w:r>
      <w:r>
        <w:rPr>
          <w:rFonts w:hint="eastAsia" w:ascii="仿宋" w:hAnsi="仿宋" w:eastAsia="仿宋" w:cs="Courier New"/>
          <w:kern w:val="2"/>
        </w:rPr>
        <w:t>支出、退休费、住房公积金、其他对个人和家庭的补助支出；</w:t>
      </w:r>
      <w:r>
        <w:rPr>
          <w:rFonts w:hint="eastAsia" w:ascii="仿宋" w:hAnsi="仿宋" w:eastAsia="仿宋"/>
          <w:b/>
          <w:spacing w:val="-1"/>
        </w:rPr>
        <w:t>公用经费</w:t>
      </w:r>
      <w:r>
        <w:rPr>
          <w:rFonts w:hint="eastAsia" w:ascii="仿宋" w:hAnsi="仿宋" w:eastAsia="仿宋"/>
          <w:spacing w:val="-2"/>
          <w:lang w:val="en-US" w:eastAsia="zh-CN"/>
        </w:rPr>
        <w:t>5</w:t>
      </w:r>
      <w:r>
        <w:rPr>
          <w:rFonts w:hint="eastAsia" w:ascii="仿宋" w:hAnsi="仿宋" w:eastAsia="仿宋" w:cs="Courier New"/>
          <w:kern w:val="2"/>
        </w:rPr>
        <w:t>万元，主要包括：办公费、印刷费、咨询费、手续费、水费、电费、邮电费、差旅费、维</w:t>
      </w:r>
      <w:r>
        <w:rPr>
          <w:rFonts w:ascii="仿宋" w:hAnsi="仿宋" w:eastAsia="仿宋" w:cs="Courier New"/>
          <w:kern w:val="2"/>
        </w:rPr>
        <w:t xml:space="preserve"> </w:t>
      </w:r>
      <w:r>
        <w:rPr>
          <w:rFonts w:hint="eastAsia" w:ascii="仿宋" w:hAnsi="仿宋" w:eastAsia="仿宋" w:cs="Courier New"/>
          <w:kern w:val="2"/>
        </w:rPr>
        <w:t>修（护）费、租赁费、培训费、公务接待费、专用材料费、劳务费、其他交通费用、其他商品和服务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园林</w:t>
      </w:r>
      <w:r>
        <w:rPr>
          <w:rFonts w:hint="eastAsia" w:ascii="仿宋" w:hAnsi="仿宋" w:eastAsia="仿宋" w:cs="Courier New"/>
          <w:kern w:val="2"/>
        </w:rPr>
        <w:t>局2015 年“三公”经费财政拨款支出预算为</w:t>
      </w:r>
      <w:r>
        <w:rPr>
          <w:rFonts w:hint="eastAsia" w:ascii="仿宋" w:hAnsi="仿宋" w:eastAsia="仿宋" w:cs="Courier New"/>
          <w:kern w:val="2"/>
          <w:lang w:val="en-US" w:eastAsia="zh-CN"/>
        </w:rPr>
        <w:t>0.1</w:t>
      </w:r>
      <w:r>
        <w:rPr>
          <w:rFonts w:hint="eastAsia" w:ascii="仿宋" w:hAnsi="仿宋" w:eastAsia="仿宋" w:cs="Courier New"/>
          <w:kern w:val="2"/>
        </w:rPr>
        <w:t>万元，支出决算为</w:t>
      </w:r>
      <w:r>
        <w:rPr>
          <w:rFonts w:hint="eastAsia" w:ascii="仿宋" w:hAnsi="仿宋" w:eastAsia="仿宋" w:cs="Courier New"/>
          <w:kern w:val="2"/>
          <w:lang w:val="en-US" w:eastAsia="zh-CN"/>
        </w:rPr>
        <w:t>0.095</w:t>
      </w:r>
      <w:r>
        <w:rPr>
          <w:rFonts w:hint="eastAsia" w:ascii="仿宋" w:hAnsi="仿宋" w:eastAsia="仿宋" w:cs="Courier New"/>
          <w:kern w:val="2"/>
        </w:rPr>
        <w:t>万元，完成预算的</w:t>
      </w:r>
      <w:r>
        <w:rPr>
          <w:rFonts w:hint="eastAsia" w:ascii="仿宋" w:hAnsi="仿宋" w:eastAsia="仿宋" w:cs="Courier New"/>
          <w:kern w:val="2"/>
          <w:lang w:val="en-US" w:eastAsia="zh-CN"/>
        </w:rPr>
        <w:t>95</w:t>
      </w:r>
      <w:r>
        <w:rPr>
          <w:rFonts w:hint="eastAsia" w:ascii="仿宋" w:hAnsi="仿宋" w:eastAsia="仿宋" w:cs="Courier New"/>
          <w:kern w:val="2"/>
        </w:rPr>
        <w:t>%，主要原因：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。2015年“三公”经费财政拨款支出决算数比 2014 年减少</w:t>
      </w:r>
      <w:r>
        <w:rPr>
          <w:rFonts w:hint="eastAsia" w:ascii="仿宋" w:hAnsi="仿宋" w:eastAsia="仿宋" w:cs="Courier New"/>
          <w:kern w:val="2"/>
          <w:lang w:val="en-US" w:eastAsia="zh-CN"/>
        </w:rPr>
        <w:t>0.195</w:t>
      </w:r>
      <w:r>
        <w:rPr>
          <w:rFonts w:hint="eastAsia" w:ascii="仿宋" w:hAnsi="仿宋" w:eastAsia="仿宋" w:cs="Courier New"/>
          <w:kern w:val="2"/>
        </w:rPr>
        <w:t>万元，下降</w:t>
      </w:r>
      <w:r>
        <w:rPr>
          <w:rFonts w:hint="eastAsia" w:ascii="仿宋" w:hAnsi="仿宋" w:eastAsia="仿宋" w:cs="Courier New"/>
          <w:kern w:val="2"/>
          <w:lang w:val="en-US" w:eastAsia="zh-CN"/>
        </w:rPr>
        <w:t>67</w:t>
      </w:r>
      <w:r>
        <w:rPr>
          <w:rFonts w:hint="eastAsia" w:ascii="仿宋" w:hAnsi="仿宋" w:eastAsia="仿宋" w:cs="Courier New"/>
          <w:kern w:val="2"/>
        </w:rPr>
        <w:t>%，主要原因：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lang w:val="en-US" w:eastAsia="zh-CN"/>
        </w:rPr>
        <w:t>/</w:t>
      </w:r>
      <w:r>
        <w:rPr>
          <w:rFonts w:hint="eastAsia" w:ascii="仿宋" w:hAnsi="仿宋" w:eastAsia="仿宋"/>
          <w:spacing w:val="-1"/>
        </w:rPr>
        <w:t>万元</w:t>
      </w:r>
      <w:r>
        <w:rPr>
          <w:rFonts w:hint="eastAsia" w:ascii="仿宋" w:hAnsi="仿宋" w:eastAsia="仿宋" w:cs="Courier New"/>
          <w:kern w:val="2"/>
        </w:rPr>
        <w:t>。</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lang w:val="en-US" w:eastAsia="zh-CN"/>
        </w:rPr>
        <w:t>/</w:t>
      </w:r>
      <w:r>
        <w:rPr>
          <w:rFonts w:hint="eastAsia" w:ascii="仿宋" w:hAnsi="仿宋" w:eastAsia="仿宋"/>
        </w:rPr>
        <w:t>万</w:t>
      </w:r>
      <w:r>
        <w:rPr>
          <w:rFonts w:hint="eastAsia" w:ascii="仿宋" w:hAnsi="仿宋" w:eastAsia="仿宋" w:cs="Courier New"/>
          <w:kern w:val="2"/>
        </w:rPr>
        <w:t>元。</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lang w:val="en-US" w:eastAsia="zh-CN"/>
        </w:rPr>
        <w:t>0.095</w:t>
      </w:r>
      <w:r>
        <w:rPr>
          <w:rFonts w:hint="eastAsia" w:ascii="仿宋" w:hAnsi="仿宋" w:eastAsia="仿宋" w:cs="Courier New"/>
          <w:kern w:val="2"/>
        </w:rPr>
        <w:t>万元，完成预算的</w:t>
      </w:r>
      <w:r>
        <w:rPr>
          <w:rFonts w:hint="eastAsia" w:ascii="仿宋" w:hAnsi="仿宋" w:eastAsia="仿宋" w:cs="Courier New"/>
          <w:kern w:val="2"/>
          <w:lang w:val="en-US" w:eastAsia="zh-CN"/>
        </w:rPr>
        <w:t>95</w:t>
      </w:r>
      <w:r>
        <w:rPr>
          <w:rFonts w:hint="eastAsia" w:ascii="仿宋" w:hAnsi="仿宋" w:eastAsia="仿宋" w:cs="Courier New"/>
          <w:kern w:val="2"/>
        </w:rPr>
        <w:t>%，主要用于按规定开支的各类公务接待支出。2015 年共接待</w:t>
      </w:r>
      <w:r>
        <w:rPr>
          <w:rFonts w:hint="eastAsia" w:ascii="仿宋" w:hAnsi="仿宋" w:eastAsia="仿宋" w:cs="Courier New"/>
          <w:kern w:val="2"/>
          <w:lang w:val="en-US" w:eastAsia="zh-CN"/>
        </w:rPr>
        <w:t>2</w:t>
      </w:r>
      <w:r>
        <w:rPr>
          <w:rFonts w:hint="eastAsia" w:ascii="仿宋" w:hAnsi="仿宋" w:eastAsia="仿宋" w:cs="Courier New"/>
          <w:kern w:val="2"/>
        </w:rPr>
        <w:t xml:space="preserve">批次、 </w:t>
      </w:r>
      <w:r>
        <w:rPr>
          <w:rFonts w:hint="eastAsia" w:ascii="仿宋" w:hAnsi="仿宋" w:eastAsia="仿宋" w:cs="Courier New"/>
          <w:kern w:val="2"/>
          <w:lang w:val="en-US" w:eastAsia="zh-CN"/>
        </w:rPr>
        <w:t>19</w:t>
      </w:r>
      <w:r>
        <w:rPr>
          <w:rFonts w:hint="eastAsia" w:ascii="仿宋" w:hAnsi="仿宋" w:eastAsia="仿宋" w:cs="Courier New"/>
          <w:kern w:val="2"/>
        </w:rPr>
        <w:t xml:space="preserve">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决算数小于年初预算数的主要原因：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年减少</w:t>
      </w:r>
      <w:r>
        <w:rPr>
          <w:rFonts w:hint="eastAsia" w:ascii="仿宋" w:hAnsi="仿宋" w:eastAsia="仿宋" w:cs="Courier New"/>
          <w:kern w:val="2"/>
          <w:lang w:val="en-US" w:eastAsia="zh-CN"/>
        </w:rPr>
        <w:t>0.195</w:t>
      </w:r>
      <w:r>
        <w:rPr>
          <w:rFonts w:hint="eastAsia" w:ascii="仿宋" w:hAnsi="仿宋" w:eastAsia="仿宋" w:cs="Courier New"/>
          <w:kern w:val="2"/>
        </w:rPr>
        <w:t>万元，下降</w:t>
      </w:r>
      <w:r>
        <w:rPr>
          <w:rFonts w:hint="eastAsia" w:ascii="仿宋" w:hAnsi="仿宋" w:eastAsia="仿宋" w:cs="Courier New"/>
          <w:kern w:val="2"/>
          <w:lang w:val="en-US" w:eastAsia="zh-CN"/>
        </w:rPr>
        <w:t>67</w:t>
      </w:r>
      <w:r>
        <w:rPr>
          <w:rFonts w:hint="eastAsia" w:ascii="仿宋" w:hAnsi="仿宋" w:eastAsia="仿宋" w:cs="Courier New"/>
          <w:kern w:val="2"/>
        </w:rPr>
        <w:t>%，主要原因：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园林</w:t>
      </w:r>
      <w:r>
        <w:rPr>
          <w:rFonts w:hint="eastAsia" w:ascii="仿宋" w:hAnsi="仿宋" w:eastAsia="仿宋" w:cs="Courier New"/>
          <w:kern w:val="2"/>
        </w:rPr>
        <w:t>局2015年府性基金预算财政拨款支出年初预算为</w:t>
      </w:r>
      <w:r>
        <w:rPr>
          <w:rFonts w:hint="eastAsia" w:ascii="仿宋" w:hAnsi="仿宋" w:eastAsia="仿宋" w:cs="Courier New"/>
          <w:kern w:val="2"/>
          <w:lang w:val="en-US" w:eastAsia="zh-CN"/>
        </w:rPr>
        <w:t>/</w:t>
      </w:r>
      <w:r>
        <w:rPr>
          <w:rFonts w:hint="eastAsia" w:ascii="仿宋" w:hAnsi="仿宋" w:eastAsia="仿宋" w:cs="Courier New"/>
          <w:kern w:val="2"/>
        </w:rPr>
        <w:t>万元，支出决算为</w:t>
      </w:r>
      <w:r>
        <w:rPr>
          <w:rFonts w:hint="eastAsia" w:ascii="仿宋" w:hAnsi="仿宋" w:eastAsia="仿宋" w:cs="Courier New"/>
          <w:kern w:val="2"/>
          <w:lang w:val="en-US" w:eastAsia="zh-CN"/>
        </w:rPr>
        <w:t>/</w:t>
      </w:r>
      <w:r>
        <w:rPr>
          <w:rFonts w:hint="eastAsia" w:ascii="仿宋" w:hAnsi="仿宋" w:eastAsia="仿宋" w:cs="Courier New"/>
          <w:kern w:val="2"/>
        </w:rPr>
        <w:t>万元。</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园林</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5</w:t>
      </w:r>
      <w:r>
        <w:rPr>
          <w:rFonts w:hint="eastAsia" w:ascii="仿宋" w:hAnsi="仿宋" w:eastAsia="仿宋" w:cs="Courier New"/>
          <w:kern w:val="2"/>
        </w:rPr>
        <w:t>万元，比</w:t>
      </w:r>
      <w:r>
        <w:rPr>
          <w:rFonts w:ascii="仿宋" w:hAnsi="仿宋" w:eastAsia="仿宋" w:cs="Courier New"/>
          <w:kern w:val="2"/>
        </w:rPr>
        <w:t xml:space="preserve"> 2014</w:t>
      </w:r>
      <w:r>
        <w:rPr>
          <w:rFonts w:hint="eastAsia" w:ascii="仿宋" w:hAnsi="仿宋" w:eastAsia="仿宋" w:cs="Courier New"/>
          <w:kern w:val="2"/>
        </w:rPr>
        <w:t>年减</w:t>
      </w:r>
      <w:r>
        <w:rPr>
          <w:rFonts w:hint="eastAsia" w:ascii="仿宋" w:hAnsi="仿宋" w:eastAsia="仿宋" w:cs="Courier New"/>
          <w:kern w:val="2"/>
          <w:lang w:val="en-US" w:eastAsia="zh-CN"/>
        </w:rPr>
        <w:t>3.8</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val="en-US" w:eastAsia="zh-CN"/>
        </w:rPr>
        <w:t>业务量减少</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val="en-US" w:eastAsia="zh-CN"/>
        </w:rPr>
        <w:t>园林</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年政府采购支出总额</w:t>
      </w:r>
      <w:r>
        <w:rPr>
          <w:rFonts w:hint="eastAsia" w:ascii="仿宋" w:hAnsi="仿宋" w:eastAsia="仿宋" w:cs="Courier New"/>
          <w:kern w:val="2"/>
          <w:lang w:val="en-US" w:eastAsia="zh-CN"/>
        </w:rPr>
        <w:t>/</w:t>
      </w:r>
      <w:r>
        <w:rPr>
          <w:rFonts w:hint="eastAsia" w:ascii="仿宋" w:hAnsi="仿宋" w:eastAsia="仿宋" w:cs="Courier New"/>
          <w:kern w:val="2"/>
        </w:rPr>
        <w:t>万元。</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日，</w:t>
      </w:r>
      <w:r>
        <w:rPr>
          <w:rFonts w:hint="eastAsia" w:ascii="仿宋" w:hAnsi="仿宋" w:eastAsia="仿宋" w:cs="Courier New"/>
          <w:kern w:val="2"/>
          <w:lang w:val="en-US" w:eastAsia="zh-CN"/>
        </w:rPr>
        <w:t>园林</w:t>
      </w:r>
      <w:r>
        <w:rPr>
          <w:rFonts w:hint="eastAsia" w:ascii="仿宋" w:hAnsi="仿宋" w:eastAsia="仿宋" w:cs="Courier New"/>
          <w:kern w:val="2"/>
        </w:rPr>
        <w:t>局共有车辆</w:t>
      </w:r>
      <w:r>
        <w:rPr>
          <w:rFonts w:hint="eastAsia" w:ascii="仿宋" w:hAnsi="仿宋" w:eastAsia="仿宋" w:cs="Courier New"/>
          <w:kern w:val="2"/>
          <w:lang w:val="en-US" w:eastAsia="zh-CN"/>
        </w:rPr>
        <w:t>5</w:t>
      </w:r>
      <w:r>
        <w:rPr>
          <w:rFonts w:hint="eastAsia" w:ascii="仿宋" w:hAnsi="仿宋" w:eastAsia="仿宋" w:cs="Courier New"/>
          <w:kern w:val="2"/>
        </w:rPr>
        <w:t>辆，其中，特种专业技术用车</w:t>
      </w:r>
      <w:r>
        <w:rPr>
          <w:rFonts w:hint="eastAsia" w:ascii="仿宋" w:hAnsi="仿宋" w:eastAsia="仿宋" w:cs="Courier New"/>
          <w:kern w:val="2"/>
          <w:lang w:val="en-US" w:eastAsia="zh-CN"/>
        </w:rPr>
        <w:t>5</w:t>
      </w:r>
      <w:r>
        <w:rPr>
          <w:rFonts w:hint="eastAsia" w:ascii="仿宋" w:hAnsi="仿宋" w:eastAsia="仿宋" w:cs="Courier New"/>
          <w:kern w:val="2"/>
        </w:rPr>
        <w:t>辆。</w:t>
      </w:r>
      <w:bookmarkStart w:id="0" w:name="_GoBack"/>
      <w:bookmarkEnd w:id="0"/>
    </w:p>
    <w:p>
      <w:pPr>
        <w:kinsoku w:val="0"/>
        <w:overflowPunct w:val="0"/>
        <w:adjustRightInd w:val="0"/>
        <w:snapToGrid w:val="0"/>
        <w:spacing w:line="360" w:lineRule="auto"/>
        <w:ind w:right="521"/>
        <w:jc w:val="center"/>
        <w:rPr>
          <w:rFonts w:hint="eastAsia" w:ascii="仿宋" w:hAnsi="仿宋" w:eastAsia="仿宋" w:cs="黑体"/>
          <w:sz w:val="32"/>
          <w:szCs w:val="32"/>
        </w:r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4" w:type="default"/>
          <w:footerReference r:id="rId5" w:type="default"/>
          <w:pgSz w:w="11906" w:h="16838"/>
          <w:pgMar w:top="1134" w:right="1134" w:bottom="1134" w:left="1134" w:header="510" w:footer="992" w:gutter="0"/>
          <w:cols w:space="425"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val="en-US" w:eastAsia="zh-CN"/>
              </w:rPr>
              <w:t>七、城乡社区支出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b/>
                <w:bCs/>
                <w:kern w:val="0"/>
                <w:sz w:val="22"/>
              </w:rPr>
            </w:pPr>
            <w:r>
              <w:rPr>
                <w:rFonts w:hint="eastAsia" w:hAnsi="宋体"/>
                <w:b w:val="0"/>
                <w:bCs w:val="0"/>
                <w:kern w:val="0"/>
                <w:sz w:val="22"/>
                <w:lang w:val="en-US" w:eastAsia="zh-CN"/>
              </w:rPr>
              <w:t>659.13</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right"/>
              <w:rPr>
                <w:rFonts w:eastAsia="宋体"/>
                <w:b/>
                <w:bCs/>
                <w:kern w:val="0"/>
                <w:sz w:val="22"/>
              </w:rPr>
            </w:pPr>
            <w:r>
              <w:rPr>
                <w:rFonts w:hint="eastAsia" w:hAnsi="宋体"/>
                <w:b w:val="0"/>
                <w:bCs w:val="0"/>
                <w:kern w:val="0"/>
                <w:sz w:val="22"/>
                <w:lang w:val="en-US" w:eastAsia="zh-CN"/>
              </w:rPr>
              <w:t>659.13</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9"/>
        <w:gridCol w:w="1625"/>
        <w:gridCol w:w="1345"/>
        <w:gridCol w:w="1149"/>
        <w:gridCol w:w="1702"/>
        <w:gridCol w:w="1416"/>
        <w:gridCol w:w="1453"/>
        <w:gridCol w:w="1670"/>
        <w:gridCol w:w="1477"/>
      </w:tblGrid>
      <w:tr>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659.13</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659.13</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11"/>
        <w:gridCol w:w="1392"/>
        <w:gridCol w:w="1861"/>
        <w:gridCol w:w="1814"/>
        <w:gridCol w:w="1625"/>
        <w:gridCol w:w="1917"/>
        <w:gridCol w:w="1923"/>
        <w:gridCol w:w="1598"/>
      </w:tblGrid>
      <w:tr>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659.13</w:t>
            </w: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128.13</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531</w:t>
            </w: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eastAsia="宋体"/>
                <w:kern w:val="0"/>
                <w:sz w:val="24"/>
                <w:szCs w:val="24"/>
                <w:lang w:eastAsia="zh-CN"/>
              </w:rPr>
            </w:pPr>
            <w:r>
              <w:rPr>
                <w:rFonts w:hint="eastAsia"/>
                <w:kern w:val="0"/>
                <w:sz w:val="24"/>
                <w:szCs w:val="24"/>
                <w:lang w:val="en-US" w:eastAsia="zh-CN"/>
              </w:rPr>
              <w:t>七、城乡社区支出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textDirection w:val="lrTb"/>
            <w:vAlign w:val="center"/>
          </w:tcPr>
          <w:p>
            <w:pPr>
              <w:widowControl/>
              <w:jc w:val="center"/>
              <w:rPr>
                <w:rFonts w:eastAsia="宋体"/>
                <w:kern w:val="0"/>
                <w:sz w:val="22"/>
              </w:rPr>
            </w:pPr>
            <w:r>
              <w:rPr>
                <w:rFonts w:hint="eastAsia" w:hAnsi="宋体"/>
                <w:kern w:val="0"/>
                <w:sz w:val="22"/>
                <w:lang w:val="en-US" w:eastAsia="zh-CN"/>
              </w:rPr>
              <w:t>659.13</w:t>
            </w: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40"/>
        <w:gridCol w:w="3920"/>
        <w:gridCol w:w="3920"/>
        <w:gridCol w:w="2998"/>
      </w:tblGrid>
      <w:tr>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659.13</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128.13</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531</w:t>
            </w: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128.13</w:t>
            </w: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123.13</w:t>
            </w: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5</w:t>
            </w: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0.1</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0.095</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0.095</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2016-12-22T08:34:50Z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